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Training</w:t>
      </w:r>
    </w:p>
    <w:p>
      <w:pPr>
        <w:pStyle w:val="Heading2"/>
      </w:pPr>
      <w:r>
        <w:t>Project Manager / Service Manager &amp; Resource Manager (Planners)</w:t>
      </w:r>
    </w:p>
    <w:p>
      <w:r>
        <w:t>Phase 1 – Budget: Project &amp; Service Master Data, Resources, and Costs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>Note: This material is confidential and intended for Knauf only. Do not distribute, copy, forward, or disclose without the express consent of Valkeen GmbH.</w:t>
            </w:r>
          </w:p>
        </w:tc>
      </w:tr>
    </w:tbl>
    <w:p/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Overview</w:t>
      </w:r>
    </w:p>
    <w:p>
      <w:pPr>
        <w:pStyle w:val="ListBullet"/>
      </w:pPr>
      <w:r>
        <w:t>Common Tempus Shortcuts</w:t>
      </w:r>
    </w:p>
    <w:p>
      <w:pPr>
        <w:pStyle w:val="ListBullet"/>
      </w:pPr>
      <w:r>
        <w:t>Tempus Resource Navigation</w:t>
      </w:r>
    </w:p>
    <w:p>
      <w:pPr>
        <w:pStyle w:val="ListBullet"/>
      </w:pPr>
      <w:r>
        <w:t>Creating a Project</w:t>
      </w:r>
    </w:p>
    <w:p>
      <w:pPr>
        <w:pStyle w:val="ListBullet"/>
      </w:pPr>
      <w:r>
        <w:t>Project Master Data</w:t>
      </w:r>
    </w:p>
    <w:p>
      <w:pPr>
        <w:pStyle w:val="ListBullet"/>
      </w:pPr>
      <w:r>
        <w:t>Project vs. Service</w:t>
      </w:r>
    </w:p>
    <w:p>
      <w:pPr>
        <w:pStyle w:val="ListBullet"/>
      </w:pPr>
      <w:r>
        <w:t>Resource Planning</w:t>
      </w:r>
    </w:p>
    <w:p>
      <w:pPr>
        <w:pStyle w:val="ListBullet"/>
      </w:pPr>
      <w:r>
        <w:t>Cost Planning</w:t>
      </w:r>
    </w:p>
    <w:p>
      <w:pPr>
        <w:pStyle w:val="ListBullet"/>
      </w:pPr>
      <w:r>
        <w:t>Bulk Project Allocation Flatgrid</w:t>
      </w:r>
    </w:p>
    <w:p>
      <w:pPr>
        <w:pStyle w:val="ListBullet"/>
      </w:pPr>
      <w:r>
        <w:t>Reporting Basics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 xml:space="preserve">This guide supports </w:t>
      </w:r>
      <w:r>
        <w:rPr>
          <w:b/>
        </w:rPr>
        <w:t>planners</w:t>
      </w:r>
      <w:r>
        <w:t xml:space="preserve"> at Knauf who work in Tempus Resource in </w:t>
      </w:r>
      <w:r>
        <w:rPr>
          <w:b/>
        </w:rPr>
        <w:t>Phase 1 (Budget)</w:t>
      </w:r>
      <w:r>
        <w:t xml:space="preserve">: </w:t>
      </w:r>
      <w:r>
        <w:rPr>
          <w:b/>
        </w:rPr>
        <w:t>Project Manager / Service Manager (PM/SM)</w:t>
      </w:r>
      <w:r>
        <w:t xml:space="preserve"> and </w:t>
      </w:r>
      <w:r>
        <w:rPr>
          <w:b/>
        </w:rPr>
        <w:t>Resource Manager (RM)</w:t>
      </w:r>
      <w:r>
        <w:t>. IT-Controlling, Portfolio Management (PPM), executives, and administrators use overlapping features but follow separate training and governance material.</w:t>
      </w:r>
    </w:p>
    <w:p>
      <w:r>
        <w:t xml:space="preserve">Screenshots in this document were taken in the Knauf sandbox and may show </w:t>
      </w:r>
      <w:r>
        <w:rPr>
          <w:b/>
        </w:rPr>
        <w:t>additional tiles</w:t>
      </w:r>
      <w:r>
        <w:t xml:space="preserve"> (for example Admin, support, or combined test roles). Your production homescreen shows </w:t>
      </w:r>
      <w:r>
        <w:rPr>
          <w:b/>
        </w:rPr>
        <w:t>only the entry points your global role and security group allow</w:t>
      </w:r>
      <w:r>
        <w:t>.</w:t>
      </w:r>
    </w:p>
    <w:p>
      <w:pPr>
        <w:pStyle w:val="Heading2"/>
      </w:pPr>
      <w:r>
        <w:t>Why Tempus at Knauf</w:t>
      </w:r>
    </w:p>
    <w:p>
      <w:r>
        <w:rPr>
          <w:b/>
        </w:rPr>
        <w:t>Main purpose</w:t>
      </w:r>
      <w:r>
        <w:t xml:space="preserve">: Provide one online tool where IT colleagues maintain </w:t>
      </w:r>
      <w:r>
        <w:rPr>
          <w:b/>
        </w:rPr>
        <w:t>budget, forecast, and actuals</w:t>
      </w:r>
      <w:r>
        <w:t xml:space="preserve"> per project and service with consistent structures and reporting.</w:t>
      </w:r>
    </w:p>
    <w:p>
      <w:r>
        <w:rPr>
          <w:b/>
        </w:rPr>
        <w:t>Objectives</w:t>
      </w:r>
      <w:r>
        <w:t xml:space="preserve"> (Phase 1 alignment):</w:t>
      </w:r>
    </w:p>
    <w:p>
      <w:pPr>
        <w:pStyle w:val="ListBullet"/>
      </w:pPr>
      <w:r>
        <w:t>Move away from Excel as the primary controlling spreadsheet for these figures.</w:t>
      </w:r>
    </w:p>
    <w:p>
      <w:pPr>
        <w:pStyle w:val="ListBullet"/>
      </w:pPr>
      <w:r>
        <w:t xml:space="preserve">Hold </w:t>
      </w:r>
      <w:r>
        <w:rPr>
          <w:b/>
        </w:rPr>
        <w:t>budget, forecast, and actuals-related information in one database</w:t>
      </w:r>
      <w:r>
        <w:t xml:space="preserve"> with shared layouts and reporting across dimensions </w:t>
      </w:r>
      <w:r>
        <w:rPr>
          <w:b/>
        </w:rPr>
        <w:t>without manual consolidation</w:t>
      </w:r>
      <w:r>
        <w:t>.</w:t>
      </w:r>
    </w:p>
    <w:p>
      <w:pPr>
        <w:pStyle w:val="ListBullet"/>
      </w:pPr>
      <w:r>
        <w:t xml:space="preserve">Ensure all colleagues work on the </w:t>
      </w:r>
      <w:r>
        <w:rPr>
          <w:b/>
        </w:rPr>
        <w:t>same platform</w:t>
      </w:r>
      <w:r>
        <w:t xml:space="preserve"> with </w:t>
      </w:r>
      <w:r>
        <w:rPr>
          <w:b/>
        </w:rPr>
        <w:t>agreed definitions and standards</w:t>
      </w:r>
      <w:r>
        <w:t>.</w:t>
      </w:r>
    </w:p>
    <w:p>
      <w:r>
        <w:rPr>
          <w:b/>
        </w:rPr>
        <w:t>Problems Tempus is meant to reduce</w:t>
      </w:r>
      <w:r>
        <w:t>:</w:t>
      </w:r>
    </w:p>
    <w:p>
      <w:pPr>
        <w:pStyle w:val="ListBullet"/>
      </w:pPr>
      <w:r>
        <w:t>Poor data quality and many parallel file versions.</w:t>
      </w:r>
    </w:p>
    <w:p>
      <w:pPr>
        <w:pStyle w:val="ListBullet"/>
      </w:pPr>
      <w:r>
        <w:t>Manual merging of local spreadsheets.</w:t>
      </w:r>
    </w:p>
    <w:p>
      <w:pPr>
        <w:pStyle w:val="ListBullet"/>
      </w:pPr>
      <w:r>
        <w:rPr>
          <w:b/>
        </w:rPr>
        <w:t>Single source of truth</w:t>
      </w:r>
      <w:r>
        <w:t xml:space="preserve"> for planning and cost views.</w:t>
      </w:r>
    </w:p>
    <w:p>
      <w:pPr>
        <w:pStyle w:val="ListBullet"/>
      </w:pPr>
      <w:r>
        <w:t>Less time on data preparation, more time on analysis.</w:t>
      </w:r>
    </w:p>
    <w:p>
      <w:pPr>
        <w:pStyle w:val="ListBullet"/>
      </w:pPr>
      <w:r>
        <w:t>Reporting across dimensions (for example cost vs. revenue views, divisions, IT products) for IT stakeholders.</w:t>
      </w:r>
    </w:p>
    <w:p>
      <w:pPr>
        <w:pStyle w:val="Heading2"/>
      </w:pPr>
      <w:r>
        <w:t>Current vs. Target State (Summary)</w:t>
      </w:r>
    </w:p>
    <w:p>
      <w:r>
        <w:rPr>
          <w:b/>
        </w:rPr>
        <w:t>Today (simplified)</w:t>
      </w:r>
      <w:r>
        <w:t>:</w:t>
      </w:r>
    </w:p>
    <w:p>
      <w:pPr>
        <w:pStyle w:val="ListBullet"/>
      </w:pPr>
      <w:r>
        <w:rPr>
          <w:b/>
        </w:rPr>
        <w:t>Projects</w:t>
      </w:r>
      <w:r>
        <w:t>: Ideas are collected, estimated (internal effort, consulting, licenses, leasing, managed services, other costs, CAPEX), aligned for capacity, prioritised into an IT portfolio, then iterated with management.</w:t>
      </w:r>
    </w:p>
    <w:p>
      <w:pPr>
        <w:pStyle w:val="ListBullet"/>
      </w:pPr>
      <w:r>
        <w:rPr>
          <w:b/>
        </w:rPr>
        <w:t>Services</w:t>
      </w:r>
      <w:r>
        <w:t xml:space="preserve">: Budget </w:t>
      </w:r>
      <w:r>
        <w:rPr>
          <w:b/>
        </w:rPr>
        <w:t>cash-out</w:t>
      </w:r>
      <w:r>
        <w:t xml:space="preserve"> by cost category; </w:t>
      </w:r>
      <w:r>
        <w:rPr>
          <w:b/>
        </w:rPr>
        <w:t>resource planning in Tempus for services was not the standard process</w:t>
      </w:r>
      <w:r>
        <w:t xml:space="preserve"> before go-live.</w:t>
      </w:r>
    </w:p>
    <w:p>
      <w:r>
        <w:rPr>
          <w:b/>
        </w:rPr>
        <w:t>Pain points</w:t>
      </w:r>
      <w:r>
        <w:t xml:space="preserve"> that motivated the tool:</w:t>
      </w:r>
    </w:p>
    <w:p>
      <w:pPr>
        <w:pStyle w:val="ListBullet"/>
      </w:pPr>
      <w:r>
        <w:t xml:space="preserve">Too many Excel versions, missing mandatory fields, </w:t>
      </w:r>
      <w:r>
        <w:rPr>
          <w:b/>
        </w:rPr>
        <w:t>divergent prioritisation logic</w:t>
      </w:r>
      <w:r>
        <w:t xml:space="preserve"> between IT divisions, and </w:t>
      </w:r>
      <w:r>
        <w:rPr>
          <w:b/>
        </w:rPr>
        <w:t>incomplete forecast/actual pictures</w:t>
      </w:r>
      <w:r>
        <w:t xml:space="preserve"> (often only cash-out positions).</w:t>
      </w:r>
    </w:p>
    <w:p>
      <w:r>
        <w:rPr>
          <w:b/>
        </w:rPr>
        <w:t>Target</w:t>
      </w:r>
      <w:r>
        <w:t>:</w:t>
      </w:r>
    </w:p>
    <w:p>
      <w:pPr>
        <w:pStyle w:val="ListBullet"/>
      </w:pPr>
      <w:r>
        <w:t xml:space="preserve">Easier views of </w:t>
      </w:r>
      <w:r>
        <w:rPr>
          <w:b/>
        </w:rPr>
        <w:t>actuals vs. budget and forecast</w:t>
      </w:r>
      <w:r>
        <w:t xml:space="preserve"> with aggregation (divisions, IT products, portfolios).</w:t>
      </w:r>
    </w:p>
    <w:p>
      <w:pPr>
        <w:pStyle w:val="ListBullet"/>
      </w:pPr>
      <w:r>
        <w:rPr>
          <w:b/>
        </w:rPr>
        <w:t>Aligned</w:t>
      </w:r>
      <w:r>
        <w:t xml:space="preserve"> resource planning and </w:t>
      </w:r>
      <w:r>
        <w:rPr>
          <w:b/>
        </w:rPr>
        <w:t>standardised</w:t>
      </w:r>
      <w:r>
        <w:t xml:space="preserve"> processes with fewer manual adjustments.</w:t>
      </w:r>
    </w:p>
    <w:p>
      <w:pPr>
        <w:pStyle w:val="Heading2"/>
      </w:pPr>
      <w:r>
        <w:t>Phase 1 vs. Phase 2 (Relevance for This Guide)</w:t>
      </w:r>
    </w:p>
    <w:p>
      <w:r>
        <w:t xml:space="preserve">| Topic | Phase 1 (Budget) – this guide | Phase 2 (Forecasting / Actuals / Reporting) | | --- | --- | --- | | Focus | Enter required master data, </w:t>
      </w:r>
      <w:r>
        <w:rPr>
          <w:b/>
        </w:rPr>
        <w:t>resource and cost information by cost type</w:t>
      </w:r>
      <w:r>
        <w:t xml:space="preserve"> on projects (and services where Knauf opens this up). | Additional forecast cycles; </w:t>
      </w:r>
      <w:r>
        <w:rPr>
          <w:b/>
        </w:rPr>
        <w:t>actuals</w:t>
      </w:r>
      <w:r>
        <w:t xml:space="preserve"> loaded (for example from SAP); deeper reporting. | | Services – resource planning | </w:t>
      </w:r>
      <w:r>
        <w:rPr>
          <w:b/>
        </w:rPr>
        <w:t>Knauf decision for the first year</w:t>
      </w:r>
      <w:r>
        <w:t xml:space="preserve">: </w:t>
      </w:r>
      <w:r>
        <w:rPr>
          <w:b/>
        </w:rPr>
        <w:t>no resource planning on services</w:t>
      </w:r>
      <w:r>
        <w:t xml:space="preserve"> in production; focus on </w:t>
      </w:r>
      <w:r>
        <w:rPr>
          <w:b/>
        </w:rPr>
        <w:t>project</w:t>
      </w:r>
      <w:r>
        <w:t xml:space="preserve"> delivery workstreams first. Services remain in scope for </w:t>
      </w:r>
      <w:r>
        <w:rPr>
          <w:b/>
        </w:rPr>
        <w:t>master data and cost lines</w:t>
      </w:r>
      <w:r>
        <w:t xml:space="preserve"> as configured. </w:t>
      </w:r>
      <w:r>
        <w:rPr>
          <w:i/>
        </w:rPr>
        <w:t>(Sandbox training may still illustrate service objects for learning.)</w:t>
      </w:r>
      <w:r>
        <w:t xml:space="preserve"> | Resource planning for services </w:t>
      </w:r>
      <w:r>
        <w:rPr>
          <w:b/>
        </w:rPr>
        <w:t>foreseen for later years</w:t>
      </w:r>
      <w:r>
        <w:t xml:space="preserve"> per Knauf roadmap. | | Historical data | Not migrated in Phase 1. | Active projects and actuals to be loaded per Knauf data strategy. |</w:t>
      </w:r>
    </w:p>
    <w:p>
      <w:pPr>
        <w:pStyle w:val="Heading2"/>
      </w:pPr>
      <w:r>
        <w:t>Who Does What (High Level)</w:t>
      </w:r>
    </w:p>
    <w:p>
      <w:r>
        <w:t xml:space="preserve">| Role | Typical Tempus responsibilities in the Knauf model | | --- | --- | | </w:t>
      </w:r>
      <w:r>
        <w:rPr>
          <w:b/>
        </w:rPr>
        <w:t>IT product (area) &amp; service manager (PM/SM)</w:t>
      </w:r>
      <w:r>
        <w:t xml:space="preserve"> | Budgeting and forecasting </w:t>
      </w:r>
      <w:r>
        <w:rPr>
          <w:b/>
        </w:rPr>
        <w:t>per cost type and project</w:t>
      </w:r>
      <w:r>
        <w:t xml:space="preserve"> (Phase 1); enter </w:t>
      </w:r>
      <w:r>
        <w:rPr>
          <w:b/>
        </w:rPr>
        <w:t>resource and financial</w:t>
      </w:r>
      <w:r>
        <w:t xml:space="preserve"> planning on </w:t>
      </w:r>
      <w:r>
        <w:rPr>
          <w:b/>
        </w:rPr>
        <w:t>projects</w:t>
      </w:r>
      <w:r>
        <w:t xml:space="preserve"> as configured. | | </w:t>
      </w:r>
      <w:r>
        <w:rPr>
          <w:b/>
        </w:rPr>
        <w:t>Resource Manager (RM)</w:t>
      </w:r>
      <w:r>
        <w:t xml:space="preserve"> | </w:t>
      </w:r>
      <w:r>
        <w:rPr>
          <w:b/>
        </w:rPr>
        <w:t>Capacity and resource allocation</w:t>
      </w:r>
      <w:r>
        <w:t xml:space="preserve"> across the pool; review </w:t>
      </w:r>
      <w:r>
        <w:rPr>
          <w:b/>
        </w:rPr>
        <w:t>resource requests</w:t>
      </w:r>
      <w:r>
        <w:t xml:space="preserve">; often uses </w:t>
      </w:r>
      <w:r>
        <w:rPr>
          <w:b/>
        </w:rPr>
        <w:t>cross-project</w:t>
      </w:r>
      <w:r>
        <w:t xml:space="preserve"> tools (for example Bulk Project Allocation Flatgrid) </w:t>
      </w:r>
      <w:r>
        <w:rPr>
          <w:b/>
        </w:rPr>
        <w:t>when granted</w:t>
      </w:r>
      <w:r>
        <w:t xml:space="preserve">. | | </w:t>
      </w:r>
      <w:r>
        <w:rPr>
          <w:b/>
        </w:rPr>
        <w:t>IT-Controlling</w:t>
      </w:r>
      <w:r>
        <w:t xml:space="preserve"> | Coordinates cycles, snapshots, reporting; </w:t>
      </w:r>
      <w:r>
        <w:rPr>
          <w:b/>
        </w:rPr>
        <w:t>loads actuals</w:t>
      </w:r>
      <w:r>
        <w:t xml:space="preserve"> in Phase 2. </w:t>
      </w:r>
      <w:r>
        <w:rPr>
          <w:i/>
        </w:rPr>
        <w:t>Separate training.</w:t>
      </w:r>
      <w:r>
        <w:t xml:space="preserve"> | | </w:t>
      </w:r>
      <w:r>
        <w:rPr>
          <w:b/>
        </w:rPr>
        <w:t>Portfolio Management (PPM)</w:t>
      </w:r>
      <w:r>
        <w:t xml:space="preserve"> | Portfolio and capacity steering; broader reporting. </w:t>
      </w:r>
      <w:r>
        <w:rPr>
          <w:i/>
        </w:rPr>
        <w:t>Separate training.</w:t>
      </w:r>
      <w:r>
        <w:t xml:space="preserve"> | | </w:t>
      </w:r>
      <w:r>
        <w:rPr>
          <w:b/>
        </w:rPr>
        <w:t>Senior Management</w:t>
      </w:r>
      <w:r>
        <w:t xml:space="preserve"> | Consumers of reports. </w:t>
      </w:r>
      <w:r>
        <w:rPr>
          <w:i/>
        </w:rPr>
        <w:t>No operational training in this document.</w:t>
      </w:r>
      <w:r>
        <w:t xml:space="preserve"> |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 xml:space="preserve">Note: Exact field lists, approval rules, and </w:t>
            </w:r>
            <w:r>
              <w:rPr>
                <w:b/>
              </w:rPr>
              <w:t>which tiles appear</w:t>
            </w:r>
            <w:r>
              <w:t xml:space="preserve"> are defined by Knauf </w:t>
            </w:r>
            <w:r>
              <w:rPr>
                <w:b/>
              </w:rPr>
              <w:t>global roles</w:t>
            </w:r>
            <w:r>
              <w:t xml:space="preserve"> (for example </w:t>
            </w:r>
            <w:r>
              <w:rPr>
                <w:rFonts w:ascii="Consolas" w:hAnsi="Consolas"/>
                <w:sz w:val="20"/>
              </w:rPr>
              <w:t>PM/SM G*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RM G*</w:t>
            </w:r>
            <w:r>
              <w:t xml:space="preserve">) and </w:t>
            </w:r>
            <w:r>
              <w:rPr>
                <w:b/>
              </w:rPr>
              <w:t>project/resource security</w:t>
            </w:r>
            <w:r>
              <w:t>. If a chapter describes a screen you cannot open, ask your Tempus owner whether your role is meant to have access.</w:t>
            </w:r>
          </w:p>
        </w:tc>
      </w:tr>
    </w:tbl>
    <w:p/>
    <w:p>
      <w:pPr>
        <w:pStyle w:val="Heading2"/>
      </w:pPr>
      <w:r>
        <w:t>Core Concepts</w:t>
      </w:r>
    </w:p>
    <w:p>
      <w:pPr>
        <w:pStyle w:val="ListBullet"/>
      </w:pPr>
      <w:r>
        <w:rPr>
          <w:b/>
        </w:rPr>
        <w:t>Sign-in</w:t>
      </w:r>
      <w:r>
        <w:t xml:space="preserve">: Production users typically use </w:t>
      </w:r>
      <w:r>
        <w:rPr>
          <w:b/>
        </w:rPr>
        <w:t>SSO</w:t>
      </w:r>
      <w:r>
        <w:t xml:space="preserve"> (</w:t>
      </w:r>
      <w:r>
        <w:rPr>
          <w:rFonts w:ascii="Consolas" w:hAnsi="Consolas"/>
          <w:sz w:val="20"/>
        </w:rPr>
        <w:t>Continue With Saml</w:t>
      </w:r>
      <w:r>
        <w:t xml:space="preserve">). Sandbox testers may use local </w:t>
      </w:r>
      <w:r>
        <w:rPr>
          <w:b/>
        </w:rPr>
        <w:t>Log In</w:t>
      </w:r>
      <w:r>
        <w:t xml:space="preserve"> accounts issued by Knauf </w:t>
      </w:r>
      <w:r>
        <w:rPr>
          <w:b/>
        </w:rPr>
        <w:t>through a secure channel</w:t>
      </w:r>
      <w:r>
        <w:t xml:space="preserve"> – never share passwords in email or tickets.</w:t>
      </w:r>
    </w:p>
    <w:p>
      <w:pPr>
        <w:pStyle w:val="ListBullet"/>
      </w:pPr>
      <w:r>
        <w:rPr>
          <w:b/>
        </w:rPr>
        <w:t>Resource types</w:t>
      </w:r>
      <w:r>
        <w:t xml:space="preserve">: Named resources (individuals) vs. </w:t>
      </w:r>
      <w:r>
        <w:rPr>
          <w:b/>
        </w:rPr>
        <w:t>demand-planning</w:t>
      </w:r>
      <w:r>
        <w:t xml:space="preserve"> resources (generic roles, often shown with a </w:t>
      </w:r>
      <w:r>
        <w:rPr>
          <w:rFonts w:ascii="Consolas" w:hAnsi="Consolas"/>
          <w:sz w:val="20"/>
        </w:rPr>
        <w:t>*</w:t>
      </w:r>
      <w:r>
        <w:t xml:space="preserve"> prefix).</w:t>
      </w:r>
    </w:p>
    <w:p>
      <w:pPr>
        <w:pStyle w:val="ListBullet"/>
      </w:pPr>
      <w:r>
        <w:rPr>
          <w:b/>
        </w:rPr>
        <w:t>Projects vs. services</w:t>
      </w:r>
      <w:r>
        <w:t xml:space="preserve">: Distinguished by the </w:t>
      </w:r>
      <w:r>
        <w:rPr>
          <w:b/>
        </w:rPr>
        <w:t>Type</w:t>
      </w:r>
      <w:r>
        <w:t xml:space="preserve"> attribute and templates. See </w:t>
      </w:r>
      <w:r>
        <w:rPr>
          <w:i/>
        </w:rPr>
        <w:t>Project vs. Service</w:t>
      </w:r>
      <w:r>
        <w:t>.</w:t>
      </w:r>
    </w:p>
    <w:p>
      <w:pPr>
        <w:pStyle w:val="ListBullet"/>
      </w:pPr>
      <w:r>
        <w:rPr>
          <w:b/>
        </w:rPr>
        <w:t>Assignments</w:t>
      </w:r>
      <w:r>
        <w:t xml:space="preserve">: Link a resource to a project (or task) with a capacity unit. At Knauf, planning is typically in </w:t>
      </w:r>
      <w:r>
        <w:rPr>
          <w:b/>
        </w:rPr>
        <w:t>Mandays</w:t>
      </w:r>
      <w:r>
        <w:t xml:space="preserve"> (and </w:t>
      </w:r>
      <w:r>
        <w:rPr>
          <w:b/>
        </w:rPr>
        <w:t>Euro</w:t>
      </w:r>
      <w:r>
        <w:t xml:space="preserve"> in cost views), not necessarily clock hours.</w:t>
      </w:r>
    </w:p>
    <w:p>
      <w:pPr>
        <w:pStyle w:val="ListBullet"/>
      </w:pPr>
      <w:r>
        <w:rPr>
          <w:b/>
        </w:rPr>
        <w:t>Resource requests</w:t>
      </w:r>
      <w:r>
        <w:t xml:space="preserve">: Changing allocations usually creates a request that an </w:t>
      </w:r>
      <w:r>
        <w:rPr>
          <w:b/>
        </w:rPr>
        <w:t>RM</w:t>
      </w:r>
      <w:r>
        <w:t xml:space="preserve"> (or workflow) must approve.</w:t>
      </w:r>
    </w:p>
    <w:p>
      <w:r>
        <w:br w:type="page"/>
      </w:r>
    </w:p>
    <w:p>
      <w:pPr>
        <w:pStyle w:val="Heading1"/>
      </w:pPr>
      <w:r>
        <w:t>Common Tempus Shortcuts</w:t>
      </w:r>
    </w:p>
    <w:p>
      <w:r>
        <w:t>Tempus grids behave like Excel in many places:</w:t>
      </w:r>
    </w:p>
    <w:p>
      <w:pPr>
        <w:pStyle w:val="ListBullet"/>
      </w:pPr>
      <w:r>
        <w:t>Sort a column by clicking its header.</w:t>
      </w:r>
    </w:p>
    <w:p>
      <w:pPr>
        <w:pStyle w:val="ListBullet"/>
      </w:pPr>
      <w:r>
        <w:t xml:space="preserve">Copy and paste cells with </w:t>
      </w:r>
      <w:r>
        <w:rPr>
          <w:rFonts w:ascii="Consolas" w:hAnsi="Consolas"/>
          <w:sz w:val="20"/>
        </w:rPr>
        <w:t>Ctrl+C</w:t>
      </w:r>
      <w:r>
        <w:t xml:space="preserve"> / </w:t>
      </w:r>
      <w:r>
        <w:rPr>
          <w:rFonts w:ascii="Consolas" w:hAnsi="Consolas"/>
          <w:sz w:val="20"/>
        </w:rPr>
        <w:t>Ctrl+V</w:t>
      </w:r>
      <w:r>
        <w:t>.</w:t>
      </w:r>
    </w:p>
    <w:p>
      <w:pPr>
        <w:pStyle w:val="ListBullet"/>
      </w:pPr>
      <w:r>
        <w:t>Drag the small "+" handle at the bottom-right corner of a cell to copy across or down.</w:t>
      </w:r>
    </w:p>
    <w:p>
      <w:pPr>
        <w:pStyle w:val="Heading2"/>
      </w:pPr>
      <w:r>
        <w:t>Recurring Icons</w:t>
      </w:r>
    </w:p>
    <w:p>
      <w:r>
        <w:t>Across screens Tempus uses a consistent set of icons:</w:t>
      </w:r>
    </w:p>
    <w:p>
      <w:pPr>
        <w:pStyle w:val="ListBullet"/>
      </w:pPr>
      <w:r>
        <w:rPr>
          <w:b/>
        </w:rPr>
        <w:t>Trash can</w:t>
      </w:r>
      <w:r>
        <w:t xml:space="preserve"> - delete the selected item(s).</w:t>
      </w:r>
    </w:p>
    <w:p>
      <w:pPr>
        <w:pStyle w:val="ListBullet"/>
      </w:pPr>
      <w:r>
        <w:rPr>
          <w:b/>
        </w:rPr>
        <w:t>Pencil</w:t>
      </w:r>
      <w:r>
        <w:t xml:space="preserve"> - edit or view the selected item.</w:t>
      </w:r>
    </w:p>
    <w:p>
      <w:pPr>
        <w:pStyle w:val="ListBullet"/>
      </w:pPr>
      <w:r>
        <w:rPr>
          <w:b/>
        </w:rPr>
        <w:t>Copy / Clone</w:t>
      </w:r>
      <w:r>
        <w:t xml:space="preserve"> - copy to clipboard or clone the selected item.</w:t>
      </w:r>
    </w:p>
    <w:p>
      <w:pPr>
        <w:pStyle w:val="ListBullet"/>
      </w:pPr>
      <w:r>
        <w:rPr>
          <w:b/>
        </w:rPr>
        <w:t>Lock / Unlock</w:t>
      </w:r>
      <w:r>
        <w:t xml:space="preserve"> - indicates whether a record is currently locked by another user.</w:t>
      </w:r>
    </w:p>
    <w:p>
      <w:pPr>
        <w:pStyle w:val="ListBullet"/>
      </w:pPr>
      <w:r>
        <w:rPr>
          <w:b/>
        </w:rPr>
        <w:t>Export</w:t>
      </w:r>
      <w:r>
        <w:t xml:space="preserve"> - Excel, CSV, or PDF export, available where supported.</w:t>
      </w:r>
    </w:p>
    <w:p>
      <w:pPr>
        <w:pStyle w:val="ListBullet"/>
      </w:pPr>
      <w:r>
        <w:rPr>
          <w:b/>
        </w:rPr>
        <w:t>Filter</w:t>
      </w:r>
      <w:r>
        <w:t xml:space="preserve"> - filter the list by specified values.</w:t>
      </w:r>
    </w:p>
    <w:p>
      <w:pPr>
        <w:pStyle w:val="ListBullet"/>
      </w:pPr>
      <w:r>
        <w:rPr>
          <w:b/>
        </w:rPr>
        <w:t>Notification</w:t>
      </w:r>
      <w:r>
        <w:t xml:space="preserve"> - the listed item may require attention (new filters, new resource requests, etc.).</w:t>
      </w:r>
    </w:p>
    <w:p>
      <w:pPr>
        <w:pStyle w:val="ListBullet"/>
      </w:pPr>
      <w:r>
        <w:rPr>
          <w:b/>
        </w:rPr>
        <w:t>Demand Planning marker</w:t>
      </w:r>
      <w:r>
        <w:t xml:space="preserve"> - the listed record is a generic, role-based resource.</w:t>
      </w:r>
    </w:p>
    <w:p>
      <w:pPr>
        <w:pStyle w:val="ListBullet"/>
      </w:pPr>
      <w:r>
        <w:rPr>
          <w:b/>
        </w:rPr>
        <w:t>Proposal marker</w:t>
      </w:r>
      <w:r>
        <w:t xml:space="preserve"> - the listed record is an opportunity rather than an active project.</w:t>
      </w:r>
    </w:p>
    <w:p>
      <w:r>
        <w:br w:type="page"/>
      </w:r>
    </w:p>
    <w:p>
      <w:pPr>
        <w:pStyle w:val="Heading1"/>
      </w:pPr>
      <w:r>
        <w:t>Tempus Resource Navigation</w:t>
      </w:r>
    </w:p>
    <w:p>
      <w:r>
        <w:t xml:space="preserve">This section covers logging in, the Knauf homescreen (tiles vary by </w:t>
      </w:r>
      <w:r>
        <w:rPr>
          <w:b/>
        </w:rPr>
        <w:t>your</w:t>
      </w:r>
      <w:r>
        <w:t xml:space="preserve"> role), the task bar, and notification subscriptions. It is written for </w:t>
      </w:r>
      <w:r>
        <w:rPr>
          <w:b/>
        </w:rPr>
        <w:t>PM/SM</w:t>
      </w:r>
      <w:r>
        <w:t xml:space="preserve"> and </w:t>
      </w:r>
      <w:r>
        <w:rPr>
          <w:b/>
        </w:rPr>
        <w:t>RM</w:t>
      </w:r>
      <w:r>
        <w:t xml:space="preserve"> planners; other roles may see different tiles even on the same URL.</w:t>
      </w:r>
    </w:p>
    <w:p>
      <w:pPr>
        <w:pStyle w:val="Heading2"/>
      </w:pPr>
      <w:r>
        <w:t>Logging In</w:t>
      </w:r>
    </w:p>
    <w:p>
      <w:pPr>
        <w:pStyle w:val="ListNumber"/>
      </w:pPr>
      <w:r>
        <w:t xml:space="preserve">Open Tempus Resource in your browser at </w:t>
      </w:r>
      <w:r>
        <w:rPr>
          <w:rFonts w:ascii="Consolas" w:hAnsi="Consolas"/>
          <w:sz w:val="20"/>
        </w:rPr>
        <w:t>https://knaufdev.tempus-resource.com/</w:t>
      </w:r>
      <w:r>
        <w:t>. Google Chrome is the recommended browser.</w:t>
      </w:r>
    </w:p>
    <w:p>
      <w:pPr>
        <w:pStyle w:val="ListNumber"/>
      </w:pPr>
      <w:r>
        <w:t>You will see two sign-in paths:</w:t>
      </w:r>
    </w:p>
    <w:p>
      <w:r>
        <w:t xml:space="preserve">   - </w:t>
      </w:r>
      <w:r>
        <w:rPr>
          <w:b/>
        </w:rPr>
        <w:t>Log In</w:t>
      </w:r>
      <w:r>
        <w:t xml:space="preserve"> (green button) - local Tempus user ID and password (typically </w:t>
      </w:r>
      <w:r>
        <w:rPr>
          <w:b/>
        </w:rPr>
        <w:t>sandbox / training</w:t>
      </w:r>
      <w:r>
        <w:t xml:space="preserve"> accounts issued by Knauf).</w:t>
      </w:r>
    </w:p>
    <w:p>
      <w:r>
        <w:t xml:space="preserve">   - </w:t>
      </w:r>
      <w:r>
        <w:rPr>
          <w:b/>
        </w:rPr>
        <w:t>Continue With Saml</w:t>
      </w:r>
      <w:r>
        <w:t xml:space="preserve"> (orange button) - </w:t>
      </w:r>
      <w:r>
        <w:rPr>
          <w:b/>
        </w:rPr>
        <w:t>SSO</w:t>
      </w:r>
      <w:r>
        <w:t xml:space="preserve"> for production; most Knauf colleagues use this path.</w:t>
      </w:r>
    </w:p>
    <w:p>
      <w:pPr>
        <w:pStyle w:val="ListNumber"/>
      </w:pPr>
      <w:r>
        <w:t>Authenticate as instructed by Knauf IT or Controlling.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 xml:space="preserve">Note: Sandbox credentials are distributed through a </w:t>
            </w:r>
            <w:r>
              <w:rPr>
                <w:b/>
              </w:rPr>
              <w:t>secure channel</w:t>
            </w:r>
            <w:r>
              <w:t xml:space="preserve"> only. Do not commit passwords to git, wikis, or this training package.</w:t>
            </w:r>
          </w:p>
        </w:tc>
      </w:tr>
    </w:tbl>
    <w:p/>
    <w:p>
      <w:pPr>
        <w:pStyle w:val="Heading2"/>
      </w:pPr>
      <w:r>
        <w:t>Homescreen</w:t>
      </w:r>
    </w:p>
    <w:p>
      <w:r>
        <w:t xml:space="preserve">After signing in, you land on a Knauf-branded homescreen titled </w:t>
      </w:r>
      <w:r>
        <w:rPr>
          <w:i/>
        </w:rPr>
        <w:t>Welcome &amp;lt;Your Name&amp;gt;</w:t>
      </w:r>
      <w:r>
        <w:t xml:space="preserve"> with an environment label (for example </w:t>
      </w:r>
      <w:r>
        <w:rPr>
          <w:i/>
        </w:rPr>
        <w:t>Knauf - DEV</w:t>
      </w:r>
      <w:r>
        <w:t xml:space="preserve">). The layout usually combines a </w:t>
      </w:r>
      <w:r>
        <w:rPr>
          <w:b/>
        </w:rPr>
        <w:t>tile grid</w:t>
      </w:r>
      <w:r>
        <w:t xml:space="preserve"> with optional panels such as </w:t>
      </w:r>
      <w:r>
        <w:rPr>
          <w:b/>
        </w:rPr>
        <w:t>Audit Log</w:t>
      </w:r>
      <w:r>
        <w:t xml:space="preserve"> (only if your role includes that permission).</w:t>
      </w:r>
    </w:p>
    <w:p>
      <w:r>
        <w:t xml:space="preserve">The screenshot below illustrates </w:t>
      </w:r>
      <w:r>
        <w:rPr>
          <w:b/>
        </w:rPr>
        <w:t>one</w:t>
      </w:r>
      <w:r>
        <w:t xml:space="preserve"> possible layout; </w:t>
      </w:r>
      <w:r>
        <w:rPr>
          <w:b/>
        </w:rPr>
        <w:t>your tile count and labels depend on your global role</w:t>
      </w:r>
      <w:r>
        <w:t xml:space="preserve"> (for example PM/SM vs RM vs admin) and security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01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3A3A"/>
          <w:sz w:val="18"/>
        </w:rPr>
        <w:t>Knauf homescreen with tiles and Audit Log</w:t>
      </w:r>
    </w:p>
    <w:p>
      <w:pPr>
        <w:pStyle w:val="Heading3"/>
      </w:pPr>
      <w:r>
        <w:t>How many tiles you see</w:t>
      </w:r>
    </w:p>
    <w:p>
      <w:r>
        <w:t xml:space="preserve">Knauf controls </w:t>
      </w:r>
      <w:r>
        <w:rPr>
          <w:b/>
        </w:rPr>
        <w:t>which modules appear as tiles</w:t>
      </w:r>
      <w:r>
        <w:t xml:space="preserve"> through Tempus </w:t>
      </w:r>
      <w:r>
        <w:rPr>
          <w:b/>
        </w:rPr>
        <w:t>global roles</w:t>
      </w:r>
      <w:r>
        <w:t>. The same physical person in sandbox and production may see different tiles if roles differ. Examples (not exhaustive, subject to Knauf configuration):</w:t>
      </w:r>
    </w:p>
    <w:p>
      <w:pPr>
        <w:pStyle w:val="ListBullet"/>
      </w:pPr>
      <w:r>
        <w:rPr>
          <w:b/>
        </w:rPr>
        <w:t>PM/SM (planner)</w:t>
      </w:r>
      <w:r>
        <w:t xml:space="preserve">: Often </w:t>
      </w:r>
      <w:r>
        <w:rPr>
          <w:b/>
        </w:rPr>
        <w:t>Project Management</w:t>
      </w:r>
      <w:r>
        <w:t xml:space="preserve">, </w:t>
      </w:r>
      <w:r>
        <w:rPr>
          <w:b/>
        </w:rPr>
        <w:t>Report Management</w:t>
      </w:r>
      <w:r>
        <w:t xml:space="preserve">, and project-deep links; </w:t>
      </w:r>
      <w:r>
        <w:rPr>
          <w:b/>
        </w:rPr>
        <w:t>Bulk Project Allocation Flatgrid</w:t>
      </w:r>
      <w:r>
        <w:t xml:space="preserve"> and </w:t>
      </w:r>
      <w:r>
        <w:rPr>
          <w:b/>
        </w:rPr>
        <w:t>Budget Management</w:t>
      </w:r>
      <w:r>
        <w:t xml:space="preserve"> may be </w:t>
      </w:r>
      <w:r>
        <w:rPr>
          <w:b/>
        </w:rPr>
        <w:t>off</w:t>
      </w:r>
      <w:r>
        <w:t xml:space="preserve"> unless explicitly granted. Focus is </w:t>
      </w:r>
      <w:r>
        <w:rPr>
          <w:b/>
        </w:rPr>
        <w:t>single-project</w:t>
      </w:r>
      <w:r>
        <w:t xml:space="preserve"> planning and master data.</w:t>
      </w:r>
    </w:p>
    <w:p>
      <w:pPr>
        <w:pStyle w:val="ListBullet"/>
      </w:pPr>
      <w:r>
        <w:rPr>
          <w:b/>
        </w:rPr>
        <w:t>RM (planner)</w:t>
      </w:r>
      <w:r>
        <w:t xml:space="preserve">: Often </w:t>
      </w:r>
      <w:r>
        <w:rPr>
          <w:b/>
        </w:rPr>
        <w:t>Resource Management</w:t>
      </w:r>
      <w:r>
        <w:t xml:space="preserve">, </w:t>
      </w:r>
      <w:r>
        <w:rPr>
          <w:b/>
        </w:rPr>
        <w:t>Bulk Project Allocation Flatgrid</w:t>
      </w:r>
      <w:r>
        <w:t xml:space="preserve">, </w:t>
      </w:r>
      <w:r>
        <w:rPr>
          <w:b/>
        </w:rPr>
        <w:t>resource request</w:t>
      </w:r>
      <w:r>
        <w:t xml:space="preserve"> tiles, </w:t>
      </w:r>
      <w:r>
        <w:rPr>
          <w:b/>
        </w:rPr>
        <w:t>Bulk Resource Capacities</w:t>
      </w:r>
      <w:r>
        <w:t xml:space="preserve">; cross-project and capacity workflows. </w:t>
      </w:r>
      <w:r>
        <w:rPr>
          <w:b/>
        </w:rPr>
        <w:t>Project creation</w:t>
      </w:r>
      <w:r>
        <w:t xml:space="preserve"> can be restricted depending on project role.</w:t>
      </w:r>
    </w:p>
    <w:p>
      <w:pPr>
        <w:pStyle w:val="ListBullet"/>
      </w:pPr>
      <w:r>
        <w:rPr>
          <w:b/>
        </w:rPr>
        <w:t>Combined or admin-style test users</w:t>
      </w:r>
      <w:r>
        <w:t xml:space="preserve"> (sandbox only): May show </w:t>
      </w:r>
      <w:r>
        <w:rPr>
          <w:b/>
        </w:rPr>
        <w:t>Admin Settings</w:t>
      </w:r>
      <w:r>
        <w:t xml:space="preserve">, </w:t>
      </w:r>
      <w:r>
        <w:rPr>
          <w:b/>
        </w:rPr>
        <w:t>Audit Log</w:t>
      </w:r>
      <w:r>
        <w:t xml:space="preserve">, </w:t>
      </w:r>
      <w:r>
        <w:rPr>
          <w:b/>
        </w:rPr>
        <w:t>Tempus What if</w:t>
      </w:r>
      <w:r>
        <w:t xml:space="preserve">, </w:t>
      </w:r>
      <w:r>
        <w:rPr>
          <w:b/>
        </w:rPr>
        <w:t>Scribe Rollup</w:t>
      </w:r>
      <w:r>
        <w:t xml:space="preserve">, and more — </w:t>
      </w:r>
      <w:r>
        <w:rPr>
          <w:b/>
        </w:rPr>
        <w:t>do not expect these in a pure PM/SM or RM production profile</w:t>
      </w:r>
      <w:r>
        <w:t>.</w:t>
      </w:r>
    </w:p>
    <w:p>
      <w:pPr>
        <w:pStyle w:val="Heading3"/>
      </w:pPr>
      <w:r>
        <w:t>Tile reference (if shown for your login)</w:t>
      </w:r>
    </w:p>
    <w:p>
      <w:pPr>
        <w:pStyle w:val="ListBullet"/>
      </w:pPr>
      <w:r>
        <w:rPr>
          <w:b/>
        </w:rPr>
        <w:t>Project Management</w:t>
      </w:r>
      <w:r>
        <w:t xml:space="preserve"> - project repository; the </w:t>
      </w:r>
      <w:r>
        <w:rPr>
          <w:b/>
        </w:rPr>
        <w:t>+</w:t>
      </w:r>
      <w:r>
        <w:t xml:space="preserve"> badge may open </w:t>
      </w:r>
      <w:r>
        <w:rPr>
          <w:b/>
        </w:rPr>
        <w:t>Create Project</w:t>
      </w:r>
      <w:r>
        <w:t xml:space="preserve"> if you have rights.</w:t>
      </w:r>
    </w:p>
    <w:p>
      <w:pPr>
        <w:pStyle w:val="ListBullet"/>
      </w:pPr>
      <w:r>
        <w:rPr>
          <w:b/>
        </w:rPr>
        <w:t>Resource Management</w:t>
      </w:r>
      <w:r>
        <w:t xml:space="preserve"> - resource repository.</w:t>
      </w:r>
    </w:p>
    <w:p>
      <w:pPr>
        <w:pStyle w:val="ListBullet"/>
      </w:pPr>
      <w:r>
        <w:rPr>
          <w:b/>
        </w:rPr>
        <w:t>Report Management</w:t>
      </w:r>
      <w:r>
        <w:t xml:space="preserve"> - reports and dashboards.</w:t>
      </w:r>
    </w:p>
    <w:p>
      <w:pPr>
        <w:pStyle w:val="ListBullet"/>
      </w:pPr>
      <w:r>
        <w:rPr>
          <w:b/>
        </w:rPr>
        <w:t>Bulk Project Allocation Flatgrid</w:t>
      </w:r>
      <w:r>
        <w:t xml:space="preserve"> - multi-project allocation grid (</w:t>
      </w:r>
      <w:r>
        <w:rPr>
          <w:b/>
        </w:rPr>
        <w:t>often RM</w:t>
      </w:r>
      <w:r>
        <w:t>; see that chapter).</w:t>
      </w:r>
    </w:p>
    <w:p>
      <w:pPr>
        <w:pStyle w:val="ListBullet"/>
      </w:pPr>
      <w:r>
        <w:rPr>
          <w:b/>
        </w:rPr>
        <w:t>Roadmap Management</w:t>
      </w:r>
      <w:r>
        <w:t xml:space="preserve"> - roadmap / portfolio timeline (if licensed and granted).</w:t>
      </w:r>
    </w:p>
    <w:p>
      <w:pPr>
        <w:pStyle w:val="ListBullet"/>
      </w:pPr>
      <w:r>
        <w:rPr>
          <w:b/>
        </w:rPr>
        <w:t>All Resource Requests</w:t>
      </w:r>
      <w:r>
        <w:t xml:space="preserve"> / </w:t>
      </w:r>
      <w:r>
        <w:rPr>
          <w:b/>
        </w:rPr>
        <w:t>Resource Requests</w:t>
      </w:r>
      <w:r>
        <w:t xml:space="preserve"> - request inbox and workflow.</w:t>
      </w:r>
    </w:p>
    <w:p>
      <w:pPr>
        <w:pStyle w:val="ListBullet"/>
      </w:pPr>
      <w:r>
        <w:rPr>
          <w:b/>
        </w:rPr>
        <w:t>Bulk Resource Capacities</w:t>
      </w:r>
      <w:r>
        <w:t xml:space="preserve"> - capacity editing at scale (</w:t>
      </w:r>
      <w:r>
        <w:rPr>
          <w:b/>
        </w:rPr>
        <w:t>often RM</w:t>
      </w:r>
      <w:r>
        <w:t>).</w:t>
      </w:r>
    </w:p>
    <w:p>
      <w:pPr>
        <w:pStyle w:val="ListBullet"/>
      </w:pPr>
      <w:r>
        <w:rPr>
          <w:b/>
        </w:rPr>
        <w:t>Budget Management</w:t>
      </w:r>
      <w:r>
        <w:t xml:space="preserve"> - budget rollups (if granted).</w:t>
      </w:r>
    </w:p>
    <w:p>
      <w:pPr>
        <w:pStyle w:val="ListBullet"/>
      </w:pPr>
      <w:r>
        <w:rPr>
          <w:b/>
        </w:rPr>
        <w:t>Admin Settings</w:t>
      </w:r>
      <w:r>
        <w:t xml:space="preserve"> - configuration (</w:t>
      </w:r>
      <w:r>
        <w:rPr>
          <w:b/>
        </w:rPr>
        <w:t>admin</w:t>
      </w:r>
      <w:r>
        <w:t>).</w:t>
      </w:r>
    </w:p>
    <w:p>
      <w:pPr>
        <w:pStyle w:val="ListBullet"/>
      </w:pPr>
      <w:r>
        <w:rPr>
          <w:b/>
        </w:rPr>
        <w:t>Tempus What if</w:t>
      </w:r>
      <w:r>
        <w:t xml:space="preserve"> - scenarios (</w:t>
      </w:r>
      <w:r>
        <w:rPr>
          <w:b/>
        </w:rPr>
        <w:t>separate</w:t>
      </w:r>
      <w:r>
        <w:t xml:space="preserve"> governance).</w:t>
      </w:r>
    </w:p>
    <w:p>
      <w:pPr>
        <w:pStyle w:val="ListBullet"/>
      </w:pPr>
      <w:r>
        <w:rPr>
          <w:b/>
        </w:rPr>
        <w:t>Scribe Rollup</w:t>
      </w:r>
      <w:r>
        <w:t xml:space="preserve"> - rollup views (if granted).</w:t>
      </w:r>
    </w:p>
    <w:p>
      <w:pPr>
        <w:pStyle w:val="ListBullet"/>
      </w:pPr>
      <w:r>
        <w:rPr>
          <w:b/>
        </w:rPr>
        <w:t>Audit Log</w:t>
      </w:r>
      <w:r>
        <w:t xml:space="preserve"> - activity stream (</w:t>
      </w:r>
      <w:r>
        <w:rPr>
          <w:b/>
        </w:rPr>
        <w:t>only</w:t>
      </w:r>
      <w:r>
        <w:t xml:space="preserve"> with audit permission).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 xml:space="preserve">Note: If your homescreen looks “empty” compared to a colleague’s, that is usually </w:t>
            </w:r>
            <w:r>
              <w:rPr>
                <w:b/>
              </w:rPr>
              <w:t>role-based</w:t>
            </w:r>
            <w:r>
              <w:t>, not a defect.</w:t>
            </w:r>
          </w:p>
        </w:tc>
      </w:tr>
    </w:tbl>
    <w:p/>
    <w:p>
      <w:pPr>
        <w:pStyle w:val="Heading3"/>
      </w:pPr>
      <w:r>
        <w:t>Audit Log</w:t>
      </w:r>
    </w:p>
    <w:p>
      <w:r>
        <w:t>The right-hand pane shows recent platform activity such as recent logins and project updates. It is read-only and helps you spot what other Knauf users have changed without leaving the homescreen.</w:t>
      </w:r>
    </w:p>
    <w:p>
      <w:pPr>
        <w:pStyle w:val="Heading3"/>
      </w:pPr>
      <w:r>
        <w:t>Task Bar</w:t>
      </w:r>
    </w:p>
    <w:p>
      <w:r>
        <w:t>The blue ribbon across the top is available from every screen:</w:t>
      </w:r>
    </w:p>
    <w:p>
      <w:pPr>
        <w:pStyle w:val="ListBullet"/>
      </w:pPr>
      <w:r>
        <w:t xml:space="preserve">The </w:t>
      </w:r>
      <w:r>
        <w:rPr>
          <w:b/>
        </w:rPr>
        <w:t>Tempus logo</w:t>
      </w:r>
      <w:r>
        <w:t xml:space="preserve"> (top-left) returns you to the homescreen.</w:t>
      </w:r>
    </w:p>
    <w:p>
      <w:pPr>
        <w:pStyle w:val="ListBullet"/>
      </w:pPr>
      <w:r>
        <w:t xml:space="preserve">The </w:t>
      </w:r>
      <w:r>
        <w:rPr>
          <w:b/>
        </w:rPr>
        <w:t>magnifying glass</w:t>
      </w:r>
      <w:r>
        <w:t xml:space="preserve"> opens global search to find a project, resource, or report.</w:t>
      </w:r>
    </w:p>
    <w:p>
      <w:pPr>
        <w:pStyle w:val="ListBullet"/>
      </w:pPr>
      <w:r>
        <w:t xml:space="preserve">The </w:t>
      </w:r>
      <w:r>
        <w:rPr>
          <w:b/>
        </w:rPr>
        <w:t>bell</w:t>
      </w:r>
      <w:r>
        <w:t xml:space="preserve"> opens notifications.</w:t>
      </w:r>
    </w:p>
    <w:p>
      <w:pPr>
        <w:pStyle w:val="ListBullet"/>
      </w:pPr>
      <w:r>
        <w:t xml:space="preserve">The </w:t>
      </w:r>
      <w:r>
        <w:rPr>
          <w:b/>
        </w:rPr>
        <w:t>hamburger menu</w:t>
      </w:r>
      <w:r>
        <w:t xml:space="preserve"> opens the full navigation drawer.</w:t>
      </w:r>
    </w:p>
    <w:p>
      <w:pPr>
        <w:pStyle w:val="ListBullet"/>
      </w:pPr>
      <w:r>
        <w:t xml:space="preserve">The </w:t>
      </w:r>
      <w:r>
        <w:rPr>
          <w:b/>
        </w:rPr>
        <w:t>question mark</w:t>
      </w:r>
      <w:r>
        <w:t xml:space="preserve"> opens the Help Center.</w:t>
      </w:r>
    </w:p>
    <w:p>
      <w:pPr>
        <w:pStyle w:val="ListBullet"/>
      </w:pPr>
      <w:r>
        <w:t xml:space="preserve">The </w:t>
      </w:r>
      <w:r>
        <w:rPr>
          <w:b/>
        </w:rPr>
        <w:t>moon / sun icon</w:t>
      </w:r>
      <w:r>
        <w:t xml:space="preserve"> toggles dark mode.</w:t>
      </w:r>
    </w:p>
    <w:p>
      <w:pPr>
        <w:pStyle w:val="ListBullet"/>
      </w:pPr>
      <w:r>
        <w:t xml:space="preserve">The </w:t>
      </w:r>
      <w:r>
        <w:rPr>
          <w:b/>
        </w:rPr>
        <w:t>user avatar</w:t>
      </w:r>
      <w:r>
        <w:t xml:space="preserve"> opens the profile menu (Profile, Subscriptions, My skill matrix, Logout).</w:t>
      </w:r>
    </w:p>
    <w:p>
      <w:pPr>
        <w:pStyle w:val="Heading2"/>
      </w:pPr>
      <w:r>
        <w:t>Recommended Notification Subscriptions</w:t>
      </w:r>
    </w:p>
    <w:p>
      <w:r>
        <w:t xml:space="preserve">Planners (PM/SM and RM) should configure notifications from the </w:t>
      </w:r>
      <w:r>
        <w:rPr>
          <w:b/>
        </w:rPr>
        <w:t>Subscriptions</w:t>
      </w:r>
      <w:r>
        <w:t xml:space="preserve"> entry in the profile menu where your role allows it.</w:t>
      </w:r>
    </w:p>
    <w:p>
      <w:pPr>
        <w:pStyle w:val="Heading3"/>
      </w:pPr>
      <w:r>
        <w:t>Project Notifications</w:t>
      </w:r>
    </w:p>
    <w:p>
      <w:r>
        <w:t xml:space="preserve">In the </w:t>
      </w:r>
      <w:r>
        <w:rPr>
          <w:b/>
        </w:rPr>
        <w:t>Project</w:t>
      </w:r>
      <w:r>
        <w:t xml:space="preserve"> tab, add the projects you want to follow. Avoid the "all projects" option, since each entry must be unsubscribed individually.</w:t>
      </w:r>
    </w:p>
    <w:p>
      <w:r>
        <w:t>Recommended notifications per project:</w:t>
      </w:r>
    </w:p>
    <w:p>
      <w:pPr>
        <w:pStyle w:val="ListBullet"/>
      </w:pPr>
      <w:r>
        <w:rPr>
          <w:b/>
        </w:rPr>
        <w:t>Attributes</w:t>
      </w:r>
      <w:r>
        <w:t xml:space="preserve"> - any change to project attributes.</w:t>
      </w:r>
    </w:p>
    <w:p>
      <w:pPr>
        <w:pStyle w:val="ListBullet"/>
      </w:pPr>
      <w:r>
        <w:rPr>
          <w:b/>
        </w:rPr>
        <w:t>Allocations</w:t>
      </w:r>
      <w:r>
        <w:t xml:space="preserve"> - any change to project allocations.</w:t>
      </w:r>
    </w:p>
    <w:p>
      <w:pPr>
        <w:pStyle w:val="ListBullet"/>
      </w:pPr>
      <w:r>
        <w:rPr>
          <w:b/>
        </w:rPr>
        <w:t>Deleted</w:t>
      </w:r>
      <w:r>
        <w:t xml:space="preserve"> - notification when the project is deleted.</w:t>
      </w:r>
    </w:p>
    <w:p>
      <w:pPr>
        <w:pStyle w:val="Heading3"/>
      </w:pPr>
      <w:r>
        <w:t>Resource Request Notifications</w:t>
      </w:r>
    </w:p>
    <w:p>
      <w:r>
        <w:t xml:space="preserve">In the </w:t>
      </w:r>
      <w:r>
        <w:rPr>
          <w:b/>
        </w:rPr>
        <w:t>Resource Request</w:t>
      </w:r>
      <w:r>
        <w:t xml:space="preserve"> tab, opt in to one or more outcomes for the resource requests you have submitted (approved, replaced, rejected, etc.).</w:t>
      </w:r>
    </w:p>
    <w:p>
      <w:r>
        <w:br w:type="page"/>
      </w:r>
    </w:p>
    <w:p>
      <w:pPr>
        <w:pStyle w:val="Heading1"/>
      </w:pPr>
      <w:r>
        <w:t>Creating a Project</w:t>
      </w:r>
    </w:p>
    <w:p>
      <w:r>
        <w:t>A new project is created from the Project Management grid. Once it has a name and a valid date range, you can immediately move on to defining master data, resources, and costs.</w:t>
      </w:r>
    </w:p>
    <w:p>
      <w:pPr>
        <w:pStyle w:val="Heading2"/>
      </w:pPr>
      <w:r>
        <w:t>Open the Project Management Grid</w:t>
      </w:r>
    </w:p>
    <w:p>
      <w:r>
        <w:t xml:space="preserve">From the homescreen, click the </w:t>
      </w:r>
      <w:r>
        <w:rPr>
          <w:b/>
        </w:rPr>
        <w:t>Project Management</w:t>
      </w:r>
      <w:r>
        <w:t xml:space="preserve"> tile (or the small "+" badge on the tile for a shortcut into the create flow).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016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m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3A3A"/>
          <w:sz w:val="18"/>
        </w:rPr>
        <w:t>Project Management grid</w:t>
      </w:r>
    </w:p>
    <w:p>
      <w:r>
        <w:t xml:space="preserve">The grid lists every project you can access. You can switch between </w:t>
      </w:r>
      <w:r>
        <w:rPr>
          <w:b/>
        </w:rPr>
        <w:t>Kanban</w:t>
      </w:r>
      <w:r>
        <w:t xml:space="preserve">, </w:t>
      </w:r>
      <w:r>
        <w:rPr>
          <w:b/>
        </w:rPr>
        <w:t>Grid</w:t>
      </w:r>
      <w:r>
        <w:t xml:space="preserve">, and </w:t>
      </w:r>
      <w:r>
        <w:rPr>
          <w:b/>
        </w:rPr>
        <w:t>Gantt</w:t>
      </w:r>
      <w:r>
        <w:t xml:space="preserve"> view via the tabs in the top-right. Knauf naming follows a pipe-separated convention (for example </w:t>
      </w:r>
      <w:r>
        <w:rPr>
          <w:rFonts w:ascii="Consolas" w:hAnsi="Consolas"/>
          <w:sz w:val="20"/>
        </w:rPr>
        <w:t>XU | GLO | P4K | Release 2026.1</w:t>
      </w:r>
      <w:r>
        <w:t xml:space="preserve">), so the </w:t>
      </w:r>
      <w:r>
        <w:rPr>
          <w:b/>
        </w:rPr>
        <w:t>Search</w:t>
      </w:r>
      <w:r>
        <w:t xml:space="preserve"> field with "contains" semantics is the fastest way to find a project.</w:t>
      </w:r>
    </w:p>
    <w:p>
      <w:pPr>
        <w:pStyle w:val="Heading2"/>
      </w:pPr>
      <w:r>
        <w:t>Pick a Template</w:t>
      </w:r>
    </w:p>
    <w:p>
      <w:r>
        <w:t xml:space="preserve">In the Project Management grid, click the green </w:t>
      </w:r>
      <w:r>
        <w:rPr>
          <w:b/>
        </w:rPr>
        <w:t>Create Project</w:t>
      </w:r>
      <w:r>
        <w:t xml:space="preserve"> button. A dropdown opens with the templates that Knauf has configured. Phase 1 typically offers:</w:t>
      </w:r>
    </w:p>
    <w:p>
      <w:pPr>
        <w:pStyle w:val="ListBullet"/>
      </w:pPr>
      <w:r>
        <w:rPr>
          <w:b/>
        </w:rPr>
        <w:t>Regular Project</w:t>
      </w:r>
      <w:r>
        <w:t xml:space="preserve"> - the standard delivery template (tasks, allocations, financials).</w:t>
      </w:r>
    </w:p>
    <w:p>
      <w:pPr>
        <w:pStyle w:val="ListBullet"/>
      </w:pPr>
      <w:r>
        <w:rPr>
          <w:b/>
        </w:rPr>
        <w:t>New Service</w:t>
      </w:r>
      <w:r>
        <w:t xml:space="preserve"> - a Service template for recurring operational work; pre-populates a longer timeframe and the Service 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016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reate_project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3A3A"/>
          <w:sz w:val="18"/>
        </w:rPr>
        <w:t>Create Project dropdown with Knauf templates</w:t>
      </w:r>
    </w:p>
    <w:p>
      <w:r>
        <w:t xml:space="preserve">Pick the template that matches the work. The new project opens directly in its </w:t>
      </w:r>
      <w:r>
        <w:rPr>
          <w:b/>
        </w:rPr>
        <w:t>Attributes</w:t>
      </w:r>
      <w:r>
        <w:t xml:space="preserve"> view so you can fill in the intake form.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>Note: Always start from a template rather than from a blank project. Templates carry Knauf's default attribute tagging and reduce setup time.</w:t>
            </w:r>
          </w:p>
        </w:tc>
      </w:tr>
    </w:tbl>
    <w:p/>
    <w:p>
      <w:pPr>
        <w:pStyle w:val="Heading2"/>
      </w:pPr>
      <w:r>
        <w:t>Fill In the Intake Form</w:t>
      </w:r>
    </w:p>
    <w:p>
      <w:r>
        <w:t>The Attributes view of a new project is organised in three sections (Intake Form, PMO, System Fields). At minimum, populate the fields marked with a red asterisk:</w:t>
      </w:r>
    </w:p>
    <w:p>
      <w:pPr>
        <w:pStyle w:val="ListBullet"/>
      </w:pPr>
      <w:r>
        <w:rPr>
          <w:b/>
        </w:rPr>
        <w:t>Project Name</w:t>
      </w:r>
      <w:r>
        <w:t xml:space="preserve"> - unique and descriptive.</w:t>
      </w:r>
    </w:p>
    <w:p>
      <w:pPr>
        <w:pStyle w:val="ListBullet"/>
      </w:pPr>
      <w:r>
        <w:rPr>
          <w:b/>
        </w:rPr>
        <w:t>Type</w:t>
      </w:r>
      <w:r>
        <w:t xml:space="preserve"> - Project or Service.</w:t>
      </w:r>
    </w:p>
    <w:p>
      <w:pPr>
        <w:pStyle w:val="ListBullet"/>
      </w:pPr>
      <w:r>
        <w:rPr>
          <w:b/>
        </w:rPr>
        <w:t>Service Name</w:t>
      </w:r>
      <w:r>
        <w:t xml:space="preserve"> - applicable when Type is Service; pick a service category.</w:t>
      </w:r>
    </w:p>
    <w:p>
      <w:pPr>
        <w:pStyle w:val="ListBullet"/>
      </w:pPr>
      <w:r>
        <w:rPr>
          <w:b/>
        </w:rPr>
        <w:t>Division</w:t>
      </w:r>
      <w:r>
        <w:t xml:space="preserve"> - Knauf division responsible for the work.</w:t>
      </w:r>
    </w:p>
    <w:p>
      <w:pPr>
        <w:pStyle w:val="ListBullet"/>
      </w:pPr>
      <w:r>
        <w:rPr>
          <w:b/>
        </w:rPr>
        <w:t>Product/Platform Area</w:t>
      </w:r>
      <w:r>
        <w:t xml:space="preserve"> - the area (for example MSS, MoB).</w:t>
      </w:r>
    </w:p>
    <w:p>
      <w:pPr>
        <w:pStyle w:val="ListBullet"/>
      </w:pPr>
      <w:r>
        <w:rPr>
          <w:b/>
        </w:rPr>
        <w:t>Lead Product/Platform</w:t>
      </w:r>
      <w:r>
        <w:t xml:space="preserve"> - the leading platform (for example SFX Platform).</w:t>
      </w:r>
    </w:p>
    <w:p>
      <w:pPr>
        <w:pStyle w:val="ListBullet"/>
      </w:pPr>
      <w:r>
        <w:rPr>
          <w:b/>
        </w:rPr>
        <w:t>Business Portfolio</w:t>
      </w:r>
      <w:r>
        <w:t xml:space="preserve"> - the business portfolio this project belongs to (for example MoB).</w:t>
      </w:r>
    </w:p>
    <w:p>
      <w:pPr>
        <w:pStyle w:val="ListBullet"/>
      </w:pPr>
      <w:r>
        <w:rPr>
          <w:b/>
        </w:rPr>
        <w:t>Planned Start date / Planned End Date</w:t>
      </w:r>
      <w:r>
        <w:t xml:space="preserve"> - the project's planning window. Tempus uses this to drive the allocation and financial grids.</w:t>
      </w:r>
    </w:p>
    <w:p>
      <w:pPr>
        <w:pStyle w:val="ListBullet"/>
      </w:pPr>
      <w:r>
        <w:rPr>
          <w:b/>
        </w:rPr>
        <w:t>Project Charging Type</w:t>
      </w:r>
      <w:r>
        <w:t xml:space="preserve"> - how the project is charged internally.</w:t>
      </w:r>
    </w:p>
    <w:p>
      <w:pPr>
        <w:pStyle w:val="ListBullet"/>
      </w:pPr>
      <w:r>
        <w:rPr>
          <w:b/>
        </w:rPr>
        <w:t>Legal Entity</w:t>
      </w:r>
      <w:r>
        <w:t xml:space="preserve"> - the Knauf legal entity.</w:t>
      </w:r>
    </w:p>
    <w:p>
      <w:pPr>
        <w:pStyle w:val="ListBullet"/>
      </w:pPr>
      <w:r>
        <w:rPr>
          <w:b/>
        </w:rPr>
        <w:t>Program Evolution Relation</w:t>
      </w:r>
      <w:r>
        <w:t xml:space="preserve"> - the relationship to a parent program.</w:t>
      </w:r>
    </w:p>
    <w:p>
      <w:pPr>
        <w:pStyle w:val="ListBullet"/>
      </w:pPr>
      <w:r>
        <w:rPr>
          <w:b/>
        </w:rPr>
        <w:t>Project Manager</w:t>
      </w:r>
      <w:r>
        <w:t xml:space="preserve"> - the responsible PM. The PM sees the project under the "My Projects" quick filter.</w:t>
      </w:r>
    </w:p>
    <w:p>
      <w:r>
        <w:t>The optional fields (Program, Categorization, Project Category) help with portfolio reporting later on but are not required to save the project.</w:t>
      </w:r>
    </w:p>
    <w:p>
      <w:r>
        <w:t xml:space="preserve">Press </w:t>
      </w:r>
      <w:r>
        <w:rPr>
          <w:b/>
        </w:rPr>
        <w:t>Save</w:t>
      </w:r>
      <w:r>
        <w:t xml:space="preserve"> in the top toolbar. Tempus persists the project and unlocks the other project views (Allocations, Financials, Schedule, etc.).</w:t>
      </w:r>
    </w:p>
    <w:p>
      <w:pPr>
        <w:pStyle w:val="Heading2"/>
      </w:pPr>
      <w:r>
        <w:t>PMO and System Fields</w:t>
      </w:r>
    </w:p>
    <w:p>
      <w:r>
        <w:t>After the intake form, scroll down to maintain the PMO information:</w:t>
      </w:r>
    </w:p>
    <w:p>
      <w:pPr>
        <w:pStyle w:val="ListBullet"/>
      </w:pPr>
      <w:r>
        <w:rPr>
          <w:b/>
        </w:rPr>
        <w:t>Above Red Line</w:t>
      </w:r>
      <w:r>
        <w:t xml:space="preserve"> - portfolio prioritisation flag.</w:t>
      </w:r>
    </w:p>
    <w:p>
      <w:pPr>
        <w:pStyle w:val="ListBullet"/>
      </w:pPr>
      <w:r>
        <w:rPr>
          <w:b/>
        </w:rPr>
        <w:t>Portfolio Status</w:t>
      </w:r>
      <w:r>
        <w:t xml:space="preserve"> - lifecycle status (default </w:t>
      </w:r>
      <w:r>
        <w:rPr>
          <w:rFonts w:ascii="Consolas" w:hAnsi="Consolas"/>
          <w:sz w:val="20"/>
        </w:rPr>
        <w:t>0 - Draft</w:t>
      </w:r>
      <w:r>
        <w:t>).</w:t>
      </w:r>
    </w:p>
    <w:p>
      <w:pPr>
        <w:pStyle w:val="ListBullet"/>
      </w:pPr>
      <w:r>
        <w:rPr>
          <w:b/>
        </w:rPr>
        <w:t>Ranking</w:t>
      </w:r>
      <w:r>
        <w:t xml:space="preserve"> - portfolio ranking.</w:t>
      </w:r>
    </w:p>
    <w:p>
      <w:pPr>
        <w:pStyle w:val="ListBullet"/>
      </w:pPr>
      <w:r>
        <w:rPr>
          <w:b/>
        </w:rPr>
        <w:t>Ext. Project Number</w:t>
      </w:r>
      <w:r>
        <w:t xml:space="preserve"> - the external project number; tagged </w:t>
      </w:r>
      <w:r>
        <w:rPr>
          <w:rFonts w:ascii="Consolas" w:hAnsi="Consolas"/>
          <w:sz w:val="20"/>
        </w:rPr>
        <w:t>UNIQUE</w:t>
      </w:r>
      <w:r>
        <w:t>, so duplicates are rejected.</w:t>
      </w:r>
    </w:p>
    <w:p>
      <w:pPr>
        <w:pStyle w:val="ListBullet"/>
      </w:pPr>
      <w:r>
        <w:rPr>
          <w:b/>
        </w:rPr>
        <w:t>Project Identifier Code (WBS)</w:t>
      </w:r>
      <w:r>
        <w:t xml:space="preserve"> - the Knauf WBS code, for example </w:t>
      </w:r>
      <w:r>
        <w:rPr>
          <w:rFonts w:ascii="Consolas" w:hAnsi="Consolas"/>
          <w:sz w:val="20"/>
        </w:rPr>
        <w:t>A.0248.10.000460.22</w:t>
      </w:r>
      <w:r>
        <w:t>.</w:t>
      </w:r>
    </w:p>
    <w:p>
      <w:r>
        <w:t xml:space="preserve">System Fields hold the </w:t>
      </w:r>
      <w:r>
        <w:rPr>
          <w:b/>
        </w:rPr>
        <w:t>Security Group</w:t>
      </w:r>
      <w:r>
        <w:t xml:space="preserve"> (defaults to </w:t>
      </w:r>
      <w:r>
        <w:rPr>
          <w:rFonts w:ascii="Consolas" w:hAnsi="Consolas"/>
          <w:sz w:val="20"/>
        </w:rPr>
        <w:t>Default</w:t>
      </w:r>
      <w:r>
        <w:t xml:space="preserve">) and the </w:t>
      </w:r>
      <w:r>
        <w:rPr>
          <w:b/>
        </w:rPr>
        <w:t>Assignment Workflow</w:t>
      </w:r>
      <w:r>
        <w:t>; only adjust these when an admin has briefed you.</w:t>
      </w:r>
    </w:p>
    <w:p>
      <w:r>
        <w:br w:type="page"/>
      </w:r>
    </w:p>
    <w:p>
      <w:pPr>
        <w:pStyle w:val="Heading1"/>
      </w:pPr>
      <w:r>
        <w:t>Project Master Data</w:t>
      </w:r>
    </w:p>
    <w:p>
      <w:r>
        <w:t xml:space="preserve">Project master data lives in the </w:t>
      </w:r>
      <w:r>
        <w:rPr>
          <w:b/>
        </w:rPr>
        <w:t>Attributes</w:t>
      </w:r>
      <w:r>
        <w:t xml:space="preserve"> view of the individual project screen. Keeping it accurate is the basis for clean filtering, grouping, and reporting later on.</w:t>
      </w:r>
    </w:p>
    <w:p>
      <w:pPr>
        <w:pStyle w:val="Heading2"/>
      </w:pPr>
      <w:r>
        <w:t>Open the Attributes View</w:t>
      </w:r>
    </w:p>
    <w:p>
      <w:pPr>
        <w:pStyle w:val="ListNumber"/>
      </w:pPr>
      <w:r>
        <w:t>From the Project Management grid, click any project name. The project opens in its default view.</w:t>
      </w:r>
    </w:p>
    <w:p>
      <w:pPr>
        <w:pStyle w:val="ListNumber"/>
      </w:pPr>
      <w:r>
        <w:t xml:space="preserve">From the view selector in the top-right of the project screen, choose </w:t>
      </w:r>
      <w:r>
        <w:rPr>
          <w:b/>
        </w:rPr>
        <w:t>Attributes</w:t>
      </w:r>
      <w:r>
        <w:t>.</w:t>
      </w:r>
    </w:p>
    <w:p>
      <w:r>
        <w:t>The Attributes view is grouped into four collapsible sections.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01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ttributes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3A3A"/>
          <w:sz w:val="18"/>
        </w:rPr>
        <w:t>Project Attributes view</w:t>
      </w:r>
    </w:p>
    <w:p>
      <w:pPr>
        <w:pStyle w:val="Heading2"/>
      </w:pPr>
      <w:r>
        <w:t>Intake Form</w:t>
      </w:r>
    </w:p>
    <w:p>
      <w:r>
        <w:t>The Intake Form holds the core business attributes. The fields marked with a red asterisk are mandatory at Knauf.</w:t>
      </w:r>
    </w:p>
    <w:p>
      <w:pPr>
        <w:pStyle w:val="ListBullet"/>
      </w:pPr>
      <w:r>
        <w:rPr>
          <w:b/>
        </w:rPr>
        <w:t>Type</w:t>
      </w:r>
      <w:r>
        <w:t xml:space="preserve"> *: Project or Service.</w:t>
      </w:r>
    </w:p>
    <w:p>
      <w:pPr>
        <w:pStyle w:val="ListBullet"/>
      </w:pPr>
      <w:r>
        <w:rPr>
          <w:b/>
        </w:rPr>
        <w:t>Service Name</w:t>
      </w:r>
      <w:r>
        <w:t xml:space="preserve"> *: applicable when Type is Service; pick a service category. For regular projects this stays at </w:t>
      </w:r>
      <w:r>
        <w:rPr>
          <w:rFonts w:ascii="Consolas" w:hAnsi="Consolas"/>
          <w:sz w:val="20"/>
        </w:rPr>
        <w:t>Project - n.a.</w:t>
      </w:r>
      <w:r>
        <w:t>.</w:t>
      </w:r>
    </w:p>
    <w:p>
      <w:pPr>
        <w:pStyle w:val="ListBullet"/>
      </w:pPr>
      <w:r>
        <w:rPr>
          <w:b/>
        </w:rPr>
        <w:t>Division</w:t>
      </w:r>
      <w:r>
        <w:t xml:space="preserve"> *: for example </w:t>
      </w:r>
      <w:r>
        <w:rPr>
          <w:rFonts w:ascii="Consolas" w:hAnsi="Consolas"/>
          <w:sz w:val="20"/>
        </w:rPr>
        <w:t>Enterprise Solutions</w:t>
      </w:r>
      <w:r>
        <w:t>.</w:t>
      </w:r>
    </w:p>
    <w:p>
      <w:pPr>
        <w:pStyle w:val="ListBullet"/>
      </w:pPr>
      <w:r>
        <w:rPr>
          <w:b/>
        </w:rPr>
        <w:t>Product/ Platform Area</w:t>
      </w:r>
      <w:r>
        <w:t xml:space="preserve"> *: for example </w:t>
      </w:r>
      <w:r>
        <w:rPr>
          <w:rFonts w:ascii="Consolas" w:hAnsi="Consolas"/>
          <w:sz w:val="20"/>
        </w:rPr>
        <w:t>MSS</w:t>
      </w:r>
      <w:r>
        <w:t>.</w:t>
      </w:r>
    </w:p>
    <w:p>
      <w:pPr>
        <w:pStyle w:val="ListBullet"/>
      </w:pPr>
      <w:r>
        <w:rPr>
          <w:b/>
        </w:rPr>
        <w:t>Lead Product/Platform</w:t>
      </w:r>
      <w:r>
        <w:t xml:space="preserve"> *: for example </w:t>
      </w:r>
      <w:r>
        <w:rPr>
          <w:rFonts w:ascii="Consolas" w:hAnsi="Consolas"/>
          <w:sz w:val="20"/>
        </w:rPr>
        <w:t>SFX Platform</w:t>
      </w:r>
      <w:r>
        <w:t>.</w:t>
      </w:r>
    </w:p>
    <w:p>
      <w:pPr>
        <w:pStyle w:val="ListBullet"/>
      </w:pPr>
      <w:r>
        <w:rPr>
          <w:b/>
        </w:rPr>
        <w:t>Business Portfolio</w:t>
      </w:r>
      <w:r>
        <w:t xml:space="preserve"> *: for example </w:t>
      </w:r>
      <w:r>
        <w:rPr>
          <w:rFonts w:ascii="Consolas" w:hAnsi="Consolas"/>
          <w:sz w:val="20"/>
        </w:rPr>
        <w:t>MoB</w:t>
      </w:r>
      <w:r>
        <w:t>.</w:t>
      </w:r>
    </w:p>
    <w:p>
      <w:pPr>
        <w:pStyle w:val="ListBullet"/>
      </w:pPr>
      <w:r>
        <w:rPr>
          <w:b/>
        </w:rPr>
        <w:t>Planned Start date / Planned End Date</w:t>
      </w:r>
      <w:r>
        <w:t>: drives the allocation and financial timelines.</w:t>
      </w:r>
    </w:p>
    <w:p>
      <w:pPr>
        <w:pStyle w:val="ListBullet"/>
      </w:pPr>
      <w:r>
        <w:rPr>
          <w:b/>
        </w:rPr>
        <w:t>Program</w:t>
      </w:r>
      <w:r>
        <w:t>: optional - links the project to a parent program.</w:t>
      </w:r>
    </w:p>
    <w:p>
      <w:pPr>
        <w:pStyle w:val="ListBullet"/>
      </w:pPr>
      <w:r>
        <w:rPr>
          <w:b/>
        </w:rPr>
        <w:t>Categorization</w:t>
      </w:r>
      <w:r>
        <w:t xml:space="preserve">: optional - </w:t>
      </w:r>
      <w:r>
        <w:rPr>
          <w:rFonts w:ascii="Consolas" w:hAnsi="Consolas"/>
          <w:sz w:val="20"/>
        </w:rPr>
        <w:t>existing</w:t>
      </w:r>
      <w:r>
        <w:t xml:space="preserve"> or </w:t>
      </w:r>
      <w:r>
        <w:rPr>
          <w:rFonts w:ascii="Consolas" w:hAnsi="Consolas"/>
          <w:sz w:val="20"/>
        </w:rPr>
        <w:t>new</w:t>
      </w:r>
      <w:r>
        <w:t xml:space="preserve"> business.</w:t>
      </w:r>
    </w:p>
    <w:p>
      <w:pPr>
        <w:pStyle w:val="ListBullet"/>
      </w:pPr>
      <w:r>
        <w:rPr>
          <w:b/>
        </w:rPr>
        <w:t>Project Category</w:t>
      </w:r>
      <w:r>
        <w:t xml:space="preserve">: optional - for example </w:t>
      </w:r>
      <w:r>
        <w:rPr>
          <w:rFonts w:ascii="Consolas" w:hAnsi="Consolas"/>
          <w:sz w:val="20"/>
        </w:rPr>
        <w:t>Maintenance</w:t>
      </w:r>
      <w:r>
        <w:t>.</w:t>
      </w:r>
    </w:p>
    <w:p>
      <w:pPr>
        <w:pStyle w:val="ListBullet"/>
      </w:pPr>
      <w:r>
        <w:rPr>
          <w:b/>
        </w:rPr>
        <w:t>Project Charging Type</w:t>
      </w:r>
      <w:r>
        <w:t xml:space="preserve"> *: how the project is charged internally.</w:t>
      </w:r>
    </w:p>
    <w:p>
      <w:pPr>
        <w:pStyle w:val="ListBullet"/>
      </w:pPr>
      <w:r>
        <w:rPr>
          <w:b/>
        </w:rPr>
        <w:t>Legal Entity</w:t>
      </w:r>
      <w:r>
        <w:t xml:space="preserve"> *: the responsible Knauf legal entity.</w:t>
      </w:r>
    </w:p>
    <w:p>
      <w:pPr>
        <w:pStyle w:val="ListBullet"/>
      </w:pPr>
      <w:r>
        <w:rPr>
          <w:b/>
        </w:rPr>
        <w:t>Program Evolution Relation</w:t>
      </w:r>
      <w:r>
        <w:t xml:space="preserve"> *: relation to the wider program portfolio (for example </w:t>
      </w:r>
      <w:r>
        <w:rPr>
          <w:rFonts w:ascii="Consolas" w:hAnsi="Consolas"/>
          <w:sz w:val="20"/>
        </w:rPr>
        <w:t>beneficial</w:t>
      </w:r>
      <w:r>
        <w:t>).</w:t>
      </w:r>
    </w:p>
    <w:p>
      <w:pPr>
        <w:pStyle w:val="ListBullet"/>
      </w:pPr>
      <w:r>
        <w:rPr>
          <w:b/>
        </w:rPr>
        <w:t>Project Manager</w:t>
      </w:r>
      <w:r>
        <w:t>: the Tempus user owning the project end-to-end.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>Note: The green highlights you see around some attribute values are visual indicators that Knauf has configured. They typically flag attribute combinations that are valid or recommended.</w:t>
            </w:r>
          </w:p>
        </w:tc>
      </w:tr>
    </w:tbl>
    <w:p/>
    <w:p>
      <w:pPr>
        <w:pStyle w:val="Heading2"/>
      </w:pPr>
      <w:r>
        <w:t>PMO</w:t>
      </w:r>
    </w:p>
    <w:p>
      <w:r>
        <w:t>The PMO section captures portfolio-level metadata used by Knauf's portfolio reporting:</w:t>
      </w:r>
    </w:p>
    <w:p>
      <w:pPr>
        <w:pStyle w:val="ListBullet"/>
      </w:pPr>
      <w:r>
        <w:rPr>
          <w:b/>
        </w:rPr>
        <w:t>Above Red Line</w:t>
      </w:r>
      <w:r>
        <w:t xml:space="preserve"> - prioritisation flag (Yes / No / Not Set).</w:t>
      </w:r>
    </w:p>
    <w:p>
      <w:pPr>
        <w:pStyle w:val="ListBullet"/>
      </w:pPr>
      <w:r>
        <w:rPr>
          <w:b/>
        </w:rPr>
        <w:t>Portfolio Status</w:t>
      </w:r>
      <w:r>
        <w:t xml:space="preserve"> - lifecycle status, starting at </w:t>
      </w:r>
      <w:r>
        <w:rPr>
          <w:rFonts w:ascii="Consolas" w:hAnsi="Consolas"/>
          <w:sz w:val="20"/>
        </w:rPr>
        <w:t>0 - Draft</w:t>
      </w:r>
      <w:r>
        <w:t xml:space="preserve"> for a new project.</w:t>
      </w:r>
    </w:p>
    <w:p>
      <w:pPr>
        <w:pStyle w:val="ListBullet"/>
      </w:pPr>
      <w:r>
        <w:rPr>
          <w:b/>
        </w:rPr>
        <w:t>Ranking</w:t>
      </w:r>
      <w:r>
        <w:t xml:space="preserve"> - portfolio ranking.</w:t>
      </w:r>
    </w:p>
    <w:p>
      <w:pPr>
        <w:pStyle w:val="ListBullet"/>
      </w:pPr>
      <w:r>
        <w:rPr>
          <w:b/>
        </w:rPr>
        <w:t>Ext. Project Number</w:t>
      </w:r>
      <w:r>
        <w:t xml:space="preserve"> - the external project number; tagged </w:t>
      </w:r>
      <w:r>
        <w:rPr>
          <w:rFonts w:ascii="Consolas" w:hAnsi="Consolas"/>
          <w:sz w:val="20"/>
        </w:rPr>
        <w:t>UNIQUE</w:t>
      </w:r>
      <w:r>
        <w:t>.</w:t>
      </w:r>
    </w:p>
    <w:p>
      <w:pPr>
        <w:pStyle w:val="ListBullet"/>
      </w:pPr>
      <w:r>
        <w:rPr>
          <w:b/>
        </w:rPr>
        <w:t>Project Identifier Code (WBS)</w:t>
      </w:r>
      <w:r>
        <w:t xml:space="preserve"> - the Knauf WBS code (for example </w:t>
      </w:r>
      <w:r>
        <w:rPr>
          <w:rFonts w:ascii="Consolas" w:hAnsi="Consolas"/>
          <w:sz w:val="20"/>
        </w:rPr>
        <w:t>A.0248.10.000460.22</w:t>
      </w:r>
      <w:r>
        <w:t>).</w:t>
      </w:r>
    </w:p>
    <w:p>
      <w:pPr>
        <w:pStyle w:val="Heading2"/>
      </w:pPr>
      <w:r>
        <w:t>Dependency Section</w:t>
      </w:r>
    </w:p>
    <w:p>
      <w:r>
        <w:t xml:space="preserve">Use the Dependency Section to point at predecessor and successor projects. Leave it as </w:t>
      </w:r>
      <w:r>
        <w:rPr>
          <w:rFonts w:ascii="Consolas" w:hAnsi="Consolas"/>
          <w:sz w:val="20"/>
        </w:rPr>
        <w:t>Please select...</w:t>
      </w:r>
      <w:r>
        <w:t xml:space="preserve"> if there are no dependencies.</w:t>
      </w:r>
    </w:p>
    <w:p>
      <w:pPr>
        <w:pStyle w:val="Heading2"/>
      </w:pPr>
      <w:r>
        <w:t>System Fields</w:t>
      </w:r>
    </w:p>
    <w:p>
      <w:r>
        <w:t>System Fields are mostly read-only or admin-managed:</w:t>
      </w:r>
    </w:p>
    <w:p>
      <w:pPr>
        <w:pStyle w:val="ListBullet"/>
      </w:pPr>
      <w:r>
        <w:rPr>
          <w:b/>
        </w:rPr>
        <w:t>ID</w:t>
      </w:r>
      <w:r>
        <w:t xml:space="preserve"> - the internal Tempus project ID (read-only).</w:t>
      </w:r>
    </w:p>
    <w:p>
      <w:pPr>
        <w:pStyle w:val="ListBullet"/>
      </w:pPr>
      <w:r>
        <w:rPr>
          <w:b/>
        </w:rPr>
        <w:t>Security Group</w:t>
      </w:r>
      <w:r>
        <w:t xml:space="preserve"> - controls who can see and edit the project. Defaults to </w:t>
      </w:r>
      <w:r>
        <w:rPr>
          <w:rFonts w:ascii="Consolas" w:hAnsi="Consolas"/>
          <w:sz w:val="20"/>
        </w:rPr>
        <w:t>Default</w:t>
      </w:r>
      <w:r>
        <w:t>.</w:t>
      </w:r>
    </w:p>
    <w:p>
      <w:pPr>
        <w:pStyle w:val="ListBullet"/>
      </w:pPr>
      <w:r>
        <w:rPr>
          <w:b/>
        </w:rPr>
        <w:t>Assignment Workflow</w:t>
      </w:r>
      <w:r>
        <w:t xml:space="preserve"> - which approval workflow applies to resource requests; set by admin.</w:t>
      </w:r>
    </w:p>
    <w:p>
      <w:pPr>
        <w:pStyle w:val="Heading2"/>
      </w:pPr>
      <w:r>
        <w:t>Editing Master Data</w:t>
      </w:r>
    </w:p>
    <w:p>
      <w:r>
        <w:t xml:space="preserve">The Attributes view is editable in place. Adjust the values, then click </w:t>
      </w:r>
      <w:r>
        <w:rPr>
          <w:b/>
        </w:rPr>
        <w:t>Save</w:t>
      </w:r>
      <w:r>
        <w:t xml:space="preserve"> in the top toolbar. There is no separate checkout step for the Attributes view at Knauf - changes are persisted directly.</w:t>
      </w:r>
    </w:p>
    <w:p>
      <w:r>
        <w:t>If another user has the project locked, your edits will not save and you will see a warning. Wait for the lock to clear and retry.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>Note: Some attributes (Type, Service Name, Division, Portfolio fields) drive cost rollups and portfolio dashboards. Confirm with your Knauf admin which values are valid in your area, especially when creating a project from scratch.</w:t>
            </w:r>
          </w:p>
        </w:tc>
      </w:tr>
    </w:tbl>
    <w:p/>
    <w:p>
      <w:pPr>
        <w:pStyle w:val="Heading2"/>
      </w:pPr>
      <w:r>
        <w:t>Additional Project Options</w:t>
      </w:r>
    </w:p>
    <w:p>
      <w:r>
        <w:t>Below the project name (top-left) you find a row of icons that expose power-user options:</w:t>
      </w:r>
    </w:p>
    <w:p>
      <w:pPr>
        <w:pStyle w:val="ListBullet"/>
      </w:pPr>
      <w:r>
        <w:rPr>
          <w:b/>
        </w:rPr>
        <w:t>Clone</w:t>
      </w:r>
      <w:r>
        <w:t xml:space="preserve"> - create a copy of the project, including allocations and attributes.</w:t>
      </w:r>
    </w:p>
    <w:p>
      <w:pPr>
        <w:pStyle w:val="ListBullet"/>
      </w:pPr>
      <w:r>
        <w:rPr>
          <w:b/>
        </w:rPr>
        <w:t>Snapshot</w:t>
      </w:r>
      <w:r>
        <w:t xml:space="preserve"> - capture the current state for later comparison.</w:t>
      </w:r>
    </w:p>
    <w:p>
      <w:pPr>
        <w:pStyle w:val="ListBullet"/>
      </w:pPr>
      <w:r>
        <w:rPr>
          <w:b/>
        </w:rPr>
        <w:t>Lock / Unlock</w:t>
      </w:r>
      <w:r>
        <w:t xml:space="preserve"> - prevent or allow concurrent edits.</w:t>
      </w:r>
    </w:p>
    <w:p>
      <w:pPr>
        <w:pStyle w:val="ListBullet"/>
      </w:pPr>
      <w:r>
        <w:rPr>
          <w:b/>
        </w:rPr>
        <w:t>Create Template</w:t>
      </w:r>
      <w:r>
        <w:t xml:space="preserve"> - turn the current project into a reusable template for future projects.</w:t>
      </w:r>
    </w:p>
    <w:p>
      <w:pPr>
        <w:pStyle w:val="ListBullet"/>
      </w:pPr>
      <w:r>
        <w:rPr>
          <w:b/>
        </w:rPr>
        <w:t>Delete</w:t>
      </w:r>
      <w:r>
        <w:t xml:space="preserve"> - remove the project (usually reserved for admins).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016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ttributes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3A3A"/>
          <w:sz w:val="18"/>
        </w:rPr>
        <w:t>Additional project options buttons</w:t>
      </w:r>
    </w:p>
    <w:p>
      <w:r>
        <w:br w:type="page"/>
      </w:r>
    </w:p>
    <w:p>
      <w:pPr>
        <w:pStyle w:val="Heading1"/>
      </w:pPr>
      <w:r>
        <w:t>Project vs. Service</w:t>
      </w:r>
    </w:p>
    <w:p>
      <w:r>
        <w:t xml:space="preserve">Knauf plans two distinct kinds of work in Tempus: projects and services. They share the same allocation, master-data, and reporting screens, but Tempus distinguishes them through the </w:t>
      </w:r>
      <w:r>
        <w:rPr>
          <w:b/>
        </w:rPr>
        <w:t>Type</w:t>
      </w:r>
      <w:r>
        <w:t xml:space="preserve"> attribute, which drives several downstream behaviours.</w:t>
      </w:r>
    </w:p>
    <w:p>
      <w:pPr>
        <w:pStyle w:val="Heading2"/>
      </w:pPr>
      <w:r>
        <w:t>Templates at Creation Time</w:t>
      </w:r>
    </w:p>
    <w:p>
      <w:r>
        <w:t xml:space="preserve">The distinction starts already in the Create Project dropdown. The Knauf templates available to you </w:t>
      </w:r>
      <w:r>
        <w:rPr>
          <w:b/>
        </w:rPr>
        <w:t>when your role allows project creation</w:t>
      </w:r>
      <w:r>
        <w:t xml:space="preserve"> are typically:</w:t>
      </w:r>
    </w:p>
    <w:p>
      <w:pPr>
        <w:pStyle w:val="ListBullet"/>
      </w:pPr>
      <w:r>
        <w:rPr>
          <w:b/>
        </w:rPr>
        <w:t>Regular Project</w:t>
      </w:r>
      <w:r>
        <w:t xml:space="preserve"> - default template for delivery efforts with a defined goal, start, and end. Use this for transformation initiatives, rollouts, platform releases, and similar work.</w:t>
      </w:r>
    </w:p>
    <w:p>
      <w:pPr>
        <w:pStyle w:val="ListBullet"/>
      </w:pPr>
      <w:r>
        <w:rPr>
          <w:b/>
        </w:rPr>
        <w:t>New Service</w:t>
      </w:r>
      <w:r>
        <w:t xml:space="preserve"> - template for recurring operational work (run, change, maintenance, admin). The template pre-fills Type with </w:t>
      </w:r>
      <w:r>
        <w:rPr>
          <w:rFonts w:ascii="Consolas" w:hAnsi="Consolas"/>
          <w:sz w:val="20"/>
        </w:rPr>
        <w:t>Service</w:t>
      </w:r>
      <w:r>
        <w:t xml:space="preserve"> and a longer default timeframe.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>Note: Pick the template at creation time; it pre-populates the attributes correctly. Changing Type later is possible but rarely needed and triggers a re-evaluation of cost and workflow logic.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01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reate_project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3A3A"/>
          <w:sz w:val="18"/>
        </w:rPr>
        <w:t>Create Project template selector</w:t>
      </w:r>
    </w:p>
    <w:p>
      <w:pPr>
        <w:pStyle w:val="Heading2"/>
      </w:pPr>
      <w:r>
        <w:t>Where the Difference Surfaces</w:t>
      </w:r>
    </w:p>
    <w:p>
      <w:r>
        <w:t xml:space="preserve">Once created, both projects and services live side-by-side in the Project Management grid. Knauf typically prefixes services in the project name (for example </w:t>
      </w:r>
      <w:r>
        <w:rPr>
          <w:rFonts w:ascii="Consolas" w:hAnsi="Consolas"/>
          <w:sz w:val="20"/>
        </w:rPr>
        <w:t>Service CRM</w:t>
      </w:r>
      <w:r>
        <w:t xml:space="preserve">, </w:t>
      </w:r>
      <w:r>
        <w:rPr>
          <w:rFonts w:ascii="Consolas" w:hAnsi="Consolas"/>
          <w:sz w:val="20"/>
        </w:rPr>
        <w:t>Service CPQ</w:t>
      </w:r>
      <w:r>
        <w:t>) to make them easy to spot.</w:t>
      </w:r>
    </w:p>
    <w:p>
      <w:r>
        <w:t>The Attributes view shows the difference explicitly:</w:t>
      </w:r>
    </w:p>
    <w:p>
      <w:pPr>
        <w:pStyle w:val="ListBullet"/>
      </w:pPr>
      <w:r>
        <w:t xml:space="preserve">For projects, </w:t>
      </w:r>
      <w:r>
        <w:rPr>
          <w:b/>
        </w:rPr>
        <w:t>Type</w:t>
      </w:r>
      <w:r>
        <w:t xml:space="preserve"> is </w:t>
      </w:r>
      <w:r>
        <w:rPr>
          <w:rFonts w:ascii="Consolas" w:hAnsi="Consolas"/>
          <w:sz w:val="20"/>
        </w:rPr>
        <w:t>Project</w:t>
      </w:r>
      <w:r>
        <w:t xml:space="preserve"> and </w:t>
      </w:r>
      <w:r>
        <w:rPr>
          <w:b/>
        </w:rPr>
        <w:t>Service Name</w:t>
      </w:r>
      <w:r>
        <w:t xml:space="preserve"> is </w:t>
      </w:r>
      <w:r>
        <w:rPr>
          <w:rFonts w:ascii="Consolas" w:hAnsi="Consolas"/>
          <w:sz w:val="20"/>
        </w:rPr>
        <w:t>Project - n.a.</w:t>
      </w:r>
      <w:r>
        <w:t>.</w:t>
      </w:r>
    </w:p>
    <w:p>
      <w:pPr>
        <w:pStyle w:val="ListBullet"/>
      </w:pPr>
      <w:r>
        <w:t xml:space="preserve">For services, </w:t>
      </w:r>
      <w:r>
        <w:rPr>
          <w:b/>
        </w:rPr>
        <w:t>Type</w:t>
      </w:r>
      <w:r>
        <w:t xml:space="preserve"> is </w:t>
      </w:r>
      <w:r>
        <w:rPr>
          <w:rFonts w:ascii="Consolas" w:hAnsi="Consolas"/>
          <w:sz w:val="20"/>
        </w:rPr>
        <w:t>Service</w:t>
      </w:r>
      <w:r>
        <w:t xml:space="preserve"> and </w:t>
      </w:r>
      <w:r>
        <w:rPr>
          <w:b/>
        </w:rPr>
        <w:t>Service Name</w:t>
      </w:r>
      <w:r>
        <w:t xml:space="preserve"> carries the service category.</w:t>
      </w:r>
    </w:p>
    <w:p>
      <w:pPr>
        <w:pStyle w:val="Heading2"/>
      </w:pPr>
      <w:r>
        <w:t>Decision Aid</w:t>
      </w:r>
    </w:p>
    <w:p>
      <w:pPr>
        <w:pStyle w:val="ListBullet"/>
      </w:pPr>
      <w:r>
        <w:t>The work has a defined start and end with a delivery target -&gt; Regular Project.</w:t>
      </w:r>
    </w:p>
    <w:p>
      <w:pPr>
        <w:pStyle w:val="ListBullet"/>
      </w:pPr>
      <w:r>
        <w:t>The work is operational, ongoing, and team-based -&gt; Service.</w:t>
      </w:r>
    </w:p>
    <w:p>
      <w:pPr>
        <w:pStyle w:val="ListBullet"/>
      </w:pPr>
      <w:r>
        <w:t>The work is pending approval or still a "what-if" scenario -&gt; use Tempus What if (Phase 2) to model it.</w:t>
      </w:r>
    </w:p>
    <w:p>
      <w:pPr>
        <w:pStyle w:val="Heading2"/>
      </w:pPr>
      <w:r>
        <w:t>Implications for Planning</w:t>
      </w:r>
    </w:p>
    <w:p>
      <w:r>
        <w:rPr>
          <w:b/>
        </w:rPr>
        <w:t>Knauf Phase 1 (Budget) organisational rule</w:t>
      </w:r>
      <w:r>
        <w:t xml:space="preserve">: For the </w:t>
      </w:r>
      <w:r>
        <w:rPr>
          <w:b/>
        </w:rPr>
        <w:t>first year</w:t>
      </w:r>
      <w:r>
        <w:t xml:space="preserve"> of operations, Knauf intends </w:t>
      </w:r>
      <w:r>
        <w:rPr>
          <w:b/>
        </w:rPr>
        <w:t>no resource planning on services</w:t>
      </w:r>
      <w:r>
        <w:t xml:space="preserve"> in production workflows — focus </w:t>
      </w:r>
      <w:r>
        <w:rPr>
          <w:b/>
        </w:rPr>
        <w:t>resource and capacity planning on projects</w:t>
      </w:r>
      <w:r>
        <w:t xml:space="preserve"> first; services remain relevant for </w:t>
      </w:r>
      <w:r>
        <w:rPr>
          <w:b/>
        </w:rPr>
        <w:t>master data</w:t>
      </w:r>
      <w:r>
        <w:t xml:space="preserve">, </w:t>
      </w:r>
      <w:r>
        <w:rPr>
          <w:b/>
        </w:rPr>
        <w:t>cost categories</w:t>
      </w:r>
      <w:r>
        <w:t xml:space="preserve">, and reporting alignment. </w:t>
      </w:r>
      <w:r>
        <w:rPr>
          <w:i/>
        </w:rPr>
        <w:t>(Training material and sandbox may still use service examples so you recognise screens.)</w:t>
      </w:r>
      <w:r>
        <w:t xml:space="preserve"> Later phases may extend </w:t>
      </w:r>
      <w:r>
        <w:rPr>
          <w:b/>
        </w:rPr>
        <w:t>resource planning to services</w:t>
      </w:r>
      <w:r>
        <w:t>; follow announcements from IT Governance / Controlling.</w:t>
      </w:r>
    </w:p>
    <w:p>
      <w:r>
        <w:t>Where Knauf enables planning for both types, the same screens apply (allocations, financials, reports) with different defaults:</w:t>
      </w:r>
    </w:p>
    <w:p>
      <w:pPr>
        <w:pStyle w:val="ListBullet"/>
      </w:pPr>
      <w:r>
        <w:rPr>
          <w:b/>
        </w:rPr>
        <w:t>Timeframe</w:t>
      </w:r>
      <w:r>
        <w:t>: Services often use longer horizons in templates; projects follow delivery milestones.</w:t>
      </w:r>
    </w:p>
    <w:p>
      <w:pPr>
        <w:pStyle w:val="ListBullet"/>
      </w:pPr>
      <w:r>
        <w:rPr>
          <w:b/>
        </w:rPr>
        <w:t>Granularity</w:t>
      </w:r>
      <w:r>
        <w:t xml:space="preserve">: Planning is typically in </w:t>
      </w:r>
      <w:r>
        <w:rPr>
          <w:b/>
        </w:rPr>
        <w:t>Mandays</w:t>
      </w:r>
      <w:r>
        <w:t xml:space="preserve"> and in </w:t>
      </w:r>
      <w:r>
        <w:rPr>
          <w:b/>
        </w:rPr>
        <w:t>month or quarter</w:t>
      </w:r>
      <w:r>
        <w:t xml:space="preserve"> buckets, depending on the grid.</w:t>
      </w:r>
    </w:p>
    <w:p>
      <w:pPr>
        <w:pStyle w:val="ListBullet"/>
      </w:pPr>
      <w:r>
        <w:rPr>
          <w:b/>
        </w:rPr>
        <w:t>Cost rollup</w:t>
      </w:r>
      <w:r>
        <w:t>: Services typically map to “run-the-business” portfolios; projects to “change-the-business” where reports split by Type.</w:t>
      </w:r>
    </w:p>
    <w:p>
      <w:pPr>
        <w:pStyle w:val="ListBullet"/>
      </w:pPr>
      <w:r>
        <w:rPr>
          <w:b/>
        </w:rPr>
        <w:t>Reporting</w:t>
      </w:r>
      <w:r>
        <w:t>: Portfolio reports may filter by Type; use attributes consistently so filters work.</w:t>
      </w:r>
    </w:p>
    <w:p>
      <w:r>
        <w:rPr>
          <w:b/>
        </w:rPr>
        <w:t>Financial categories (Phase 1)</w:t>
      </w:r>
      <w:r>
        <w:t xml:space="preserve">: Knauf tracks </w:t>
      </w:r>
      <w:r>
        <w:rPr>
          <w:b/>
        </w:rPr>
        <w:t>seven</w:t>
      </w:r>
      <w:r>
        <w:t xml:space="preserve"> cost dimensions in the controlling model, including external consulting, IT licenses, IT leasing, managed IT services, other costs, CAPEX, and </w:t>
      </w:r>
      <w:r>
        <w:rPr>
          <w:b/>
        </w:rPr>
        <w:t>internal effort</w:t>
      </w:r>
      <w:r>
        <w:t xml:space="preserve"> (via rates × person-days). Exact aggregation to financial types is defined in Knauf workshops and may evolve — use the </w:t>
      </w:r>
      <w:r>
        <w:rPr>
          <w:b/>
        </w:rPr>
        <w:t>Financials</w:t>
      </w:r>
      <w:r>
        <w:t xml:space="preserve"> view and Controlling guidance for mandatory coding.</w:t>
      </w:r>
    </w:p>
    <w:p>
      <w:r>
        <w:br w:type="page"/>
      </w:r>
    </w:p>
    <w:p>
      <w:pPr>
        <w:pStyle w:val="Heading1"/>
      </w:pPr>
      <w:r>
        <w:t>Resource Planning</w:t>
      </w:r>
    </w:p>
    <w:p>
      <w:r>
        <w:t xml:space="preserve">Resource planning at Knauf happens primarily in the </w:t>
      </w:r>
      <w:r>
        <w:rPr>
          <w:b/>
        </w:rPr>
        <w:t>Allocations</w:t>
      </w:r>
      <w:r>
        <w:t xml:space="preserve"> view of an individual project. That is the main surface for </w:t>
      </w:r>
      <w:r>
        <w:rPr>
          <w:b/>
        </w:rPr>
        <w:t>PM/SM</w:t>
      </w:r>
      <w:r>
        <w:t xml:space="preserve"> planners who own a project. </w:t>
      </w:r>
      <w:r>
        <w:rPr>
          <w:b/>
        </w:rPr>
        <w:t>RM</w:t>
      </w:r>
      <w:r>
        <w:t xml:space="preserve"> planners may use the same view when supporting a project, but often spend more time in the </w:t>
      </w:r>
      <w:r>
        <w:rPr>
          <w:b/>
        </w:rPr>
        <w:t>Bulk Project Allocation Flatgrid</w:t>
      </w:r>
      <w:r>
        <w:t xml:space="preserve"> (see there). Bulk operations across multiple projects are covered in the </w:t>
      </w:r>
      <w:r>
        <w:rPr>
          <w:i/>
        </w:rPr>
        <w:t>Bulk Project Allocation Flatgrid</w:t>
      </w:r>
      <w:r>
        <w:t xml:space="preserve"> section.</w:t>
      </w:r>
    </w:p>
    <w:p>
      <w:pPr>
        <w:pStyle w:val="Heading2"/>
      </w:pPr>
      <w:r>
        <w:t>Open the Allocations View</w:t>
      </w:r>
    </w:p>
    <w:p>
      <w:r>
        <w:t xml:space="preserve">From the Project Management grid, click any project name. From the view selector in the top-right of the project screen, choose </w:t>
      </w:r>
      <w:r>
        <w:rPr>
          <w:b/>
        </w:rPr>
        <w:t>Allocations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016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pa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3A3A"/>
          <w:sz w:val="18"/>
        </w:rPr>
        <w:t>Single Project Allocations grid</w:t>
      </w:r>
    </w:p>
    <w:p>
      <w:pPr>
        <w:pStyle w:val="Heading2"/>
      </w:pPr>
      <w:r>
        <w:t>Anatomy of the Grid</w:t>
      </w:r>
    </w:p>
    <w:p>
      <w:r>
        <w:t>Above the grid you see the project metadata and toolbar:</w:t>
      </w:r>
    </w:p>
    <w:p>
      <w:pPr>
        <w:pStyle w:val="ListBullet"/>
      </w:pPr>
      <w:r>
        <w:rPr>
          <w:b/>
        </w:rPr>
        <w:t>Project Name</w:t>
      </w:r>
      <w:r>
        <w:t xml:space="preserve"> with the </w:t>
      </w:r>
      <w:r>
        <w:rPr>
          <w:b/>
        </w:rPr>
        <w:t>Checkout</w:t>
      </w:r>
      <w:r>
        <w:t xml:space="preserve"> button. To edit anything (allocations, rates, costs) you must check the project out first.</w:t>
      </w:r>
    </w:p>
    <w:p>
      <w:pPr>
        <w:pStyle w:val="ListBullet"/>
      </w:pPr>
      <w:r>
        <w:rPr>
          <w:b/>
        </w:rPr>
        <w:t>Start date</w:t>
      </w:r>
      <w:r>
        <w:t xml:space="preserve"> and </w:t>
      </w:r>
      <w:r>
        <w:rPr>
          <w:b/>
        </w:rPr>
        <w:t>End date</w:t>
      </w:r>
      <w:r>
        <w:t xml:space="preserve"> picker that limits the grid timeframe (read-only until you check out).</w:t>
      </w:r>
    </w:p>
    <w:p>
      <w:pPr>
        <w:pStyle w:val="ListBullet"/>
      </w:pPr>
      <w:r>
        <w:rPr>
          <w:b/>
        </w:rPr>
        <w:t>Shift</w:t>
      </w:r>
      <w:r>
        <w:t xml:space="preserve"> button to bulk-shift assignments by a number of months.</w:t>
      </w:r>
    </w:p>
    <w:p>
      <w:pPr>
        <w:pStyle w:val="ListBullet"/>
      </w:pPr>
      <w:r>
        <w:rPr>
          <w:b/>
        </w:rPr>
        <w:t>Allocation</w:t>
      </w:r>
      <w:r>
        <w:t xml:space="preserve"> toggle and </w:t>
      </w:r>
      <w:r>
        <w:rPr>
          <w:b/>
        </w:rPr>
        <w:t>Planned / Actual</w:t>
      </w:r>
      <w:r>
        <w:t xml:space="preserve"> selector.</w:t>
      </w:r>
    </w:p>
    <w:p>
      <w:r>
        <w:t>The toolbar below contains:</w:t>
      </w:r>
    </w:p>
    <w:p>
      <w:pPr>
        <w:pStyle w:val="ListBullet"/>
      </w:pPr>
      <w:r>
        <w:rPr>
          <w:b/>
        </w:rPr>
        <w:t>Expand grid</w:t>
      </w:r>
      <w:r>
        <w:t xml:space="preserve"> - one-click expansion of every group.</w:t>
      </w:r>
    </w:p>
    <w:p>
      <w:pPr>
        <w:pStyle w:val="ListBullet"/>
      </w:pPr>
      <w:r>
        <w:rPr>
          <w:b/>
        </w:rPr>
        <w:t>Options (gear)</w:t>
      </w:r>
      <w:r>
        <w:t xml:space="preserve"> - per-grid options (heatmap, totals, etc.).</w:t>
      </w:r>
    </w:p>
    <w:p>
      <w:pPr>
        <w:pStyle w:val="ListBullet"/>
      </w:pPr>
      <w:r>
        <w:rPr>
          <w:b/>
        </w:rPr>
        <w:t>Excel export</w:t>
      </w:r>
      <w:r>
        <w:t xml:space="preserve">, </w:t>
      </w:r>
      <w:r>
        <w:rPr>
          <w:b/>
        </w:rPr>
        <w:t>info</w:t>
      </w:r>
      <w:r>
        <w:t>.</w:t>
      </w:r>
    </w:p>
    <w:p>
      <w:pPr>
        <w:pStyle w:val="ListBullet"/>
      </w:pPr>
      <w:r>
        <w:rPr>
          <w:b/>
        </w:rPr>
        <w:t>Search</w:t>
      </w:r>
      <w:r>
        <w:t xml:space="preserve">, </w:t>
      </w:r>
      <w:r>
        <w:rPr>
          <w:b/>
        </w:rPr>
        <w:t>Group by</w:t>
      </w:r>
      <w:r>
        <w:t xml:space="preserve">, </w:t>
      </w:r>
      <w:r>
        <w:rPr>
          <w:b/>
        </w:rPr>
        <w:t>Insert columns</w:t>
      </w:r>
      <w:r>
        <w:t>.</w:t>
      </w:r>
    </w:p>
    <w:p>
      <w:pPr>
        <w:pStyle w:val="Heading2"/>
      </w:pPr>
      <w:r>
        <w:t>Capacity Unit and Granularity</w:t>
      </w:r>
    </w:p>
    <w:p>
      <w:r>
        <w:t xml:space="preserve">Knauf plans in </w:t>
      </w:r>
      <w:r>
        <w:rPr>
          <w:b/>
        </w:rPr>
        <w:t>Mandays</w:t>
      </w:r>
      <w:r>
        <w:t xml:space="preserve"> (not Hours) and </w:t>
      </w:r>
      <w:r>
        <w:rPr>
          <w:b/>
        </w:rPr>
        <w:t>Quarterly</w:t>
      </w:r>
      <w:r>
        <w:t xml:space="preserve"> buckets by default. You can switch via the tabs above the grid:</w:t>
      </w:r>
    </w:p>
    <w:p>
      <w:pPr>
        <w:pStyle w:val="ListBullet"/>
      </w:pPr>
      <w:r>
        <w:rPr>
          <w:b/>
        </w:rPr>
        <w:t>Time</w:t>
      </w:r>
      <w:r>
        <w:t xml:space="preserve"> - generic time unit.</w:t>
      </w:r>
    </w:p>
    <w:p>
      <w:pPr>
        <w:pStyle w:val="ListBullet"/>
      </w:pPr>
      <w:r>
        <w:rPr>
          <w:b/>
        </w:rPr>
        <w:t>€ Cost</w:t>
      </w:r>
      <w:r>
        <w:t xml:space="preserve"> - the same grid expressed in Euro, calculated from the allocations and the resource rate.</w:t>
      </w:r>
    </w:p>
    <w:p>
      <w:pPr>
        <w:pStyle w:val="ListBullet"/>
      </w:pPr>
      <w:r>
        <w:rPr>
          <w:b/>
        </w:rPr>
        <w:t>FTE</w:t>
      </w:r>
      <w:r>
        <w:t xml:space="preserve"> - full-time equivalents.</w:t>
      </w:r>
    </w:p>
    <w:p>
      <w:pPr>
        <w:pStyle w:val="ListBullet"/>
      </w:pPr>
      <w:r>
        <w:rPr>
          <w:b/>
        </w:rPr>
        <w:t>FTE %</w:t>
      </w:r>
      <w:r>
        <w:t xml:space="preserve"> - percentage of capacity.</w:t>
      </w:r>
    </w:p>
    <w:p>
      <w:pPr>
        <w:pStyle w:val="ListBullet"/>
      </w:pPr>
      <w:r>
        <w:rPr>
          <w:b/>
        </w:rPr>
        <w:t>Manday</w:t>
      </w:r>
      <w:r>
        <w:t xml:space="preserve"> - the default Knauf unit.</w:t>
      </w:r>
    </w:p>
    <w:p>
      <w:pPr>
        <w:pStyle w:val="ListBullet"/>
      </w:pPr>
      <w:r>
        <w:rPr>
          <w:b/>
        </w:rPr>
        <w:t>Gantt</w:t>
      </w:r>
      <w:r>
        <w:t xml:space="preserve"> - timeline view.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>Note: Switching between Manday and € Cost re-renders the same allocation in different units, with no underlying data change. It is the fastest way to sanity-check planned cost against capacity.</w:t>
            </w:r>
          </w:p>
        </w:tc>
      </w:tr>
    </w:tbl>
    <w:p/>
    <w:p>
      <w:pPr>
        <w:pStyle w:val="Heading2"/>
      </w:pPr>
      <w:r>
        <w:t>Working with Allocations</w:t>
      </w:r>
    </w:p>
    <w:p>
      <w:pPr>
        <w:pStyle w:val="Heading3"/>
      </w:pPr>
      <w:r>
        <w:t>Add a Resource (Demand-Planning Role)</w:t>
      </w:r>
    </w:p>
    <w:p>
      <w:r>
        <w:t xml:space="preserve">Knauf typically books capacity against demand-planning resources first (recognisable by the </w:t>
      </w:r>
      <w:r>
        <w:rPr>
          <w:rFonts w:ascii="Consolas" w:hAnsi="Consolas"/>
          <w:sz w:val="20"/>
        </w:rPr>
        <w:t>*</w:t>
      </w:r>
      <w:r>
        <w:t xml:space="preserve"> prefix in the resource name, for example </w:t>
      </w:r>
      <w:r>
        <w:rPr>
          <w:rFonts w:ascii="Consolas" w:hAnsi="Consolas"/>
          <w:sz w:val="20"/>
        </w:rPr>
        <w:t>*Agile / Scrum Master</w:t>
      </w:r>
      <w:r>
        <w:t xml:space="preserve">, </w:t>
      </w:r>
      <w:r>
        <w:rPr>
          <w:rFonts w:ascii="Consolas" w:hAnsi="Consolas"/>
          <w:sz w:val="20"/>
        </w:rPr>
        <w:t>*Business Analyst</w:t>
      </w:r>
      <w:r>
        <w:t>). To add one:</w:t>
      </w:r>
    </w:p>
    <w:p>
      <w:pPr>
        <w:pStyle w:val="ListNumber"/>
      </w:pPr>
      <w:r>
        <w:t xml:space="preserve">Click </w:t>
      </w:r>
      <w:r>
        <w:rPr>
          <w:b/>
        </w:rPr>
        <w:t>Checkout</w:t>
      </w:r>
      <w:r>
        <w:t xml:space="preserve"> to acquire the edit lock.</w:t>
      </w:r>
    </w:p>
    <w:p>
      <w:pPr>
        <w:pStyle w:val="ListNumber"/>
      </w:pPr>
      <w:r>
        <w:t xml:space="preserve">Click into the empty row labelled </w:t>
      </w:r>
      <w:r>
        <w:rPr>
          <w:i/>
        </w:rPr>
        <w:t>Type a new resource</w:t>
      </w:r>
      <w:r>
        <w:t xml:space="preserve"> and start typing the role name. The dropdown narrows as you type.</w:t>
      </w:r>
    </w:p>
    <w:p>
      <w:pPr>
        <w:pStyle w:val="ListNumber"/>
      </w:pPr>
      <w:r>
        <w:t>Pick the role. A new row appears.</w:t>
      </w:r>
    </w:p>
    <w:p>
      <w:pPr>
        <w:pStyle w:val="Heading3"/>
      </w:pPr>
      <w:r>
        <w:t>Add Multiple Resources / Tasks at Once</w:t>
      </w:r>
    </w:p>
    <w:p>
      <w:r>
        <w:t xml:space="preserve">Use the ellipsis menu next to a resource or task name to open the </w:t>
      </w:r>
      <w:r>
        <w:rPr>
          <w:b/>
        </w:rPr>
        <w:t>Add Assignment</w:t>
      </w:r>
      <w:r>
        <w:t xml:space="preserve"> dialog. Pick one or more resources on the left and one or more tasks on the right, then click </w:t>
      </w:r>
      <w:r>
        <w:rPr>
          <w:b/>
        </w:rPr>
        <w:t>Add</w:t>
      </w:r>
      <w:r>
        <w:t xml:space="preserve"> to create all combinations.</w:t>
      </w:r>
    </w:p>
    <w:p>
      <w:pPr>
        <w:pStyle w:val="Heading3"/>
      </w:pPr>
      <w:r>
        <w:t>Add a New Task</w:t>
      </w:r>
    </w:p>
    <w:p>
      <w:r>
        <w:t xml:space="preserve">Scroll to the bottom of the task list to find the green row labelled </w:t>
      </w:r>
      <w:r>
        <w:rPr>
          <w:i/>
        </w:rPr>
        <w:t>Type a new Task</w:t>
      </w:r>
      <w:r>
        <w:t>. Enter the task name and confirm with Enter.</w:t>
      </w:r>
    </w:p>
    <w:p>
      <w:pPr>
        <w:pStyle w:val="Heading3"/>
      </w:pPr>
      <w:r>
        <w:t>Enter Allocations</w:t>
      </w:r>
    </w:p>
    <w:p>
      <w:r>
        <w:t>Type the planned Mandays per cell. Values can be copied, pasted, or click-and-dragged across the grid. To request additional capacity for a resource already on a project, enter the new total allocation in the cell (not the delta).</w:t>
      </w:r>
    </w:p>
    <w:p>
      <w:pPr>
        <w:pStyle w:val="Heading3"/>
      </w:pPr>
      <w:r>
        <w:t>Save</w:t>
      </w:r>
    </w:p>
    <w:p>
      <w:r>
        <w:t xml:space="preserve">Click </w:t>
      </w:r>
      <w:r>
        <w:rPr>
          <w:b/>
        </w:rPr>
        <w:t>Save and Check In</w:t>
      </w:r>
      <w:r>
        <w:t xml:space="preserve"> in the top toolbar to persist the changes and trigger any resource requests, or </w:t>
      </w:r>
      <w:r>
        <w:rPr>
          <w:b/>
        </w:rPr>
        <w:t>Release</w:t>
      </w:r>
      <w:r>
        <w:t xml:space="preserve"> to discard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016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pa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3A3A"/>
          <w:sz w:val="18"/>
        </w:rPr>
        <w:t>Allocation grid in Manday view with demand-planning roles</w:t>
      </w:r>
    </w:p>
    <w:p>
      <w:pPr>
        <w:pStyle w:val="Heading2"/>
      </w:pPr>
      <w:r>
        <w:t>Resource Request Workflow</w:t>
      </w:r>
    </w:p>
    <w:p>
      <w:r>
        <w:t>Whenever you save an allocation change, Tempus creates a resource request that the responsible Resource Manager has to approve. The status icon to the left of the resource name shows where the request stands:</w:t>
      </w:r>
    </w:p>
    <w:p>
      <w:pPr>
        <w:pStyle w:val="ListBullet"/>
      </w:pPr>
      <w:r>
        <w:rPr>
          <w:b/>
        </w:rPr>
        <w:t>Pending</w:t>
      </w:r>
      <w:r>
        <w:t xml:space="preserve"> - awaiting approval.</w:t>
      </w:r>
    </w:p>
    <w:p>
      <w:pPr>
        <w:pStyle w:val="ListBullet"/>
      </w:pPr>
      <w:r>
        <w:rPr>
          <w:b/>
        </w:rPr>
        <w:t>Approved</w:t>
      </w:r>
      <w:r>
        <w:t xml:space="preserve"> - request approved (capacity is firm).</w:t>
      </w:r>
    </w:p>
    <w:p>
      <w:pPr>
        <w:pStyle w:val="ListBullet"/>
      </w:pPr>
      <w:r>
        <w:rPr>
          <w:b/>
        </w:rPr>
        <w:t>Rejected</w:t>
      </w:r>
      <w:r>
        <w:t xml:space="preserve"> - request rejected (revise or escalate).</w:t>
      </w:r>
    </w:p>
    <w:p>
      <w:pPr>
        <w:pStyle w:val="Heading2"/>
      </w:pPr>
      <w:r>
        <w:t>Advanced Assignment Options</w:t>
      </w:r>
    </w:p>
    <w:p>
      <w:r>
        <w:t xml:space="preserve">Click the ellipsis next to an assigned resource to open </w:t>
      </w:r>
      <w:r>
        <w:rPr>
          <w:b/>
        </w:rPr>
        <w:t>Assignment Options</w:t>
      </w:r>
      <w:r>
        <w:t>:</w:t>
      </w:r>
    </w:p>
    <w:p>
      <w:pPr>
        <w:pStyle w:val="ListBullet"/>
      </w:pPr>
      <w:r>
        <w:rPr>
          <w:b/>
        </w:rPr>
        <w:t>Clone</w:t>
      </w:r>
      <w:r>
        <w:t xml:space="preserve"> - duplicate the assignment to another start date, task, or resource.</w:t>
      </w:r>
    </w:p>
    <w:p>
      <w:pPr>
        <w:pStyle w:val="ListBullet"/>
      </w:pPr>
      <w:r>
        <w:rPr>
          <w:b/>
        </w:rPr>
        <w:t>Shift</w:t>
      </w:r>
      <w:r>
        <w:t xml:space="preserve"> - move the assignment to a new start date.</w:t>
      </w:r>
    </w:p>
    <w:p>
      <w:r>
        <w:br w:type="page"/>
      </w:r>
    </w:p>
    <w:p>
      <w:pPr>
        <w:pStyle w:val="Heading1"/>
      </w:pPr>
      <w:r>
        <w:t>Cost Planning</w:t>
      </w:r>
    </w:p>
    <w:p>
      <w:r>
        <w:t>At Knauf, costs in Tempus are split into two layers:</w:t>
      </w:r>
    </w:p>
    <w:p>
      <w:pPr>
        <w:pStyle w:val="ListBullet"/>
      </w:pPr>
      <w:r>
        <w:rPr>
          <w:b/>
        </w:rPr>
        <w:t>Labor costs</w:t>
      </w:r>
      <w:r>
        <w:t xml:space="preserve"> are derived automatically from the project's allocations multiplied by the applicable resource rate. They show up in the Allocations view (€ Cost tab) and in cost rollups.</w:t>
      </w:r>
    </w:p>
    <w:p>
      <w:pPr>
        <w:pStyle w:val="ListBullet"/>
      </w:pPr>
      <w:r>
        <w:rPr>
          <w:b/>
        </w:rPr>
        <w:t>Non-labor costs</w:t>
      </w:r>
      <w:r>
        <w:t xml:space="preserve"> (external consulting, software licenses, hardware, travel) are maintained explicitly in the project's </w:t>
      </w:r>
      <w:r>
        <w:rPr>
          <w:b/>
        </w:rPr>
        <w:t>Financials</w:t>
      </w:r>
      <w:r>
        <w:t xml:space="preserve"> view.</w:t>
      </w:r>
    </w:p>
    <w:p>
      <w:r>
        <w:t>This split keeps the resource plan and the financial plan in sync without double-booking.</w:t>
      </w:r>
    </w:p>
    <w:p>
      <w:r>
        <w:t xml:space="preserve">Knauf’s controlling model distinguishes </w:t>
      </w:r>
      <w:r>
        <w:rPr>
          <w:b/>
        </w:rPr>
        <w:t>seven financial category families</w:t>
      </w:r>
      <w:r>
        <w:t xml:space="preserve"> (for example external consulting, IT licenses, leasing, managed services, other, CAPEX, and internal effort via </w:t>
      </w:r>
      <w:r>
        <w:rPr>
          <w:b/>
        </w:rPr>
        <w:t>daily rates × PD</w:t>
      </w:r>
      <w:r>
        <w:t xml:space="preserve">). How they aggregate to portfolio reports is defined by Knauf workshops; use </w:t>
      </w:r>
      <w:r>
        <w:rPr>
          <w:b/>
        </w:rPr>
        <w:t>Type / OpEx / CapEx</w:t>
      </w:r>
      <w:r>
        <w:t xml:space="preserve"> and Controlling instructions when you create lines.</w:t>
      </w:r>
    </w:p>
    <w:p>
      <w:pPr>
        <w:pStyle w:val="Heading2"/>
      </w:pPr>
      <w:r>
        <w:t>Labor Cost in the Allocations View</w:t>
      </w:r>
    </w:p>
    <w:p>
      <w:r>
        <w:t xml:space="preserve">In the Allocations view, switch to the </w:t>
      </w:r>
      <w:r>
        <w:rPr>
          <w:b/>
        </w:rPr>
        <w:t>€ Cost</w:t>
      </w:r>
      <w:r>
        <w:t xml:space="preserve"> tab to see the same allocations expressed in Euro. The grid mirrors the Manday view cell-for-cell; the only difference is the unit.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016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cost_colum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3A3A"/>
          <w:sz w:val="18"/>
        </w:rPr>
        <w:t>Allocations grid in Cost (Euro) view</w:t>
      </w:r>
    </w:p>
    <w:p>
      <w:r>
        <w:t>The total at the bottom of the grid gives you the planned labor cost for the project across the selected timeframe.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>Note: The € numbers update whenever you change an allocation or whenever a Knauf admin updates the rate definition. They should be considered a derived value, not an input.</w:t>
            </w:r>
          </w:p>
        </w:tc>
      </w:tr>
    </w:tbl>
    <w:p/>
    <w:p>
      <w:pPr>
        <w:pStyle w:val="Heading2"/>
      </w:pPr>
      <w:r>
        <w:t>Non-Labor Cost in the Financials View</w:t>
      </w:r>
    </w:p>
    <w:p>
      <w:r>
        <w:t xml:space="preserve">For everything that is not labor, open the </w:t>
      </w:r>
      <w:r>
        <w:rPr>
          <w:b/>
        </w:rPr>
        <w:t>Financials</w:t>
      </w:r>
      <w:r>
        <w:t xml:space="preserve"> view from the view selector. The grid lets you maintain planned and actual cost line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016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ost_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3A3A"/>
          <w:sz w:val="18"/>
        </w:rPr>
        <w:t>Financials view with planned and actual cost lines</w:t>
      </w:r>
    </w:p>
    <w:p>
      <w:pPr>
        <w:pStyle w:val="Heading3"/>
      </w:pPr>
      <w:r>
        <w:t>Anatomy of the Financials Grid</w:t>
      </w:r>
    </w:p>
    <w:p>
      <w:pPr>
        <w:pStyle w:val="ListBullet"/>
      </w:pPr>
      <w:r>
        <w:rPr>
          <w:b/>
        </w:rPr>
        <w:t>Start / End date</w:t>
      </w:r>
      <w:r>
        <w:t xml:space="preserve"> restrict the timeframe of the grid.</w:t>
      </w:r>
    </w:p>
    <w:p>
      <w:pPr>
        <w:pStyle w:val="ListBullet"/>
      </w:pPr>
      <w:r>
        <w:rPr>
          <w:b/>
        </w:rPr>
        <w:t>Planned / Actual</w:t>
      </w:r>
      <w:r>
        <w:t xml:space="preserve"> toggle decides which series is editable.</w:t>
      </w:r>
    </w:p>
    <w:p>
      <w:pPr>
        <w:pStyle w:val="ListBullet"/>
      </w:pPr>
      <w:r>
        <w:rPr>
          <w:b/>
        </w:rPr>
        <w:t>Total column</w:t>
      </w:r>
      <w:r>
        <w:t xml:space="preserve"> toggle adds a grand total column.</w:t>
      </w:r>
    </w:p>
    <w:p>
      <w:pPr>
        <w:pStyle w:val="ListBullet"/>
      </w:pPr>
      <w:r>
        <w:rPr>
          <w:b/>
        </w:rPr>
        <w:t>Include labor costs</w:t>
      </w:r>
      <w:r>
        <w:t xml:space="preserve"> toggle pulls labor cost (from Allocations) into the grid so you see the full picture in one place. Keep it off when you only want to plan non-labor items.</w:t>
      </w:r>
    </w:p>
    <w:p>
      <w:pPr>
        <w:pStyle w:val="ListBullet"/>
      </w:pPr>
      <w:r>
        <w:rPr>
          <w:b/>
        </w:rPr>
        <w:t>Quarter / Group by / Insert columns / Filter</w:t>
      </w:r>
      <w:r>
        <w:t xml:space="preserve"> work the same as in the Allocations view.</w:t>
      </w:r>
    </w:p>
    <w:p>
      <w:pPr>
        <w:pStyle w:val="Heading3"/>
      </w:pPr>
      <w:r>
        <w:t>Grid Columns</w:t>
      </w:r>
    </w:p>
    <w:p>
      <w:r>
        <w:t>Each row represents a cost line and carries:</w:t>
      </w:r>
    </w:p>
    <w:p>
      <w:pPr>
        <w:pStyle w:val="ListBullet"/>
      </w:pPr>
      <w:r>
        <w:rPr>
          <w:b/>
        </w:rPr>
        <w:t>Name</w:t>
      </w:r>
      <w:r>
        <w:t xml:space="preserve"> - free text label, for example </w:t>
      </w:r>
      <w:r>
        <w:rPr>
          <w:rFonts w:ascii="Consolas" w:hAnsi="Consolas"/>
          <w:sz w:val="20"/>
        </w:rPr>
        <w:t>Consulting (ext)</w:t>
      </w:r>
      <w:r>
        <w:t>.</w:t>
      </w:r>
    </w:p>
    <w:p>
      <w:pPr>
        <w:pStyle w:val="ListBullet"/>
      </w:pPr>
      <w:r>
        <w:rPr>
          <w:b/>
        </w:rPr>
        <w:t>Planned / Actual</w:t>
      </w:r>
      <w:r>
        <w:t xml:space="preserve"> indicator on the right side of the name.</w:t>
      </w:r>
    </w:p>
    <w:p>
      <w:pPr>
        <w:pStyle w:val="ListBullet"/>
      </w:pPr>
      <w:r>
        <w:rPr>
          <w:b/>
        </w:rPr>
        <w:t>Grand Total</w:t>
      </w:r>
      <w:r>
        <w:t xml:space="preserve"> - sum across the timeframe.</w:t>
      </w:r>
    </w:p>
    <w:p>
      <w:pPr>
        <w:pStyle w:val="ListBullet"/>
      </w:pPr>
      <w:r>
        <w:rPr>
          <w:b/>
        </w:rPr>
        <w:t>Code</w:t>
      </w:r>
      <w:r>
        <w:t xml:space="preserve"> - cost code (optional).</w:t>
      </w:r>
    </w:p>
    <w:p>
      <w:pPr>
        <w:pStyle w:val="ListBullet"/>
      </w:pPr>
      <w:r>
        <w:rPr>
          <w:b/>
        </w:rPr>
        <w:t>Description</w:t>
      </w:r>
      <w:r>
        <w:t xml:space="preserve"> - free text.</w:t>
      </w:r>
    </w:p>
    <w:p>
      <w:pPr>
        <w:pStyle w:val="ListBullet"/>
      </w:pPr>
      <w:r>
        <w:rPr>
          <w:b/>
        </w:rPr>
        <w:t>Type</w:t>
      </w:r>
      <w:r>
        <w:t xml:space="preserve"> - cost classification (</w:t>
      </w:r>
      <w:r>
        <w:rPr>
          <w:rFonts w:ascii="Consolas" w:hAnsi="Consolas"/>
          <w:sz w:val="20"/>
        </w:rPr>
        <w:t>OpEx</w:t>
      </w:r>
      <w:r>
        <w:t xml:space="preserve">, </w:t>
      </w:r>
      <w:r>
        <w:rPr>
          <w:rFonts w:ascii="Consolas" w:hAnsi="Consolas"/>
          <w:sz w:val="20"/>
        </w:rPr>
        <w:t>CapEx</w:t>
      </w:r>
      <w:r>
        <w:t>).</w:t>
      </w:r>
    </w:p>
    <w:p>
      <w:r>
        <w:t>The bottom of the grid shows three roll-up rows:</w:t>
      </w:r>
    </w:p>
    <w:p>
      <w:pPr>
        <w:pStyle w:val="ListBullet"/>
      </w:pPr>
      <w:r>
        <w:rPr>
          <w:b/>
        </w:rPr>
        <w:t>Total - Positive</w:t>
      </w:r>
      <w:r>
        <w:t xml:space="preserve"> - revenue / positive entries.</w:t>
      </w:r>
    </w:p>
    <w:p>
      <w:pPr>
        <w:pStyle w:val="ListBullet"/>
      </w:pPr>
      <w:r>
        <w:rPr>
          <w:b/>
        </w:rPr>
        <w:t>Total - Negative</w:t>
      </w:r>
      <w:r>
        <w:t xml:space="preserve"> - costs / negative entries (typically the dominant line for Knauf projects).</w:t>
      </w:r>
    </w:p>
    <w:p>
      <w:pPr>
        <w:pStyle w:val="ListBullet"/>
      </w:pPr>
      <w:r>
        <w:rPr>
          <w:b/>
        </w:rPr>
        <w:t>Grand Total (Net)</w:t>
      </w:r>
      <w:r>
        <w:t xml:space="preserve"> - net result.</w:t>
      </w:r>
    </w:p>
    <w:p>
      <w:pPr>
        <w:pStyle w:val="Heading3"/>
      </w:pPr>
      <w:r>
        <w:t>Adding a Cost Line</w:t>
      </w:r>
    </w:p>
    <w:p>
      <w:pPr>
        <w:pStyle w:val="ListNumber"/>
      </w:pPr>
      <w:r>
        <w:t>Check the project out from the Allocations view (the lock is shared).</w:t>
      </w:r>
    </w:p>
    <w:p>
      <w:pPr>
        <w:pStyle w:val="ListNumber"/>
      </w:pPr>
      <w:r>
        <w:t>Switch to the Financials view.</w:t>
      </w:r>
    </w:p>
    <w:p>
      <w:pPr>
        <w:pStyle w:val="ListNumber"/>
      </w:pPr>
      <w:r>
        <w:t>Add a new line via the toolbar action, fill in Name, Description, Type, and the cost value in the relevant time bucket.</w:t>
      </w:r>
    </w:p>
    <w:p>
      <w:pPr>
        <w:pStyle w:val="ListNumber"/>
      </w:pPr>
      <w:r>
        <w:t>Save the project.</w:t>
      </w:r>
    </w:p>
    <w:p>
      <w:pPr>
        <w:pStyle w:val="Heading2"/>
      </w:pPr>
      <w:r>
        <w:t>Cost Rollup to the Portfolio</w:t>
      </w:r>
    </w:p>
    <w:p>
      <w:r>
        <w:t>When several Knauf projects roll into a program or portfolio, Tempus aggregates planned costs across the hierarchy. Labor and non-labor costs follow their own configured roll-up paths. The portfolio-level result is what you see in the Budget Management tile and in the financial portfolio reports.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>Note: Confirm with the Knauf controller which cost types (OpEx vs. CapEx) and which charging type apply in your area. The downstream reporting groups by these attributes, so consistent tagging matters.</w:t>
            </w:r>
          </w:p>
        </w:tc>
      </w:tr>
    </w:tbl>
    <w:p/>
    <w:p>
      <w:r>
        <w:br w:type="page"/>
      </w:r>
    </w:p>
    <w:p>
      <w:pPr>
        <w:pStyle w:val="Heading1"/>
      </w:pPr>
      <w:r>
        <w:t>Bulk Project Allocation Flatgrid</w:t>
      </w:r>
    </w:p>
    <w:p>
      <w:r>
        <w:t xml:space="preserve">The Bulk Project Allocation Flatgrid (BPA Flatgrid) is the tool for </w:t>
      </w:r>
      <w:r>
        <w:rPr>
          <w:b/>
        </w:rPr>
        <w:t>editing allocations across many projects in one grid</w:t>
      </w:r>
      <w:r>
        <w:t xml:space="preserve">. In Knauf’s role model it is typically assigned to </w:t>
      </w:r>
      <w:r>
        <w:rPr>
          <w:b/>
        </w:rPr>
        <w:t>Resource Managers (RM)</w:t>
      </w:r>
      <w:r>
        <w:t xml:space="preserve">; </w:t>
      </w:r>
      <w:r>
        <w:rPr>
          <w:b/>
        </w:rPr>
        <w:t>PM/SM</w:t>
      </w:r>
      <w:r>
        <w:t xml:space="preserve"> profiles often use the </w:t>
      </w:r>
      <w:r>
        <w:rPr>
          <w:b/>
        </w:rPr>
        <w:t>single-project Allocations</w:t>
      </w:r>
      <w:r>
        <w:t xml:space="preserve"> view instead unless Knauf has explicitly granted BPA. If you do not see the </w:t>
      </w:r>
      <w:r>
        <w:rPr>
          <w:b/>
        </w:rPr>
        <w:t>Bulk Project Allocation Flatgrid</w:t>
      </w:r>
      <w:r>
        <w:t xml:space="preserve"> tile, assume your global role does not include it and speak to your Tempus owner.</w:t>
      </w:r>
    </w:p>
    <w:p>
      <w:r>
        <w:t xml:space="preserve">Open it from the homescreen by clicking the </w:t>
      </w:r>
      <w:r>
        <w:rPr>
          <w:b/>
        </w:rPr>
        <w:t>Bulk Project Allocation Flatgrid</w:t>
      </w:r>
      <w:r>
        <w:t xml:space="preserve"> tile </w:t>
      </w:r>
      <w:r>
        <w:rPr>
          <w:b/>
        </w:rPr>
        <w:t>when that tile is visible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016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bpa_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3A3A"/>
          <w:sz w:val="18"/>
        </w:rPr>
        <w:t>BPA Flatgrid overview</w:t>
      </w:r>
    </w:p>
    <w:p>
      <w:pPr>
        <w:pStyle w:val="Heading2"/>
      </w:pPr>
      <w:r>
        <w:t>Grid Overview</w:t>
      </w:r>
    </w:p>
    <w:p>
      <w:pPr>
        <w:pStyle w:val="ListBullet"/>
      </w:pPr>
      <w:r>
        <w:t xml:space="preserve">The </w:t>
      </w:r>
      <w:r>
        <w:rPr>
          <w:b/>
        </w:rPr>
        <w:t>project timeframe</w:t>
      </w:r>
      <w:r>
        <w:t xml:space="preserve"> sits in the top-left and is editable via the date picker. A small calendar icon next to the end date offers quick-pick timeframes.</w:t>
      </w:r>
    </w:p>
    <w:p>
      <w:pPr>
        <w:pStyle w:val="ListBullet"/>
      </w:pPr>
      <w:r>
        <w:t xml:space="preserve">The </w:t>
      </w:r>
      <w:r>
        <w:rPr>
          <w:b/>
        </w:rPr>
        <w:t>Planned / Actual</w:t>
      </w:r>
      <w:r>
        <w:t xml:space="preserve"> toggle and the </w:t>
      </w:r>
      <w:r>
        <w:rPr>
          <w:b/>
        </w:rPr>
        <w:t>Allocation / Assignment</w:t>
      </w:r>
      <w:r>
        <w:t xml:space="preserve"> toggle control what is editable.</w:t>
      </w:r>
    </w:p>
    <w:p>
      <w:pPr>
        <w:pStyle w:val="ListBullet"/>
      </w:pPr>
      <w:r>
        <w:t xml:space="preserve">The </w:t>
      </w:r>
      <w:r>
        <w:rPr>
          <w:b/>
        </w:rPr>
        <w:t>Resource and Project</w:t>
      </w:r>
      <w:r>
        <w:t xml:space="preserve"> selector in the centre supports three modes:</w:t>
      </w:r>
    </w:p>
    <w:p>
      <w:r>
        <w:t xml:space="preserve">  - </w:t>
      </w:r>
      <w:r>
        <w:rPr>
          <w:b/>
        </w:rPr>
        <w:t>Project</w:t>
      </w:r>
      <w:r>
        <w:t xml:space="preserve"> - select projects; their resources are auto-loaded.</w:t>
      </w:r>
    </w:p>
    <w:p>
      <w:r>
        <w:t xml:space="preserve">  - </w:t>
      </w:r>
      <w:r>
        <w:rPr>
          <w:b/>
        </w:rPr>
        <w:t>Resource</w:t>
      </w:r>
      <w:r>
        <w:t xml:space="preserve"> - select resources; the projects they are on are auto-loaded.</w:t>
      </w:r>
    </w:p>
    <w:p>
      <w:r>
        <w:t xml:space="preserve">  - </w:t>
      </w:r>
      <w:r>
        <w:rPr>
          <w:b/>
        </w:rPr>
        <w:t>Default</w:t>
      </w:r>
      <w:r>
        <w:t xml:space="preserve"> - free choice; useful for adding allocations to resources not yet on a project.   The numeric badges next to </w:t>
      </w:r>
      <w:r>
        <w:rPr>
          <w:i/>
        </w:rPr>
        <w:t>Resource</w:t>
      </w:r>
      <w:r>
        <w:t xml:space="preserve"> and </w:t>
      </w:r>
      <w:r>
        <w:rPr>
          <w:i/>
        </w:rPr>
        <w:t>Project</w:t>
      </w:r>
      <w:r>
        <w:t xml:space="preserve"> show how many items are currently selected.</w:t>
      </w:r>
    </w:p>
    <w:p>
      <w:pPr>
        <w:pStyle w:val="ListBullet"/>
      </w:pPr>
      <w:r>
        <w:t xml:space="preserve">The </w:t>
      </w:r>
      <w:r>
        <w:rPr>
          <w:b/>
        </w:rPr>
        <w:t>View Management</w:t>
      </w:r>
      <w:r>
        <w:t xml:space="preserve"> dialog in the top-right (</w:t>
      </w:r>
      <w:r>
        <w:rPr>
          <w:rFonts w:ascii="Consolas" w:hAnsi="Consolas"/>
          <w:sz w:val="20"/>
        </w:rPr>
        <w:t>Default</w:t>
      </w:r>
      <w:r>
        <w:t>) lets you create, clone, lock, set-default, edit, or delete views.</w:t>
      </w:r>
    </w:p>
    <w:p>
      <w:pPr>
        <w:pStyle w:val="Heading2"/>
      </w:pPr>
      <w:r>
        <w:t>Customisation Ribbon</w:t>
      </w:r>
    </w:p>
    <w:p>
      <w:r>
        <w:t>Above the grid you find:</w:t>
      </w:r>
    </w:p>
    <w:p>
      <w:pPr>
        <w:pStyle w:val="ListBullet"/>
      </w:pPr>
      <w:r>
        <w:rPr>
          <w:b/>
        </w:rPr>
        <w:t>Expand grid</w:t>
      </w:r>
      <w:r>
        <w:t xml:space="preserve"> - one-click expansion.</w:t>
      </w:r>
    </w:p>
    <w:p>
      <w:pPr>
        <w:pStyle w:val="ListBullet"/>
      </w:pPr>
      <w:r>
        <w:rPr>
          <w:b/>
        </w:rPr>
        <w:t>Add assignment</w:t>
      </w:r>
      <w:r>
        <w:t xml:space="preserve"> - create a new Resource-Project-Task combination on the fly.</w:t>
      </w:r>
    </w:p>
    <w:p>
      <w:pPr>
        <w:pStyle w:val="ListBullet"/>
      </w:pPr>
      <w:r>
        <w:rPr>
          <w:b/>
        </w:rPr>
        <w:t>Options</w:t>
      </w:r>
      <w:r>
        <w:t xml:space="preserve"> - heatmaps, totals, filters (see below).</w:t>
      </w:r>
    </w:p>
    <w:p>
      <w:pPr>
        <w:pStyle w:val="ListBullet"/>
      </w:pPr>
      <w:r>
        <w:rPr>
          <w:b/>
        </w:rPr>
        <w:t>Insert columns</w:t>
      </w:r>
      <w:r>
        <w:t xml:space="preserve"> - add project, resource, or assignment attribute columns.</w:t>
      </w:r>
    </w:p>
    <w:p>
      <w:pPr>
        <w:pStyle w:val="ListBullet"/>
      </w:pPr>
      <w:r>
        <w:rPr>
          <w:b/>
        </w:rPr>
        <w:t>Group by</w:t>
      </w:r>
      <w:r>
        <w:t xml:space="preserve"> - any project, resource, or assignment attribute.</w:t>
      </w:r>
    </w:p>
    <w:p>
      <w:pPr>
        <w:pStyle w:val="ListBullet"/>
      </w:pPr>
      <w:r>
        <w:rPr>
          <w:b/>
        </w:rPr>
        <w:t>Time granularity</w:t>
      </w:r>
      <w:r>
        <w:t xml:space="preserve"> dropdown - typically </w:t>
      </w:r>
      <w:r>
        <w:rPr>
          <w:rFonts w:ascii="Consolas" w:hAnsi="Consolas"/>
          <w:sz w:val="20"/>
        </w:rPr>
        <w:t>Month</w:t>
      </w:r>
      <w:r>
        <w:t xml:space="preserve"> at Knauf for BPA Flatgrid usage.</w:t>
      </w:r>
    </w:p>
    <w:p>
      <w:r>
        <w:t>The unit tabs above the grid (</w:t>
      </w:r>
      <w:r>
        <w:rPr>
          <w:rFonts w:ascii="Consolas" w:hAnsi="Consolas"/>
          <w:sz w:val="20"/>
        </w:rPr>
        <w:t>Time</w:t>
      </w:r>
      <w:r>
        <w:t xml:space="preserve">, </w:t>
      </w:r>
      <w:r>
        <w:rPr>
          <w:rFonts w:ascii="Consolas" w:hAnsi="Consolas"/>
          <w:sz w:val="20"/>
        </w:rPr>
        <w:t>€ Cost</w:t>
      </w:r>
      <w:r>
        <w:t xml:space="preserve">, </w:t>
      </w:r>
      <w:r>
        <w:rPr>
          <w:rFonts w:ascii="Consolas" w:hAnsi="Consolas"/>
          <w:sz w:val="20"/>
        </w:rPr>
        <w:t>FTE</w:t>
      </w:r>
      <w:r>
        <w:t xml:space="preserve">, </w:t>
      </w:r>
      <w:r>
        <w:rPr>
          <w:rFonts w:ascii="Consolas" w:hAnsi="Consolas"/>
          <w:sz w:val="20"/>
        </w:rPr>
        <w:t>FTE %</w:t>
      </w:r>
      <w:r>
        <w:t xml:space="preserve">, </w:t>
      </w:r>
      <w:r>
        <w:rPr>
          <w:rFonts w:ascii="Consolas" w:hAnsi="Consolas"/>
          <w:sz w:val="20"/>
        </w:rPr>
        <w:t>Manday</w:t>
      </w:r>
      <w:r>
        <w:t xml:space="preserve">, </w:t>
      </w:r>
      <w:r>
        <w:rPr>
          <w:rFonts w:ascii="Consolas" w:hAnsi="Consolas"/>
          <w:sz w:val="20"/>
        </w:rPr>
        <w:t>Gantt</w:t>
      </w:r>
      <w:r>
        <w:t xml:space="preserve">) work identically to the Single Project Allocation view. Most Knauf PMs work in </w:t>
      </w:r>
      <w:r>
        <w:rPr>
          <w:b/>
        </w:rPr>
        <w:t>Manday</w:t>
      </w:r>
      <w:r>
        <w:t>.</w:t>
      </w:r>
    </w:p>
    <w:p>
      <w:pPr>
        <w:pStyle w:val="Heading2"/>
      </w:pPr>
      <w:r>
        <w:t>Options Menu</w:t>
      </w:r>
    </w:p>
    <w:p>
      <w:r>
        <w:t xml:space="preserve">The </w:t>
      </w:r>
      <w:r>
        <w:rPr>
          <w:b/>
        </w:rPr>
        <w:t>Options</w:t>
      </w:r>
      <w:r>
        <w:t xml:space="preserve"> menu adds advanced controls:</w:t>
      </w:r>
    </w:p>
    <w:p>
      <w:pPr>
        <w:pStyle w:val="ListBullet"/>
      </w:pPr>
      <w:r>
        <w:rPr>
          <w:b/>
        </w:rPr>
        <w:t>Overlay Heatmap</w:t>
      </w:r>
      <w:r>
        <w:t xml:space="preserve"> - Resource Heatmap, Resource Request Heatmap, or Non-Zero Heatmap.</w:t>
      </w:r>
    </w:p>
    <w:p>
      <w:pPr>
        <w:pStyle w:val="ListBullet"/>
      </w:pPr>
      <w:r>
        <w:rPr>
          <w:b/>
        </w:rPr>
        <w:t>Hide Task</w:t>
      </w:r>
      <w:r>
        <w:t xml:space="preserve"> - drop the task column when not needed.</w:t>
      </w:r>
    </w:p>
    <w:p>
      <w:pPr>
        <w:pStyle w:val="ListBullet"/>
      </w:pPr>
      <w:r>
        <w:rPr>
          <w:b/>
        </w:rPr>
        <w:t>Show Total Row</w:t>
      </w:r>
      <w:r>
        <w:t xml:space="preserve"> at every aggregation level.</w:t>
      </w:r>
    </w:p>
    <w:p>
      <w:pPr>
        <w:pStyle w:val="ListBullet"/>
      </w:pPr>
      <w:r>
        <w:rPr>
          <w:b/>
        </w:rPr>
        <w:t>Show Total Demand Planning / Show Named Total</w:t>
      </w:r>
      <w:r>
        <w:t xml:space="preserve"> - totals on generic vs. named resources.</w:t>
      </w:r>
    </w:p>
    <w:p>
      <w:pPr>
        <w:pStyle w:val="ListBullet"/>
      </w:pPr>
      <w:r>
        <w:rPr>
          <w:b/>
        </w:rPr>
        <w:t>Show Unallocated %</w:t>
      </w:r>
      <w:r>
        <w:t xml:space="preserve"> - share of assignments still to be redistributed from generic to named resources.</w:t>
      </w:r>
    </w:p>
    <w:p>
      <w:pPr>
        <w:pStyle w:val="ListBullet"/>
      </w:pPr>
      <w:r>
        <w:rPr>
          <w:b/>
        </w:rPr>
        <w:t>Show Selection Calculations</w:t>
      </w:r>
      <w:r>
        <w:t xml:space="preserve"> - average / sum / min / max / count for the selected cells.</w:t>
      </w:r>
    </w:p>
    <w:p>
      <w:pPr>
        <w:pStyle w:val="ListBullet"/>
      </w:pPr>
      <w:r>
        <w:rPr>
          <w:b/>
        </w:rPr>
        <w:t>Tasks to Show</w:t>
      </w:r>
      <w:r>
        <w:t xml:space="preserve"> - generic (project-level) vs. non-generic (custom tasks).</w:t>
      </w:r>
    </w:p>
    <w:p>
      <w:pPr>
        <w:pStyle w:val="ListBullet"/>
      </w:pPr>
      <w:r>
        <w:rPr>
          <w:b/>
        </w:rPr>
        <w:t>Weekly Display Format</w:t>
      </w:r>
      <w:r>
        <w:t xml:space="preserve"> - week number, start date, or end date.</w:t>
      </w:r>
    </w:p>
    <w:p>
      <w:pPr>
        <w:pStyle w:val="ListBullet"/>
      </w:pPr>
      <w:r>
        <w:rPr>
          <w:b/>
        </w:rPr>
        <w:t>Filter by Resource Request Status</w:t>
      </w:r>
      <w:r>
        <w:t xml:space="preserve"> - filter to pending, approved, or rejected requests.</w:t>
      </w:r>
    </w:p>
    <w:p>
      <w:pPr>
        <w:pStyle w:val="Heading2"/>
      </w:pPr>
      <w:r>
        <w:t>A Working Pattern for Knauf PMs</w:t>
      </w:r>
    </w:p>
    <w:p>
      <w:pPr>
        <w:pStyle w:val="ListNumber"/>
      </w:pPr>
      <w:r>
        <w:t xml:space="preserve">Switch the mode selector to </w:t>
      </w:r>
      <w:r>
        <w:rPr>
          <w:b/>
        </w:rPr>
        <w:t>Project</w:t>
      </w:r>
      <w:r>
        <w:t xml:space="preserve"> and pick the projects you are responsible for. The BPA Flatgrid pre-loads the assigned resources.</w:t>
      </w:r>
    </w:p>
    <w:p>
      <w:pPr>
        <w:pStyle w:val="ListNumber"/>
      </w:pPr>
      <w:r>
        <w:t>Confirm the timeframe matches your reporting window.</w:t>
      </w:r>
    </w:p>
    <w:p>
      <w:pPr>
        <w:pStyle w:val="ListNumber"/>
      </w:pPr>
      <w:r>
        <w:t>Insert the columns you care about (Business Portfolio, Type, Project Manager, etc.).</w:t>
      </w:r>
    </w:p>
    <w:p>
      <w:pPr>
        <w:pStyle w:val="ListNumber"/>
      </w:pPr>
      <w:r>
        <w:t>Group by the right attribute (for example by Project) so that totals roll up the way you want to look at them.</w:t>
      </w:r>
    </w:p>
    <w:p>
      <w:pPr>
        <w:pStyle w:val="ListNumber"/>
      </w:pPr>
      <w:r>
        <w:t>If you find yourself recreating the same setup repeatedly, save it as a personal view.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>Note: Public views are administratively defined and read-only. Clone the public view first, then work in the copy.</w:t>
            </w:r>
          </w:p>
        </w:tc>
      </w:tr>
    </w:tbl>
    <w:p/>
    <w:p>
      <w:pPr>
        <w:pStyle w:val="Heading2"/>
      </w:pPr>
      <w:r>
        <w:t>Updating Existing Assignments</w:t>
      </w:r>
    </w:p>
    <w:p>
      <w:pPr>
        <w:pStyle w:val="ListNumber"/>
      </w:pPr>
      <w:r>
        <w:t>Click into the cell and edit the value.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 xml:space="preserve"> at the top of the grid. Tempus creates a new resource request for the change automatically.</w:t>
      </w:r>
    </w:p>
    <w:p>
      <w:pPr>
        <w:pStyle w:val="Heading2"/>
      </w:pPr>
      <w:r>
        <w:t>Adding New Assignments</w:t>
      </w:r>
    </w:p>
    <w:p>
      <w:pPr>
        <w:pStyle w:val="ListNumber"/>
      </w:pPr>
      <w:r>
        <w:t xml:space="preserve">Click </w:t>
      </w:r>
      <w:r>
        <w:rPr>
          <w:b/>
        </w:rPr>
        <w:t>Add Assignment</w:t>
      </w:r>
      <w:r>
        <w:t>.</w:t>
      </w:r>
    </w:p>
    <w:p>
      <w:pPr>
        <w:pStyle w:val="ListNumber"/>
      </w:pPr>
      <w:r>
        <w:t xml:space="preserve">Pick a project, resource, and task. Tick </w:t>
      </w:r>
      <w:r>
        <w:rPr>
          <w:b/>
        </w:rPr>
        <w:t>Allow new Resources</w:t>
      </w:r>
      <w:r>
        <w:t xml:space="preserve"> to add a resource not yet on the project. Use </w:t>
      </w:r>
      <w:r>
        <w:rPr>
          <w:b/>
        </w:rPr>
        <w:t>Add new Task</w:t>
      </w:r>
      <w:r>
        <w:t xml:space="preserve"> to introduce a task on the fly.</w:t>
      </w:r>
    </w:p>
    <w:p>
      <w:pPr>
        <w:pStyle w:val="ListNumber"/>
      </w:pPr>
      <w:r>
        <w:t xml:space="preserve">Click </w:t>
      </w:r>
      <w:r>
        <w:rPr>
          <w:b/>
        </w:rPr>
        <w:t>Add new assignment</w:t>
      </w:r>
      <w:r>
        <w:t xml:space="preserve"> to confirm.</w:t>
      </w:r>
    </w:p>
    <w:p>
      <w:pPr>
        <w:pStyle w:val="ListNumber"/>
      </w:pPr>
      <w:r>
        <w:t>A new row appears. Enter the allocation values.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 xml:space="preserve"> to persist the changes.</w:t>
      </w:r>
    </w:p>
    <w:p>
      <w:pPr>
        <w:pStyle w:val="Heading2"/>
      </w:pPr>
      <w:r>
        <w:t>Reviewing Pending Resource Requests</w:t>
      </w:r>
    </w:p>
    <w:p>
      <w:r>
        <w:t xml:space="preserve">In the </w:t>
      </w:r>
      <w:r>
        <w:rPr>
          <w:b/>
        </w:rPr>
        <w:t>Options</w:t>
      </w:r>
      <w:r>
        <w:t xml:space="preserve"> menu open the </w:t>
      </w:r>
      <w:r>
        <w:rPr>
          <w:b/>
        </w:rPr>
        <w:t>Filter by Resource Request Status</w:t>
      </w:r>
      <w:r>
        <w:t xml:space="preserve"> dropdown and tick </w:t>
      </w:r>
      <w:r>
        <w:rPr>
          <w:b/>
        </w:rPr>
        <w:t>Pending</w:t>
      </w:r>
      <w:r>
        <w:t>. The grid filters down to only the requests still awaiting a Resource Manager response.</w:t>
      </w:r>
    </w:p>
    <w:p>
      <w:r>
        <w:br w:type="page"/>
      </w:r>
    </w:p>
    <w:p>
      <w:pPr>
        <w:pStyle w:val="Heading1"/>
      </w:pPr>
      <w:r>
        <w:t>Reporting Basics</w:t>
      </w:r>
    </w:p>
    <w:p>
      <w:r>
        <w:t xml:space="preserve">Reporting at Knauf is concentrated in the </w:t>
      </w:r>
      <w:r>
        <w:rPr>
          <w:b/>
        </w:rPr>
        <w:t>Report Management</w:t>
      </w:r>
      <w:r>
        <w:t xml:space="preserve"> tile on the homescreen. From there you reach the full report list, plus the seven standard report types Knauf has configured.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016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reports_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3A3A"/>
          <w:sz w:val="18"/>
        </w:rPr>
        <w:t>Report Management with report types and Knauf reports</w:t>
      </w:r>
    </w:p>
    <w:p>
      <w:pPr>
        <w:pStyle w:val="Heading2"/>
      </w:pPr>
      <w:r>
        <w:t>Report Types</w:t>
      </w:r>
    </w:p>
    <w:p>
      <w:r>
        <w:t>The colourful tiles at the top of the Report Management screen let you create new reports from a fixed set of layouts:</w:t>
      </w:r>
    </w:p>
    <w:p>
      <w:pPr>
        <w:pStyle w:val="ListBullet"/>
      </w:pPr>
      <w:r>
        <w:rPr>
          <w:b/>
        </w:rPr>
        <w:t>Pivot Grid</w:t>
      </w:r>
      <w:r>
        <w:t xml:space="preserve"> - tabular pivot.</w:t>
      </w:r>
    </w:p>
    <w:p>
      <w:pPr>
        <w:pStyle w:val="ListBullet"/>
      </w:pPr>
      <w:r>
        <w:rPr>
          <w:b/>
        </w:rPr>
        <w:t>Pivot Chart</w:t>
      </w:r>
      <w:r>
        <w:t xml:space="preserve"> - pivot rendered as a chart.</w:t>
      </w:r>
    </w:p>
    <w:p>
      <w:pPr>
        <w:pStyle w:val="ListBullet"/>
      </w:pPr>
      <w:r>
        <w:rPr>
          <w:b/>
        </w:rPr>
        <w:t>RAR Grid</w:t>
      </w:r>
      <w:r>
        <w:t xml:space="preserve"> - Resource Allocation Report in grid form.</w:t>
      </w:r>
    </w:p>
    <w:p>
      <w:pPr>
        <w:pStyle w:val="ListBullet"/>
      </w:pPr>
      <w:r>
        <w:rPr>
          <w:b/>
        </w:rPr>
        <w:t>RAR Chart</w:t>
      </w:r>
      <w:r>
        <w:t xml:space="preserve"> - Resource Allocation Report as chart.</w:t>
      </w:r>
    </w:p>
    <w:p>
      <w:pPr>
        <w:pStyle w:val="ListBullet"/>
      </w:pPr>
      <w:r>
        <w:rPr>
          <w:b/>
        </w:rPr>
        <w:t>RAR2 Chart</w:t>
      </w:r>
      <w:r>
        <w:t xml:space="preserve"> - alternative RAR chart variant.</w:t>
      </w:r>
    </w:p>
    <w:p>
      <w:pPr>
        <w:pStyle w:val="ListBullet"/>
      </w:pPr>
      <w:r>
        <w:rPr>
          <w:b/>
        </w:rPr>
        <w:t>Portfolio Planner</w:t>
      </w:r>
      <w:r>
        <w:t xml:space="preserve"> - portfolio-level planning report.</w:t>
      </w:r>
    </w:p>
    <w:p>
      <w:pPr>
        <w:pStyle w:val="ListBullet"/>
      </w:pPr>
      <w:r>
        <w:rPr>
          <w:b/>
        </w:rPr>
        <w:t>Dashboards</w:t>
      </w:r>
      <w:r>
        <w:t xml:space="preserve"> - composite dashboards combining several charts and tables.</w:t>
      </w:r>
    </w:p>
    <w:p>
      <w:r>
        <w:t xml:space="preserve">Planners (PM/SM and RM) typically </w:t>
      </w:r>
      <w:r>
        <w:rPr>
          <w:b/>
        </w:rPr>
        <w:t>consume</w:t>
      </w:r>
      <w:r>
        <w:t xml:space="preserve"> reports created by Controlling or PPM rather than author new layouts. The tiles are still useful because they show which </w:t>
      </w:r>
      <w:r>
        <w:rPr>
          <w:b/>
        </w:rPr>
        <w:t>report family</w:t>
      </w:r>
      <w:r>
        <w:t xml:space="preserve"> you get when someone shares a link with you.</w:t>
      </w:r>
    </w:p>
    <w:p>
      <w:pPr>
        <w:pStyle w:val="Heading2"/>
      </w:pPr>
      <w:r>
        <w:t>Report List</w:t>
      </w:r>
    </w:p>
    <w:p>
      <w:r>
        <w:t>Below the tiles is the report list with two quick filters:</w:t>
      </w:r>
    </w:p>
    <w:p>
      <w:pPr>
        <w:pStyle w:val="ListBullet"/>
      </w:pPr>
      <w:r>
        <w:rPr>
          <w:b/>
        </w:rPr>
        <w:t>All</w:t>
      </w:r>
      <w:r>
        <w:t xml:space="preserve"> - all reports you have viewer access to.</w:t>
      </w:r>
    </w:p>
    <w:p>
      <w:pPr>
        <w:pStyle w:val="ListBullet"/>
      </w:pPr>
      <w:r>
        <w:rPr>
          <w:b/>
        </w:rPr>
        <w:t>Mine</w:t>
      </w:r>
      <w:r>
        <w:t xml:space="preserve"> - only the reports you own.</w:t>
      </w:r>
    </w:p>
    <w:p>
      <w:r>
        <w:t xml:space="preserve">Each row shows the report name, the source type (Knauf reports are tagged </w:t>
      </w:r>
      <w:r>
        <w:rPr>
          <w:rFonts w:ascii="Consolas" w:hAnsi="Consolas"/>
          <w:sz w:val="20"/>
        </w:rPr>
        <w:t>LIVE DATA</w:t>
      </w:r>
      <w:r>
        <w:t>), an optional description, the owner, and the creation / last update metadata. The icons at the far right let you clone or delete (for owners).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>Note: Report access is controlled per role. If a report you need is missing, ask the Knauf Tempus admin to grant viewer rights.</w:t>
            </w:r>
          </w:p>
        </w:tc>
      </w:tr>
    </w:tbl>
    <w:p/>
    <w:p>
      <w:pPr>
        <w:pStyle w:val="Heading3"/>
      </w:pPr>
      <w:r>
        <w:t>Reports You Will Likely Use</w:t>
      </w:r>
    </w:p>
    <w:p>
      <w:r>
        <w:t>Some of the recurring Knauf-managed reports include:</w:t>
      </w:r>
    </w:p>
    <w:p>
      <w:pPr>
        <w:pStyle w:val="ListBullet"/>
      </w:pPr>
      <w:r>
        <w:rPr>
          <w:b/>
        </w:rPr>
        <w:t>Timesheet Status</w:t>
      </w:r>
      <w:r>
        <w:t xml:space="preserve"> and </w:t>
      </w:r>
      <w:r>
        <w:rPr>
          <w:b/>
        </w:rPr>
        <w:t>Timesheet Audit</w:t>
      </w:r>
      <w:r>
        <w:t xml:space="preserve"> - operational reports for managers tracking submission status.</w:t>
      </w:r>
    </w:p>
    <w:p>
      <w:pPr>
        <w:pStyle w:val="ListBullet"/>
      </w:pPr>
      <w:r>
        <w:rPr>
          <w:b/>
        </w:rPr>
        <w:t>Skill Matrix Report</w:t>
      </w:r>
      <w:r>
        <w:t xml:space="preserve"> - capability overview across the resource pool.</w:t>
      </w:r>
    </w:p>
    <w:p>
      <w:pPr>
        <w:pStyle w:val="ListBullet"/>
      </w:pPr>
      <w:r>
        <w:rPr>
          <w:b/>
        </w:rPr>
        <w:t>Resource planning per product / platform</w:t>
      </w:r>
      <w:r>
        <w:t xml:space="preserve"> - capacity overview by product area.</w:t>
      </w:r>
    </w:p>
    <w:p>
      <w:pPr>
        <w:pStyle w:val="ListBullet"/>
      </w:pPr>
      <w:r>
        <w:rPr>
          <w:b/>
        </w:rPr>
        <w:t>Business Portfolio total IT cost</w:t>
      </w:r>
      <w:r>
        <w:t xml:space="preserve"> - portfolio cost rollup, useful for steering committees.</w:t>
      </w:r>
    </w:p>
    <w:p>
      <w:r>
        <w:t>Click any report to open it. Inside the report you have filters at the top, an export menu (Excel / CSV / PDF), and - depending on the report type - drill-down on chart segments.</w:t>
      </w:r>
    </w:p>
    <w:p>
      <w:pPr>
        <w:pStyle w:val="Heading2"/>
      </w:pPr>
      <w:r>
        <w:t>Other Tabs</w:t>
      </w:r>
    </w:p>
    <w:p>
      <w:r>
        <w:t>The top-right tabs of the Report Management screen are:</w:t>
      </w:r>
    </w:p>
    <w:p>
      <w:pPr>
        <w:pStyle w:val="ListBullet"/>
      </w:pPr>
      <w:r>
        <w:rPr>
          <w:b/>
        </w:rPr>
        <w:t>Report list</w:t>
      </w:r>
      <w:r>
        <w:t xml:space="preserve"> - the default landing tab (see above).</w:t>
      </w:r>
    </w:p>
    <w:p>
      <w:pPr>
        <w:pStyle w:val="ListBullet"/>
      </w:pPr>
      <w:r>
        <w:rPr>
          <w:b/>
        </w:rPr>
        <w:t>Report folder</w:t>
      </w:r>
      <w:r>
        <w:t xml:space="preserve"> - folders Knauf admins use to organise reports.</w:t>
      </w:r>
    </w:p>
    <w:p>
      <w:pPr>
        <w:pStyle w:val="ListBullet"/>
      </w:pPr>
      <w:r>
        <w:rPr>
          <w:b/>
        </w:rPr>
        <w:t>Report access</w:t>
      </w:r>
      <w:r>
        <w:t xml:space="preserve"> - manage who can view individual reports (owners only).</w:t>
      </w:r>
    </w:p>
    <w:p>
      <w:pPr>
        <w:pStyle w:val="ListBullet"/>
      </w:pPr>
      <w:r>
        <w:rPr>
          <w:b/>
        </w:rPr>
        <w:t>Files</w:t>
      </w:r>
      <w:r>
        <w:t xml:space="preserve"> - file attachments related to reports.</w:t>
      </w:r>
    </w:p>
    <w:p>
      <w:pPr>
        <w:pStyle w:val="Heading2"/>
      </w:pPr>
      <w:r>
        <w:t>Subscribing to Report Updates</w:t>
      </w:r>
    </w:p>
    <w:p>
      <w:r>
        <w:t>Where Knauf has enabled it, you can schedule recurring email delivery of a report from inside the report. This is typically used for weekly portfolio summaries.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val="clear" w:color="auto" w:fill="EAF1FB"/>
          </w:tcPr>
          <w:p>
            <w:r>
              <w:rPr>
                <w:b/>
                <w:color w:val="0B3D91"/>
              </w:rPr>
              <w:t xml:space="preserve">Note: </w:t>
            </w:r>
            <w:r>
              <w:t>Note: Phase 1 focuses on consuming the existing reports. Dashboard creation, custom report design, and Insight+ deeper analytics are Phase 2 topics and not covered in this guide.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3A3A3A"/>
        <w:sz w:val="16"/>
      </w:rPr>
      <w:t>Valkeen GmbH ∙ Bahnhofstrasse 64 ∙ 8001 Zurich, Switzerland</w:t>
    </w:r>
  </w:p>
  <w:p>
    <w:pPr>
      <w:jc w:val="center"/>
    </w:pPr>
    <w:r>
      <w:rPr>
        <w:color w:val="3A3A3A"/>
        <w:sz w:val="16"/>
      </w:rPr>
      <w:t>www.valkeen.com ∙ © 2026 Valkeen GmbH. All rights reserved.</w:t>
    </w:r>
  </w:p>
  <w:p>
    <w:pPr>
      <w:jc w:val="center"/>
    </w:pPr>
    <w:r>
      <w:rPr>
        <w:color w:val="3A3A3A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3A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9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D9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