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2A44"/>
          <w:sz w:val="44"/>
        </w:rPr>
        <w:t>MandiSense AI: Review 2</w:t>
        <w:br/>
        <w:t>Deep-Dive Study Guide, slide by slide</w:t>
      </w:r>
    </w:p>
    <w:p>
      <w:pPr>
        <w:spacing w:after="80"/>
        <w:jc w:val="center"/>
      </w:pPr>
      <w:r>
        <w:rPr>
          <w:b w:val="0"/>
          <w:i/>
          <w:sz w:val="22"/>
        </w:rPr>
        <w:t>Every idea, formula and number on every slide, explained in plain words with the technical content kept. Companion to the speaker notes (which stay as they are).</w:t>
      </w:r>
    </w:p>
    <w:p>
      <w:pPr>
        <w:spacing w:after="200"/>
        <w:jc w:val="center"/>
      </w:pPr>
      <w:r>
        <w:rPr>
          <w:b w:val="0"/>
          <w:i/>
          <w:sz w:val="19"/>
        </w:rPr>
        <w:t>B.M.S. College of Engineering · Project Work Phase 2 (23DS7PWPP2) · Srijan C Vachadmath, Manohara Salmani, Shreejith Shah · Guide: Dr. Kalyan N</w:t>
      </w:r>
    </w:p>
    <w:p>
      <w:pPr>
        <w:pStyle w:val="Heading1"/>
      </w:pPr>
      <w:r>
        <w:t>How to use this guide</w:t>
      </w:r>
    </w:p>
    <w:p>
      <w:pPr>
        <w:pStyle w:val="ListBullet"/>
        <w:spacing w:after="60"/>
      </w:pPr>
      <w:r>
        <w:rPr>
          <w:sz w:val="21"/>
        </w:rPr>
        <w:t xml:space="preserve">This guide is for the three of you, not for the examiners. The speaker notes tell you </w:t>
      </w:r>
      <w:r>
        <w:rPr>
          <w:b/>
          <w:sz w:val="21"/>
        </w:rPr>
        <w:t>what to say</w:t>
      </w:r>
      <w:r>
        <w:rPr>
          <w:sz w:val="21"/>
        </w:rPr>
        <w:t xml:space="preserve"> in a minute or two; this guide tells you </w:t>
      </w:r>
      <w:r>
        <w:rPr>
          <w:b/>
          <w:sz w:val="21"/>
        </w:rPr>
        <w:t>what everything on the slide actually means</w:t>
      </w:r>
      <w:r>
        <w:rPr>
          <w:sz w:val="21"/>
        </w:rPr>
        <w:t>, so that when someone asks a second or third question you are standing on solid ground.</w:t>
      </w:r>
    </w:p>
    <w:p>
      <w:pPr>
        <w:pStyle w:val="ListBullet"/>
        <w:spacing w:after="60"/>
      </w:pPr>
      <w:r>
        <w:rPr>
          <w:sz w:val="21"/>
        </w:rPr>
        <w:t xml:space="preserve">It follows the deck slide by slide (35 slides). Every slide has the same parts: </w:t>
      </w:r>
      <w:r>
        <w:rPr>
          <w:b/>
          <w:sz w:val="21"/>
        </w:rPr>
        <w:t>In one line</w:t>
      </w:r>
      <w:r>
        <w:rPr>
          <w:sz w:val="21"/>
        </w:rPr>
        <w:t xml:space="preserve">, </w:t>
      </w:r>
      <w:r>
        <w:rPr>
          <w:b/>
          <w:sz w:val="21"/>
        </w:rPr>
        <w:t>In plain words</w:t>
      </w:r>
      <w:r>
        <w:rPr>
          <w:sz w:val="21"/>
        </w:rPr>
        <w:t xml:space="preserve"> (the idea without jargon), </w:t>
      </w:r>
      <w:r>
        <w:rPr>
          <w:b/>
          <w:sz w:val="21"/>
        </w:rPr>
        <w:t>Go deeper</w:t>
      </w:r>
      <w:r>
        <w:rPr>
          <w:sz w:val="21"/>
        </w:rPr>
        <w:t xml:space="preserve"> (the technical content, explained term by term), </w:t>
      </w:r>
      <w:r>
        <w:rPr>
          <w:b/>
          <w:sz w:val="21"/>
        </w:rPr>
        <w:t>The numbers and what each one means</w:t>
      </w:r>
      <w:r>
        <w:rPr>
          <w:sz w:val="21"/>
        </w:rPr>
        <w:t xml:space="preserve">, </w:t>
      </w:r>
      <w:r>
        <w:rPr>
          <w:b/>
          <w:sz w:val="21"/>
        </w:rPr>
        <w:t>Why we did it this way</w:t>
      </w:r>
      <w:r>
        <w:rPr>
          <w:sz w:val="21"/>
        </w:rPr>
        <w:t xml:space="preserve">, </w:t>
      </w:r>
      <w:r>
        <w:rPr>
          <w:b/>
          <w:sz w:val="21"/>
        </w:rPr>
        <w:t>Limits (say these yourself)</w:t>
      </w:r>
      <w:r>
        <w:rPr>
          <w:sz w:val="21"/>
        </w:rPr>
        <w:t xml:space="preserve"> and </w:t>
      </w:r>
      <w:r>
        <w:rPr>
          <w:b/>
          <w:sz w:val="21"/>
        </w:rPr>
        <w:t>If asked</w:t>
      </w:r>
      <w:r>
        <w:rPr>
          <w:sz w:val="21"/>
        </w:rPr>
        <w:t xml:space="preserve"> (likely questions with answers).</w:t>
      </w:r>
    </w:p>
    <w:p>
      <w:pPr>
        <w:pStyle w:val="ListBullet"/>
        <w:spacing w:after="60"/>
      </w:pPr>
      <w:r>
        <w:rPr>
          <w:sz w:val="21"/>
        </w:rPr>
        <w:t>Technical words are never left unexplained: each is introduced once in plain language and then used. If a word still feels foreign, look it up in the glossary in Part A. The hardest slides are 14 to 27 (setup, results, validation, benchmarking, ablation); they have the longest sections on purpose.</w:t>
      </w:r>
    </w:p>
    <w:p>
      <w:pPr>
        <w:pStyle w:val="ListBullet"/>
        <w:spacing w:after="60"/>
      </w:pPr>
      <w:r>
        <w:rPr>
          <w:sz w:val="21"/>
        </w:rPr>
        <w:t>Every number comes from the deck, the thesis tables or the code outputs. Where a number is derived (for example a percentage worked back from two other numbers) the guide says so. Never quote a number that is not in the deck unless you have checked it in the thesis.</w:t>
      </w:r>
    </w:p>
    <w:p>
      <w:pPr>
        <w:pStyle w:val="Heading2"/>
      </w:pPr>
      <w:r>
        <w:t>Slide index</w:t>
      </w:r>
    </w:p>
    <w:tbl>
      <w:tblPr>
        <w:tblStyle w:val="TableGrid"/>
        <w:tblW w:type="auto" w:w="0"/>
        <w:jc w:val="center"/>
        <w:tblLayout w:type="fixed"/>
        <w:tblLook w:firstColumn="1" w:firstRow="1" w:lastColumn="0" w:lastRow="0" w:noHBand="0" w:noVBand="1" w:val="04A0"/>
      </w:tblPr>
      <w:tblGrid>
        <w:gridCol w:w="794"/>
        <w:gridCol w:w="3175"/>
        <w:gridCol w:w="5669"/>
      </w:tblGrid>
      <w:tr>
        <w:tc>
          <w:tcPr>
            <w:tcW w:type="dxa" w:w="794"/>
            <w:shd w:val="clear" w:color="auto" w:fill="1F4E79"/>
          </w:tcPr>
          <w:p>
            <w:pPr>
              <w:spacing w:after="20"/>
            </w:pPr>
            <w:r>
              <w:rPr>
                <w:b/>
                <w:color w:val="FFFFFF"/>
              </w:rPr>
            </w:r>
            <w:r>
              <w:rPr>
                <w:b/>
                <w:color w:val="FFFFFF"/>
                <w:sz w:val="17"/>
              </w:rPr>
              <w:t>Slide</w:t>
            </w:r>
          </w:p>
        </w:tc>
        <w:tc>
          <w:tcPr>
            <w:tcW w:type="dxa" w:w="3175"/>
            <w:shd w:val="clear" w:color="auto" w:fill="1F4E79"/>
          </w:tcPr>
          <w:p>
            <w:pPr>
              <w:spacing w:after="20"/>
            </w:pPr>
            <w:r>
              <w:rPr>
                <w:b/>
                <w:color w:val="FFFFFF"/>
              </w:rPr>
            </w:r>
            <w:r>
              <w:rPr>
                <w:b/>
                <w:color w:val="FFFFFF"/>
                <w:sz w:val="17"/>
              </w:rPr>
              <w:t>Title</w:t>
            </w:r>
          </w:p>
        </w:tc>
        <w:tc>
          <w:tcPr>
            <w:tcW w:type="dxa" w:w="5669"/>
            <w:shd w:val="clear" w:color="auto" w:fill="1F4E79"/>
          </w:tcPr>
          <w:p>
            <w:pPr>
              <w:spacing w:after="20"/>
            </w:pPr>
            <w:r>
              <w:rPr>
                <w:b/>
                <w:color w:val="FFFFFF"/>
              </w:rPr>
            </w:r>
            <w:r>
              <w:rPr>
                <w:b/>
                <w:color w:val="FFFFFF"/>
                <w:sz w:val="17"/>
              </w:rPr>
              <w:t>One line</w:t>
            </w:r>
          </w:p>
        </w:tc>
      </w:tr>
      <w:tr>
        <w:tc>
          <w:tcPr>
            <w:tcW w:type="dxa" w:w="794"/>
          </w:tcPr>
          <w:p>
            <w:pPr>
              <w:spacing w:after="20"/>
            </w:pPr>
            <w:r/>
            <w:r>
              <w:rPr>
                <w:sz w:val="17"/>
              </w:rPr>
              <w:t>1</w:t>
            </w:r>
          </w:p>
        </w:tc>
        <w:tc>
          <w:tcPr>
            <w:tcW w:type="dxa" w:w="3175"/>
          </w:tcPr>
          <w:p>
            <w:pPr>
              <w:spacing w:after="20"/>
            </w:pPr>
            <w:r/>
            <w:r>
              <w:rPr>
                <w:sz w:val="17"/>
              </w:rPr>
              <w:t>Title</w:t>
            </w:r>
          </w:p>
        </w:tc>
        <w:tc>
          <w:tcPr>
            <w:tcW w:type="dxa" w:w="5669"/>
          </w:tcPr>
          <w:p>
            <w:pPr>
              <w:spacing w:after="20"/>
            </w:pPr>
            <w:r/>
            <w:r>
              <w:rPr>
                <w:sz w:val="17"/>
              </w:rPr>
              <w:t>Who we are, what the project is called, and what phase this is.</w:t>
            </w:r>
          </w:p>
        </w:tc>
      </w:tr>
      <w:tr>
        <w:tc>
          <w:tcPr>
            <w:tcW w:type="dxa" w:w="794"/>
            <w:shd w:val="clear" w:color="auto" w:fill="EEF4F9"/>
          </w:tcPr>
          <w:p>
            <w:pPr>
              <w:spacing w:after="20"/>
            </w:pPr>
            <w:r/>
            <w:r>
              <w:rPr>
                <w:sz w:val="17"/>
              </w:rPr>
              <w:t>2</w:t>
            </w:r>
          </w:p>
        </w:tc>
        <w:tc>
          <w:tcPr>
            <w:tcW w:type="dxa" w:w="3175"/>
            <w:shd w:val="clear" w:color="auto" w:fill="EEF4F9"/>
          </w:tcPr>
          <w:p>
            <w:pPr>
              <w:spacing w:after="20"/>
            </w:pPr>
            <w:r/>
            <w:r>
              <w:rPr>
                <w:sz w:val="17"/>
              </w:rPr>
              <w:t>Table of contents</w:t>
            </w:r>
          </w:p>
        </w:tc>
        <w:tc>
          <w:tcPr>
            <w:tcW w:type="dxa" w:w="5669"/>
            <w:shd w:val="clear" w:color="auto" w:fill="EEF4F9"/>
          </w:tcPr>
          <w:p>
            <w:pPr>
              <w:spacing w:after="20"/>
            </w:pPr>
            <w:r/>
            <w:r>
              <w:rPr>
                <w:sz w:val="17"/>
              </w:rPr>
              <w:t>The ten blocks of the talk, in the order the review form asks for them.</w:t>
            </w:r>
          </w:p>
        </w:tc>
      </w:tr>
      <w:tr>
        <w:tc>
          <w:tcPr>
            <w:tcW w:type="dxa" w:w="794"/>
          </w:tcPr>
          <w:p>
            <w:pPr>
              <w:spacing w:after="20"/>
            </w:pPr>
            <w:r/>
            <w:r>
              <w:rPr>
                <w:sz w:val="17"/>
              </w:rPr>
              <w:t>3</w:t>
            </w:r>
          </w:p>
        </w:tc>
        <w:tc>
          <w:tcPr>
            <w:tcW w:type="dxa" w:w="3175"/>
          </w:tcPr>
          <w:p>
            <w:pPr>
              <w:spacing w:after="20"/>
            </w:pPr>
            <w:r/>
            <w:r>
              <w:rPr>
                <w:sz w:val="17"/>
              </w:rPr>
              <w:t>Introduction and problem statement</w:t>
            </w:r>
          </w:p>
        </w:tc>
        <w:tc>
          <w:tcPr>
            <w:tcW w:type="dxa" w:w="5669"/>
          </w:tcPr>
          <w:p>
            <w:pPr>
              <w:spacing w:after="20"/>
            </w:pPr>
            <w:r/>
            <w:r>
              <w:rPr>
                <w:sz w:val="17"/>
              </w:rPr>
              <w:t>Farmers choose a market with almost no information, and our job is to choose better and say how sure we are.</w:t>
            </w:r>
          </w:p>
        </w:tc>
      </w:tr>
      <w:tr>
        <w:tc>
          <w:tcPr>
            <w:tcW w:type="dxa" w:w="794"/>
            <w:shd w:val="clear" w:color="auto" w:fill="EEF4F9"/>
          </w:tcPr>
          <w:p>
            <w:pPr>
              <w:spacing w:after="20"/>
            </w:pPr>
            <w:r/>
            <w:r>
              <w:rPr>
                <w:sz w:val="17"/>
              </w:rPr>
              <w:t>4</w:t>
            </w:r>
          </w:p>
        </w:tc>
        <w:tc>
          <w:tcPr>
            <w:tcW w:type="dxa" w:w="3175"/>
            <w:shd w:val="clear" w:color="auto" w:fill="EEF4F9"/>
          </w:tcPr>
          <w:p>
            <w:pPr>
              <w:spacing w:after="20"/>
            </w:pPr>
            <w:r/>
            <w:r>
              <w:rPr>
                <w:sz w:val="17"/>
              </w:rPr>
              <w:t>Objectives</w:t>
            </w:r>
          </w:p>
        </w:tc>
        <w:tc>
          <w:tcPr>
            <w:tcW w:type="dxa" w:w="5669"/>
            <w:shd w:val="clear" w:color="auto" w:fill="EEF4F9"/>
          </w:tcPr>
          <w:p>
            <w:pPr>
              <w:spacing w:after="20"/>
            </w:pPr>
            <w:r/>
            <w:r>
              <w:rPr>
                <w:sz w:val="17"/>
              </w:rPr>
              <w:t>Ten objectives, each with a clear status and the evidence for it: 7 met, 1 partly met, 1 null result, 1 built and tested.</w:t>
            </w:r>
          </w:p>
        </w:tc>
      </w:tr>
      <w:tr>
        <w:tc>
          <w:tcPr>
            <w:tcW w:type="dxa" w:w="794"/>
          </w:tcPr>
          <w:p>
            <w:pPr>
              <w:spacing w:after="20"/>
            </w:pPr>
            <w:r/>
            <w:r>
              <w:rPr>
                <w:sz w:val="17"/>
              </w:rPr>
              <w:t>5</w:t>
            </w:r>
          </w:p>
        </w:tc>
        <w:tc>
          <w:tcPr>
            <w:tcW w:type="dxa" w:w="3175"/>
          </w:tcPr>
          <w:p>
            <w:pPr>
              <w:spacing w:after="20"/>
            </w:pPr>
            <w:r/>
            <w:r>
              <w:rPr>
                <w:sz w:val="17"/>
              </w:rPr>
              <w:t>Proposed methodology and system architecture</w:t>
            </w:r>
          </w:p>
        </w:tc>
        <w:tc>
          <w:tcPr>
            <w:tcW w:type="dxa" w:w="5669"/>
          </w:tcPr>
          <w:p>
            <w:pPr>
              <w:spacing w:after="20"/>
            </w:pPr>
            <w:r/>
            <w:r>
              <w:rPr>
                <w:sz w:val="17"/>
              </w:rPr>
              <w:t>Train on what the farmer would really receive, choose the best guaranteed revenue, and wrap it in a layered system.</w:t>
            </w:r>
          </w:p>
        </w:tc>
      </w:tr>
      <w:tr>
        <w:tc>
          <w:tcPr>
            <w:tcW w:type="dxa" w:w="794"/>
            <w:shd w:val="clear" w:color="auto" w:fill="EEF4F9"/>
          </w:tcPr>
          <w:p>
            <w:pPr>
              <w:spacing w:after="20"/>
            </w:pPr>
            <w:r/>
            <w:r>
              <w:rPr>
                <w:sz w:val="17"/>
              </w:rPr>
              <w:t>6</w:t>
            </w:r>
          </w:p>
        </w:tc>
        <w:tc>
          <w:tcPr>
            <w:tcW w:type="dxa" w:w="3175"/>
            <w:shd w:val="clear" w:color="auto" w:fill="EEF4F9"/>
          </w:tcPr>
          <w:p>
            <w:pPr>
              <w:spacing w:after="20"/>
            </w:pPr>
            <w:r/>
            <w:r>
              <w:rPr>
                <w:sz w:val="17"/>
              </w:rPr>
              <w:t>Key formulation: revenue, loss and verified floor</w:t>
            </w:r>
          </w:p>
        </w:tc>
        <w:tc>
          <w:tcPr>
            <w:tcW w:type="dxa" w:w="5669"/>
            <w:shd w:val="clear" w:color="auto" w:fill="EEF4F9"/>
          </w:tcPr>
          <w:p>
            <w:pPr>
              <w:spacing w:after="20"/>
            </w:pPr>
            <w:r/>
            <w:r>
              <w:rPr>
                <w:sz w:val="17"/>
              </w:rPr>
              <w:t>Three formulas: what the farmer keeps, how the model is scored, and how the floor is set and kept honest.</w:t>
            </w:r>
          </w:p>
        </w:tc>
      </w:tr>
      <w:tr>
        <w:tc>
          <w:tcPr>
            <w:tcW w:type="dxa" w:w="794"/>
          </w:tcPr>
          <w:p>
            <w:pPr>
              <w:spacing w:after="20"/>
            </w:pPr>
            <w:r/>
            <w:r>
              <w:rPr>
                <w:sz w:val="17"/>
              </w:rPr>
              <w:t>7</w:t>
            </w:r>
          </w:p>
        </w:tc>
        <w:tc>
          <w:tcPr>
            <w:tcW w:type="dxa" w:w="3175"/>
          </w:tcPr>
          <w:p>
            <w:pPr>
              <w:spacing w:after="20"/>
            </w:pPr>
            <w:r/>
            <w:r>
              <w:rPr>
                <w:sz w:val="17"/>
              </w:rPr>
              <w:t>Decision intelligence and cross-commodity spillover</w:t>
            </w:r>
          </w:p>
        </w:tc>
        <w:tc>
          <w:tcPr>
            <w:tcW w:type="dxa" w:w="5669"/>
          </w:tcPr>
          <w:p>
            <w:pPr>
              <w:spacing w:after="20"/>
            </w:pPr>
            <w:r/>
            <w:r>
              <w:rPr>
                <w:sz w:val="17"/>
              </w:rPr>
              <w:t>Two research extensions: language-model briefs that are checked against evidence, and a test of whether crops move each other's prices.</w:t>
            </w:r>
          </w:p>
        </w:tc>
      </w:tr>
      <w:tr>
        <w:tc>
          <w:tcPr>
            <w:tcW w:type="dxa" w:w="794"/>
            <w:shd w:val="clear" w:color="auto" w:fill="EEF4F9"/>
          </w:tcPr>
          <w:p>
            <w:pPr>
              <w:spacing w:after="20"/>
            </w:pPr>
            <w:r/>
            <w:r>
              <w:rPr>
                <w:sz w:val="17"/>
              </w:rPr>
              <w:t>8</w:t>
            </w:r>
          </w:p>
        </w:tc>
        <w:tc>
          <w:tcPr>
            <w:tcW w:type="dxa" w:w="3175"/>
            <w:shd w:val="clear" w:color="auto" w:fill="EEF4F9"/>
          </w:tcPr>
          <w:p>
            <w:pPr>
              <w:spacing w:after="20"/>
            </w:pPr>
            <w:r/>
            <w:r>
              <w:rPr>
                <w:sz w:val="17"/>
              </w:rPr>
              <w:t>Insight features: method</w:t>
            </w:r>
          </w:p>
        </w:tc>
        <w:tc>
          <w:tcPr>
            <w:tcW w:type="dxa" w:w="5669"/>
            <w:shd w:val="clear" w:color="auto" w:fill="EEF4F9"/>
          </w:tcPr>
          <w:p>
            <w:pPr>
              <w:spacing w:after="20"/>
            </w:pPr>
            <w:r/>
            <w:r>
              <w:rPr>
                <w:sz w:val="17"/>
              </w:rPr>
              <w:t>Five calculations that make the advice inspectable: breakdown, what-if, track record, silence tax and crowd simulator.</w:t>
            </w:r>
          </w:p>
        </w:tc>
      </w:tr>
      <w:tr>
        <w:tc>
          <w:tcPr>
            <w:tcW w:type="dxa" w:w="794"/>
          </w:tcPr>
          <w:p>
            <w:pPr>
              <w:spacing w:after="20"/>
            </w:pPr>
            <w:r/>
            <w:r>
              <w:rPr>
                <w:sz w:val="17"/>
              </w:rPr>
              <w:t>9</w:t>
            </w:r>
          </w:p>
        </w:tc>
        <w:tc>
          <w:tcPr>
            <w:tcW w:type="dxa" w:w="3175"/>
          </w:tcPr>
          <w:p>
            <w:pPr>
              <w:spacing w:after="20"/>
            </w:pPr>
            <w:r/>
            <w:r>
              <w:rPr>
                <w:sz w:val="17"/>
              </w:rPr>
              <w:t>Implementation and system integration</w:t>
            </w:r>
          </w:p>
        </w:tc>
        <w:tc>
          <w:tcPr>
            <w:tcW w:type="dxa" w:w="5669"/>
          </w:tcPr>
          <w:p>
            <w:pPr>
              <w:spacing w:after="20"/>
            </w:pPr>
            <w:r/>
            <w:r>
              <w:rPr>
                <w:sz w:val="17"/>
              </w:rPr>
              <w:t>How the parts were joined into one reproducible system, and what broke along the way.</w:t>
            </w:r>
          </w:p>
        </w:tc>
      </w:tr>
      <w:tr>
        <w:tc>
          <w:tcPr>
            <w:tcW w:type="dxa" w:w="794"/>
            <w:shd w:val="clear" w:color="auto" w:fill="EEF4F9"/>
          </w:tcPr>
          <w:p>
            <w:pPr>
              <w:spacing w:after="20"/>
            </w:pPr>
            <w:r/>
            <w:r>
              <w:rPr>
                <w:sz w:val="17"/>
              </w:rPr>
              <w:t>10</w:t>
            </w:r>
          </w:p>
        </w:tc>
        <w:tc>
          <w:tcPr>
            <w:tcW w:type="dxa" w:w="3175"/>
            <w:shd w:val="clear" w:color="auto" w:fill="EEF4F9"/>
          </w:tcPr>
          <w:p>
            <w:pPr>
              <w:spacing w:after="20"/>
            </w:pPr>
            <w:r/>
            <w:r>
              <w:rPr>
                <w:sz w:val="17"/>
              </w:rPr>
              <w:t>What you will see: five features and a digest</w:t>
            </w:r>
          </w:p>
        </w:tc>
        <w:tc>
          <w:tcPr>
            <w:tcW w:type="dxa" w:w="5669"/>
            <w:shd w:val="clear" w:color="auto" w:fill="EEF4F9"/>
          </w:tcPr>
          <w:p>
            <w:pPr>
              <w:spacing w:after="20"/>
            </w:pPr>
            <w:r/>
            <w:r>
              <w:rPr>
                <w:sz w:val="17"/>
              </w:rPr>
              <w:t>A map of the demo: six items, each tied to a screen and an address.</w:t>
            </w:r>
          </w:p>
        </w:tc>
      </w:tr>
      <w:tr>
        <w:tc>
          <w:tcPr>
            <w:tcW w:type="dxa" w:w="794"/>
          </w:tcPr>
          <w:p>
            <w:pPr>
              <w:spacing w:after="20"/>
            </w:pPr>
            <w:r/>
            <w:r>
              <w:rPr>
                <w:sz w:val="17"/>
              </w:rPr>
              <w:t>11</w:t>
            </w:r>
          </w:p>
        </w:tc>
        <w:tc>
          <w:tcPr>
            <w:tcW w:type="dxa" w:w="3175"/>
          </w:tcPr>
          <w:p>
            <w:pPr>
              <w:spacing w:after="20"/>
            </w:pPr>
            <w:r/>
            <w:r>
              <w:rPr>
                <w:sz w:val="17"/>
              </w:rPr>
              <w:t>Live demonstration (1/2): farmer tool</w:t>
            </w:r>
          </w:p>
        </w:tc>
        <w:tc>
          <w:tcPr>
            <w:tcW w:type="dxa" w:w="5669"/>
          </w:tcPr>
          <w:p>
            <w:pPr>
              <w:spacing w:after="20"/>
            </w:pPr>
            <w:r/>
            <w:r>
              <w:rPr>
                <w:sz w:val="17"/>
              </w:rPr>
              <w:t>Six steps that show the advice, its arithmetic, its sensitivity, its track record and the language switch.</w:t>
            </w:r>
          </w:p>
        </w:tc>
      </w:tr>
      <w:tr>
        <w:tc>
          <w:tcPr>
            <w:tcW w:type="dxa" w:w="794"/>
            <w:shd w:val="clear" w:color="auto" w:fill="EEF4F9"/>
          </w:tcPr>
          <w:p>
            <w:pPr>
              <w:spacing w:after="20"/>
            </w:pPr>
            <w:r/>
            <w:r>
              <w:rPr>
                <w:sz w:val="17"/>
              </w:rPr>
              <w:t>12</w:t>
            </w:r>
          </w:p>
        </w:tc>
        <w:tc>
          <w:tcPr>
            <w:tcW w:type="dxa" w:w="3175"/>
            <w:shd w:val="clear" w:color="auto" w:fill="EEF4F9"/>
          </w:tcPr>
          <w:p>
            <w:pPr>
              <w:spacing w:after="20"/>
            </w:pPr>
            <w:r/>
            <w:r>
              <w:rPr>
                <w:sz w:val="17"/>
              </w:rPr>
              <w:t>Live demonstration (2/2): trader desk and Telegram</w:t>
            </w:r>
          </w:p>
        </w:tc>
        <w:tc>
          <w:tcPr>
            <w:tcW w:type="dxa" w:w="5669"/>
            <w:shd w:val="clear" w:color="auto" w:fill="EEF4F9"/>
          </w:tcPr>
          <w:p>
            <w:pPr>
              <w:spacing w:after="20"/>
            </w:pPr>
            <w:r/>
            <w:r>
              <w:rPr>
                <w:sz w:val="17"/>
              </w:rPr>
              <w:t>Silence tax, the crowd simulator, then the phone: a real message from the real bot.</w:t>
            </w:r>
          </w:p>
        </w:tc>
      </w:tr>
      <w:tr>
        <w:tc>
          <w:tcPr>
            <w:tcW w:type="dxa" w:w="794"/>
          </w:tcPr>
          <w:p>
            <w:pPr>
              <w:spacing w:after="20"/>
            </w:pPr>
            <w:r/>
            <w:r>
              <w:rPr>
                <w:sz w:val="17"/>
              </w:rPr>
              <w:t>13</w:t>
            </w:r>
          </w:p>
        </w:tc>
        <w:tc>
          <w:tcPr>
            <w:tcW w:type="dxa" w:w="3175"/>
          </w:tcPr>
          <w:p>
            <w:pPr>
              <w:spacing w:after="20"/>
            </w:pPr>
            <w:r/>
            <w:r>
              <w:rPr>
                <w:sz w:val="17"/>
              </w:rPr>
              <w:t>Tools, technology stack and code quality</w:t>
            </w:r>
          </w:p>
        </w:tc>
        <w:tc>
          <w:tcPr>
            <w:tcW w:type="dxa" w:w="5669"/>
          </w:tcPr>
          <w:p>
            <w:pPr>
              <w:spacing w:after="20"/>
            </w:pPr>
            <w:r/>
            <w:r>
              <w:rPr>
                <w:sz w:val="17"/>
              </w:rPr>
              <w:t>What we built it with, why each tool, and how we know it works.</w:t>
            </w:r>
          </w:p>
        </w:tc>
      </w:tr>
      <w:tr>
        <w:tc>
          <w:tcPr>
            <w:tcW w:type="dxa" w:w="794"/>
            <w:shd w:val="clear" w:color="auto" w:fill="EEF4F9"/>
          </w:tcPr>
          <w:p>
            <w:pPr>
              <w:spacing w:after="20"/>
            </w:pPr>
            <w:r/>
            <w:r>
              <w:rPr>
                <w:sz w:val="17"/>
              </w:rPr>
              <w:t>14</w:t>
            </w:r>
          </w:p>
        </w:tc>
        <w:tc>
          <w:tcPr>
            <w:tcW w:type="dxa" w:w="3175"/>
            <w:shd w:val="clear" w:color="auto" w:fill="EEF4F9"/>
          </w:tcPr>
          <w:p>
            <w:pPr>
              <w:spacing w:after="20"/>
            </w:pPr>
            <w:r/>
            <w:r>
              <w:rPr>
                <w:sz w:val="17"/>
              </w:rPr>
              <w:t>Experimental setup and evaluation metrics</w:t>
            </w:r>
          </w:p>
        </w:tc>
        <w:tc>
          <w:tcPr>
            <w:tcW w:type="dxa" w:w="5669"/>
            <w:shd w:val="clear" w:color="auto" w:fill="EEF4F9"/>
          </w:tcPr>
          <w:p>
            <w:pPr>
              <w:spacing w:after="20"/>
            </w:pPr>
            <w:r/>
            <w:r>
              <w:rPr>
                <w:sz w:val="17"/>
              </w:rPr>
              <w:t>How the experiments were run so that no test result can have seen the future, and how every claim is measured.</w:t>
            </w:r>
          </w:p>
        </w:tc>
      </w:tr>
      <w:tr>
        <w:tc>
          <w:tcPr>
            <w:tcW w:type="dxa" w:w="794"/>
          </w:tcPr>
          <w:p>
            <w:pPr>
              <w:spacing w:after="20"/>
            </w:pPr>
            <w:r/>
            <w:r>
              <w:rPr>
                <w:sz w:val="17"/>
              </w:rPr>
              <w:t>15</w:t>
            </w:r>
          </w:p>
        </w:tc>
        <w:tc>
          <w:tcPr>
            <w:tcW w:type="dxa" w:w="3175"/>
          </w:tcPr>
          <w:p>
            <w:pPr>
              <w:spacing w:after="20"/>
            </w:pPr>
            <w:r/>
            <w:r>
              <w:rPr>
                <w:sz w:val="17"/>
              </w:rPr>
              <w:t>Results and validation: decision quality</w:t>
            </w:r>
          </w:p>
        </w:tc>
        <w:tc>
          <w:tcPr>
            <w:tcW w:type="dxa" w:w="5669"/>
          </w:tcPr>
          <w:p>
            <w:pPr>
              <w:spacing w:after="20"/>
            </w:pPr>
            <w:r/>
            <w:r>
              <w:rPr>
                <w:sz w:val="17"/>
              </w:rPr>
              <w:t>Models trained on what the farmer receives earn the most in every crop, and the reason is that they avoid silent mandis.</w:t>
            </w:r>
          </w:p>
        </w:tc>
      </w:tr>
      <w:tr>
        <w:tc>
          <w:tcPr>
            <w:tcW w:type="dxa" w:w="794"/>
            <w:shd w:val="clear" w:color="auto" w:fill="EEF4F9"/>
          </w:tcPr>
          <w:p>
            <w:pPr>
              <w:spacing w:after="20"/>
            </w:pPr>
            <w:r/>
            <w:r>
              <w:rPr>
                <w:sz w:val="17"/>
              </w:rPr>
              <w:t>16</w:t>
            </w:r>
          </w:p>
        </w:tc>
        <w:tc>
          <w:tcPr>
            <w:tcW w:type="dxa" w:w="3175"/>
            <w:shd w:val="clear" w:color="auto" w:fill="EEF4F9"/>
          </w:tcPr>
          <w:p>
            <w:pPr>
              <w:spacing w:after="20"/>
            </w:pPr>
            <w:r/>
            <w:r>
              <w:rPr>
                <w:sz w:val="17"/>
              </w:rPr>
              <w:t>Statistical validation: what actually improved decisions</w:t>
            </w:r>
          </w:p>
        </w:tc>
        <w:tc>
          <w:tcPr>
            <w:tcW w:type="dxa" w:w="5669"/>
            <w:shd w:val="clear" w:color="auto" w:fill="EEF4F9"/>
          </w:tcPr>
          <w:p>
            <w:pPr>
              <w:spacing w:after="20"/>
            </w:pPr>
            <w:r/>
            <w:r>
              <w:rPr>
                <w:sz w:val="17"/>
              </w:rPr>
              <w:t>Two separate ideas were tested; only the first (better labels) is a reliable improvement.</w:t>
            </w:r>
          </w:p>
        </w:tc>
      </w:tr>
      <w:tr>
        <w:tc>
          <w:tcPr>
            <w:tcW w:type="dxa" w:w="794"/>
          </w:tcPr>
          <w:p>
            <w:pPr>
              <w:spacing w:after="20"/>
            </w:pPr>
            <w:r/>
            <w:r>
              <w:rPr>
                <w:sz w:val="17"/>
              </w:rPr>
              <w:t>17</w:t>
            </w:r>
          </w:p>
        </w:tc>
        <w:tc>
          <w:tcPr>
            <w:tcW w:type="dxa" w:w="3175"/>
          </w:tcPr>
          <w:p>
            <w:pPr>
              <w:spacing w:after="20"/>
            </w:pPr>
            <w:r/>
            <w:r>
              <w:rPr>
                <w:sz w:val="17"/>
              </w:rPr>
              <w:t>Verified floors and served-engine back-test</w:t>
            </w:r>
          </w:p>
        </w:tc>
        <w:tc>
          <w:tcPr>
            <w:tcW w:type="dxa" w:w="5669"/>
          </w:tcPr>
          <w:p>
            <w:pPr>
              <w:spacing w:after="20"/>
            </w:pPr>
            <w:r/>
            <w:r>
              <w:rPr>
                <w:sz w:val="17"/>
              </w:rPr>
              <w:t>The floors hold close to their promised rate, and the engines that the app actually serves beat the best simple rule in three of four crops.</w:t>
            </w:r>
          </w:p>
        </w:tc>
      </w:tr>
      <w:tr>
        <w:tc>
          <w:tcPr>
            <w:tcW w:type="dxa" w:w="794"/>
            <w:shd w:val="clear" w:color="auto" w:fill="EEF4F9"/>
          </w:tcPr>
          <w:p>
            <w:pPr>
              <w:spacing w:after="20"/>
            </w:pPr>
            <w:r/>
            <w:r>
              <w:rPr>
                <w:sz w:val="17"/>
              </w:rPr>
              <w:t>18</w:t>
            </w:r>
          </w:p>
        </w:tc>
        <w:tc>
          <w:tcPr>
            <w:tcW w:type="dxa" w:w="3175"/>
            <w:shd w:val="clear" w:color="auto" w:fill="EEF4F9"/>
          </w:tcPr>
          <w:p>
            <w:pPr>
              <w:spacing w:after="20"/>
            </w:pPr>
            <w:r/>
            <w:r>
              <w:rPr>
                <w:sz w:val="17"/>
              </w:rPr>
              <w:t>Explaining the advice: why this mandi, what if</w:t>
            </w:r>
          </w:p>
        </w:tc>
        <w:tc>
          <w:tcPr>
            <w:tcW w:type="dxa" w:w="5669"/>
            <w:shd w:val="clear" w:color="auto" w:fill="EEF4F9"/>
          </w:tcPr>
          <w:p>
            <w:pPr>
              <w:spacing w:after="20"/>
            </w:pPr>
            <w:r/>
            <w:r>
              <w:rPr>
                <w:sz w:val="17"/>
              </w:rPr>
              <w:t>The arithmetic behind the recommendation and where it breaks.</w:t>
            </w:r>
          </w:p>
        </w:tc>
      </w:tr>
      <w:tr>
        <w:tc>
          <w:tcPr>
            <w:tcW w:type="dxa" w:w="794"/>
          </w:tcPr>
          <w:p>
            <w:pPr>
              <w:spacing w:after="20"/>
            </w:pPr>
            <w:r/>
            <w:r>
              <w:rPr>
                <w:sz w:val="17"/>
              </w:rPr>
              <w:t>19</w:t>
            </w:r>
          </w:p>
        </w:tc>
        <w:tc>
          <w:tcPr>
            <w:tcW w:type="dxa" w:w="3175"/>
          </w:tcPr>
          <w:p>
            <w:pPr>
              <w:spacing w:after="20"/>
            </w:pPr>
            <w:r/>
            <w:r>
              <w:rPr>
                <w:sz w:val="17"/>
              </w:rPr>
              <w:t>Public track record on days the advice had not seen</w:t>
            </w:r>
          </w:p>
        </w:tc>
        <w:tc>
          <w:tcPr>
            <w:tcW w:type="dxa" w:w="5669"/>
          </w:tcPr>
          <w:p>
            <w:pPr>
              <w:spacing w:after="20"/>
            </w:pPr>
            <w:r/>
            <w:r>
              <w:rPr>
                <w:sz w:val="17"/>
              </w:rPr>
              <w:t>On 165 days after the floor was fitted, the advice wins against the nearest mandi on most days and the floors hold on 84 to 92 percent of days.</w:t>
            </w:r>
          </w:p>
        </w:tc>
      </w:tr>
      <w:tr>
        <w:tc>
          <w:tcPr>
            <w:tcW w:type="dxa" w:w="794"/>
            <w:shd w:val="clear" w:color="auto" w:fill="EEF4F9"/>
          </w:tcPr>
          <w:p>
            <w:pPr>
              <w:spacing w:after="20"/>
            </w:pPr>
            <w:r/>
            <w:r>
              <w:rPr>
                <w:sz w:val="17"/>
              </w:rPr>
              <w:t>20</w:t>
            </w:r>
          </w:p>
        </w:tc>
        <w:tc>
          <w:tcPr>
            <w:tcW w:type="dxa" w:w="3175"/>
            <w:shd w:val="clear" w:color="auto" w:fill="EEF4F9"/>
          </w:tcPr>
          <w:p>
            <w:pPr>
              <w:spacing w:after="20"/>
            </w:pPr>
            <w:r/>
            <w:r>
              <w:rPr>
                <w:sz w:val="17"/>
              </w:rPr>
              <w:t>Silence tax: what an unreliable mandi costs a trip</w:t>
            </w:r>
          </w:p>
        </w:tc>
        <w:tc>
          <w:tcPr>
            <w:tcW w:type="dxa" w:w="5669"/>
            <w:shd w:val="clear" w:color="auto" w:fill="EEF4F9"/>
          </w:tcPr>
          <w:p>
            <w:pPr>
              <w:spacing w:after="20"/>
            </w:pPr>
            <w:r/>
            <w:r>
              <w:rPr>
                <w:sz w:val="17"/>
              </w:rPr>
              <w:t>Rupees lost per quintal because a mandi reports no price on a day you travelled there.</w:t>
            </w:r>
          </w:p>
        </w:tc>
      </w:tr>
      <w:tr>
        <w:tc>
          <w:tcPr>
            <w:tcW w:type="dxa" w:w="794"/>
          </w:tcPr>
          <w:p>
            <w:pPr>
              <w:spacing w:after="20"/>
            </w:pPr>
            <w:r/>
            <w:r>
              <w:rPr>
                <w:sz w:val="17"/>
              </w:rPr>
              <w:t>21</w:t>
            </w:r>
          </w:p>
        </w:tc>
        <w:tc>
          <w:tcPr>
            <w:tcW w:type="dxa" w:w="3175"/>
          </w:tcPr>
          <w:p>
            <w:pPr>
              <w:spacing w:after="20"/>
            </w:pPr>
            <w:r/>
            <w:r>
              <w:rPr>
                <w:sz w:val="17"/>
              </w:rPr>
              <w:t>Crowd simulator: what if everyone follows the advice?</w:t>
            </w:r>
          </w:p>
        </w:tc>
        <w:tc>
          <w:tcPr>
            <w:tcW w:type="dxa" w:w="5669"/>
          </w:tcPr>
          <w:p>
            <w:pPr>
              <w:spacing w:after="20"/>
            </w:pPr>
            <w:r/>
            <w:r>
              <w:rPr>
                <w:sz w:val="17"/>
              </w:rPr>
              <w:t>Advice that is best for one farmer can be poor for two hundred, unless it is coordinated.</w:t>
            </w:r>
          </w:p>
        </w:tc>
      </w:tr>
      <w:tr>
        <w:tc>
          <w:tcPr>
            <w:tcW w:type="dxa" w:w="794"/>
            <w:shd w:val="clear" w:color="auto" w:fill="EEF4F9"/>
          </w:tcPr>
          <w:p>
            <w:pPr>
              <w:spacing w:after="20"/>
            </w:pPr>
            <w:r/>
            <w:r>
              <w:rPr>
                <w:sz w:val="17"/>
              </w:rPr>
              <w:t>22</w:t>
            </w:r>
          </w:p>
        </w:tc>
        <w:tc>
          <w:tcPr>
            <w:tcW w:type="dxa" w:w="3175"/>
            <w:shd w:val="clear" w:color="auto" w:fill="EEF4F9"/>
          </w:tcPr>
          <w:p>
            <w:pPr>
              <w:spacing w:after="20"/>
            </w:pPr>
            <w:r/>
            <w:r>
              <w:rPr>
                <w:sz w:val="17"/>
              </w:rPr>
              <w:t>Daily digest on Telegram</w:t>
            </w:r>
          </w:p>
        </w:tc>
        <w:tc>
          <w:tcPr>
            <w:tcW w:type="dxa" w:w="5669"/>
            <w:shd w:val="clear" w:color="auto" w:fill="EEF4F9"/>
          </w:tcPr>
          <w:p>
            <w:pPr>
              <w:spacing w:after="20"/>
            </w:pPr>
            <w:r/>
            <w:r>
              <w:rPr>
                <w:sz w:val="17"/>
              </w:rPr>
              <w:t>A dated morning message in the farmer's language, with advice only where the evidence is strong.</w:t>
            </w:r>
          </w:p>
        </w:tc>
      </w:tr>
      <w:tr>
        <w:tc>
          <w:tcPr>
            <w:tcW w:type="dxa" w:w="794"/>
          </w:tcPr>
          <w:p>
            <w:pPr>
              <w:spacing w:after="20"/>
            </w:pPr>
            <w:r/>
            <w:r>
              <w:rPr>
                <w:sz w:val="17"/>
              </w:rPr>
              <w:t>23</w:t>
            </w:r>
          </w:p>
        </w:tc>
        <w:tc>
          <w:tcPr>
            <w:tcW w:type="dxa" w:w="3175"/>
          </w:tcPr>
          <w:p>
            <w:pPr>
              <w:spacing w:after="20"/>
            </w:pPr>
            <w:r/>
            <w:r>
              <w:rPr>
                <w:sz w:val="17"/>
              </w:rPr>
              <w:t>Look-ahead audit of decompose-then-forecast models</w:t>
            </w:r>
          </w:p>
        </w:tc>
        <w:tc>
          <w:tcPr>
            <w:tcW w:type="dxa" w:w="5669"/>
          </w:tcPr>
          <w:p>
            <w:pPr>
              <w:spacing w:after="20"/>
            </w:pPr>
            <w:r/>
            <w:r>
              <w:rPr>
                <w:sz w:val="17"/>
              </w:rPr>
              <w:t>A popular family of forecasting models looks very good only because it peeks at the future; remove the peek and the advantage disappears.</w:t>
            </w:r>
          </w:p>
        </w:tc>
      </w:tr>
      <w:tr>
        <w:tc>
          <w:tcPr>
            <w:tcW w:type="dxa" w:w="794"/>
            <w:shd w:val="clear" w:color="auto" w:fill="EEF4F9"/>
          </w:tcPr>
          <w:p>
            <w:pPr>
              <w:spacing w:after="20"/>
            </w:pPr>
            <w:r/>
            <w:r>
              <w:rPr>
                <w:sz w:val="17"/>
              </w:rPr>
              <w:t>24</w:t>
            </w:r>
          </w:p>
        </w:tc>
        <w:tc>
          <w:tcPr>
            <w:tcW w:type="dxa" w:w="3175"/>
            <w:shd w:val="clear" w:color="auto" w:fill="EEF4F9"/>
          </w:tcPr>
          <w:p>
            <w:pPr>
              <w:spacing w:after="20"/>
            </w:pPr>
            <w:r/>
            <w:r>
              <w:rPr>
                <w:sz w:val="17"/>
              </w:rPr>
              <w:t>Council, shocks, spillover and language layer</w:t>
            </w:r>
          </w:p>
        </w:tc>
        <w:tc>
          <w:tcPr>
            <w:tcW w:type="dxa" w:w="5669"/>
            <w:shd w:val="clear" w:color="auto" w:fill="EEF4F9"/>
          </w:tcPr>
          <w:p>
            <w:pPr>
              <w:spacing w:after="20"/>
            </w:pPr>
            <w:r/>
            <w:r>
              <w:rPr>
                <w:sz w:val="17"/>
              </w:rPr>
              <w:t>Five side studies, each reported with its verdict, three of which are honest negatives.</w:t>
            </w:r>
          </w:p>
        </w:tc>
      </w:tr>
      <w:tr>
        <w:tc>
          <w:tcPr>
            <w:tcW w:type="dxa" w:w="794"/>
          </w:tcPr>
          <w:p>
            <w:pPr>
              <w:spacing w:after="20"/>
            </w:pPr>
            <w:r/>
            <w:r>
              <w:rPr>
                <w:sz w:val="17"/>
              </w:rPr>
              <w:t>25</w:t>
            </w:r>
          </w:p>
        </w:tc>
        <w:tc>
          <w:tcPr>
            <w:tcW w:type="dxa" w:w="3175"/>
          </w:tcPr>
          <w:p>
            <w:pPr>
              <w:spacing w:after="20"/>
            </w:pPr>
            <w:r/>
            <w:r>
              <w:rPr>
                <w:sz w:val="17"/>
              </w:rPr>
              <w:t>Comparative benchmarking</w:t>
            </w:r>
          </w:p>
        </w:tc>
        <w:tc>
          <w:tcPr>
            <w:tcW w:type="dxa" w:w="5669"/>
          </w:tcPr>
          <w:p>
            <w:pPr>
              <w:spacing w:after="20"/>
            </w:pPr>
            <w:r/>
            <w:r>
              <w:rPr>
                <w:sz w:val="17"/>
              </w:rPr>
              <w:t>All methods compared under identical conditions: ours wins in every crop against every simple rule and every observed-price model, except where stated.</w:t>
            </w:r>
          </w:p>
        </w:tc>
      </w:tr>
      <w:tr>
        <w:tc>
          <w:tcPr>
            <w:tcW w:type="dxa" w:w="794"/>
            <w:shd w:val="clear" w:color="auto" w:fill="EEF4F9"/>
          </w:tcPr>
          <w:p>
            <w:pPr>
              <w:spacing w:after="20"/>
            </w:pPr>
            <w:r/>
            <w:r>
              <w:rPr>
                <w:sz w:val="17"/>
              </w:rPr>
              <w:t>26</w:t>
            </w:r>
          </w:p>
        </w:tc>
        <w:tc>
          <w:tcPr>
            <w:tcW w:type="dxa" w:w="3175"/>
            <w:shd w:val="clear" w:color="auto" w:fill="EEF4F9"/>
          </w:tcPr>
          <w:p>
            <w:pPr>
              <w:spacing w:after="20"/>
            </w:pPr>
            <w:r/>
            <w:r>
              <w:rPr>
                <w:sz w:val="17"/>
              </w:rPr>
              <w:t>Novelty and research contribution</w:t>
            </w:r>
          </w:p>
        </w:tc>
        <w:tc>
          <w:tcPr>
            <w:tcW w:type="dxa" w:w="5669"/>
            <w:shd w:val="clear" w:color="auto" w:fill="EEF4F9"/>
          </w:tcPr>
          <w:p>
            <w:pPr>
              <w:spacing w:after="20"/>
            </w:pPr>
            <w:r/>
            <w:r>
              <w:rPr>
                <w:sz w:val="17"/>
              </w:rPr>
              <w:t>What already existed, what is new, and what we adapted from others.</w:t>
            </w:r>
          </w:p>
        </w:tc>
      </w:tr>
      <w:tr>
        <w:tc>
          <w:tcPr>
            <w:tcW w:type="dxa" w:w="794"/>
          </w:tcPr>
          <w:p>
            <w:pPr>
              <w:spacing w:after="20"/>
            </w:pPr>
            <w:r/>
            <w:r>
              <w:rPr>
                <w:sz w:val="17"/>
              </w:rPr>
              <w:t>27</w:t>
            </w:r>
          </w:p>
        </w:tc>
        <w:tc>
          <w:tcPr>
            <w:tcW w:type="dxa" w:w="3175"/>
          </w:tcPr>
          <w:p>
            <w:pPr>
              <w:spacing w:after="20"/>
            </w:pPr>
            <w:r/>
            <w:r>
              <w:rPr>
                <w:sz w:val="17"/>
              </w:rPr>
              <w:t>Optimisation and ablation study</w:t>
            </w:r>
          </w:p>
        </w:tc>
        <w:tc>
          <w:tcPr>
            <w:tcW w:type="dxa" w:w="5669"/>
          </w:tcPr>
          <w:p>
            <w:pPr>
              <w:spacing w:after="20"/>
            </w:pPr>
            <w:r/>
            <w:r>
              <w:rPr>
                <w:sz w:val="17"/>
              </w:rPr>
              <w:t>Which parts of the model genuinely matter: changing one thing at a time shows that only the labels do.</w:t>
            </w:r>
          </w:p>
        </w:tc>
      </w:tr>
      <w:tr>
        <w:tc>
          <w:tcPr>
            <w:tcW w:type="dxa" w:w="794"/>
            <w:shd w:val="clear" w:color="auto" w:fill="EEF4F9"/>
          </w:tcPr>
          <w:p>
            <w:pPr>
              <w:spacing w:after="20"/>
            </w:pPr>
            <w:r/>
            <w:r>
              <w:rPr>
                <w:sz w:val="17"/>
              </w:rPr>
              <w:t>28</w:t>
            </w:r>
          </w:p>
        </w:tc>
        <w:tc>
          <w:tcPr>
            <w:tcW w:type="dxa" w:w="3175"/>
            <w:shd w:val="clear" w:color="auto" w:fill="EEF4F9"/>
          </w:tcPr>
          <w:p>
            <w:pPr>
              <w:spacing w:after="20"/>
            </w:pPr>
            <w:r/>
            <w:r>
              <w:rPr>
                <w:sz w:val="17"/>
              </w:rPr>
              <w:t>Project planning: WBS and critical path</w:t>
            </w:r>
          </w:p>
        </w:tc>
        <w:tc>
          <w:tcPr>
            <w:tcW w:type="dxa" w:w="5669"/>
            <w:shd w:val="clear" w:color="auto" w:fill="EEF4F9"/>
          </w:tcPr>
          <w:p>
            <w:pPr>
              <w:spacing w:after="20"/>
            </w:pPr>
            <w:r/>
            <w:r>
              <w:rPr>
                <w:sz w:val="17"/>
              </w:rPr>
              <w:t>How 970 hours of work were broken down, who owned what, and which chain of tasks fixed the finish date.</w:t>
            </w:r>
          </w:p>
        </w:tc>
      </w:tr>
      <w:tr>
        <w:tc>
          <w:tcPr>
            <w:tcW w:type="dxa" w:w="794"/>
          </w:tcPr>
          <w:p>
            <w:pPr>
              <w:spacing w:after="20"/>
            </w:pPr>
            <w:r/>
            <w:r>
              <w:rPr>
                <w:sz w:val="17"/>
              </w:rPr>
              <w:t>29</w:t>
            </w:r>
          </w:p>
        </w:tc>
        <w:tc>
          <w:tcPr>
            <w:tcW w:type="dxa" w:w="3175"/>
          </w:tcPr>
          <w:p>
            <w:pPr>
              <w:spacing w:after="20"/>
            </w:pPr>
            <w:r/>
            <w:r>
              <w:rPr>
                <w:sz w:val="17"/>
              </w:rPr>
              <w:t>Schedule tracking and risk management</w:t>
            </w:r>
          </w:p>
        </w:tc>
        <w:tc>
          <w:tcPr>
            <w:tcW w:type="dxa" w:w="5669"/>
          </w:tcPr>
          <w:p>
            <w:pPr>
              <w:spacing w:after="20"/>
            </w:pPr>
            <w:r/>
            <w:r>
              <w:rPr>
                <w:sz w:val="17"/>
              </w:rPr>
              <w:t>Planned 24 weeks, took about 27, because the data had to be redone; the risk register shows what happened and what is still open.</w:t>
            </w:r>
          </w:p>
        </w:tc>
      </w:tr>
      <w:tr>
        <w:tc>
          <w:tcPr>
            <w:tcW w:type="dxa" w:w="794"/>
            <w:shd w:val="clear" w:color="auto" w:fill="EEF4F9"/>
          </w:tcPr>
          <w:p>
            <w:pPr>
              <w:spacing w:after="20"/>
            </w:pPr>
            <w:r/>
            <w:r>
              <w:rPr>
                <w:sz w:val="17"/>
              </w:rPr>
              <w:t>30</w:t>
            </w:r>
          </w:p>
        </w:tc>
        <w:tc>
          <w:tcPr>
            <w:tcW w:type="dxa" w:w="3175"/>
            <w:shd w:val="clear" w:color="auto" w:fill="EEF4F9"/>
          </w:tcPr>
          <w:p>
            <w:pPr>
              <w:spacing w:after="20"/>
            </w:pPr>
            <w:r/>
            <w:r>
              <w:rPr>
                <w:sz w:val="17"/>
              </w:rPr>
              <w:t>Project report and documentation status</w:t>
            </w:r>
          </w:p>
        </w:tc>
        <w:tc>
          <w:tcPr>
            <w:tcW w:type="dxa" w:w="5669"/>
            <w:shd w:val="clear" w:color="auto" w:fill="EEF4F9"/>
          </w:tcPr>
          <w:p>
            <w:pPr>
              <w:spacing w:after="20"/>
            </w:pPr>
            <w:r/>
            <w:r>
              <w:rPr>
                <w:sz w:val="17"/>
              </w:rPr>
              <w:t>State of the thesis and appendices, and what remains.</w:t>
            </w:r>
          </w:p>
        </w:tc>
      </w:tr>
      <w:tr>
        <w:tc>
          <w:tcPr>
            <w:tcW w:type="dxa" w:w="794"/>
          </w:tcPr>
          <w:p>
            <w:pPr>
              <w:spacing w:after="20"/>
            </w:pPr>
            <w:r/>
            <w:r>
              <w:rPr>
                <w:sz w:val="17"/>
              </w:rPr>
              <w:t>31</w:t>
            </w:r>
          </w:p>
        </w:tc>
        <w:tc>
          <w:tcPr>
            <w:tcW w:type="dxa" w:w="3175"/>
          </w:tcPr>
          <w:p>
            <w:pPr>
              <w:spacing w:after="20"/>
            </w:pPr>
            <w:r/>
            <w:r>
              <w:rPr>
                <w:sz w:val="17"/>
              </w:rPr>
              <w:t>SDG mapping and societal impact</w:t>
            </w:r>
          </w:p>
        </w:tc>
        <w:tc>
          <w:tcPr>
            <w:tcW w:type="dxa" w:w="5669"/>
          </w:tcPr>
          <w:p>
            <w:pPr>
              <w:spacing w:after="20"/>
            </w:pPr>
            <w:r/>
            <w:r>
              <w:rPr>
                <w:sz w:val="17"/>
              </w:rPr>
              <w:t>Which UN goals the work supports, how strongly, and what is only a potential.</w:t>
            </w:r>
          </w:p>
        </w:tc>
      </w:tr>
      <w:tr>
        <w:tc>
          <w:tcPr>
            <w:tcW w:type="dxa" w:w="794"/>
            <w:shd w:val="clear" w:color="auto" w:fill="EEF4F9"/>
          </w:tcPr>
          <w:p>
            <w:pPr>
              <w:spacing w:after="20"/>
            </w:pPr>
            <w:r/>
            <w:r>
              <w:rPr>
                <w:sz w:val="17"/>
              </w:rPr>
              <w:t>32</w:t>
            </w:r>
          </w:p>
        </w:tc>
        <w:tc>
          <w:tcPr>
            <w:tcW w:type="dxa" w:w="3175"/>
            <w:shd w:val="clear" w:color="auto" w:fill="EEF4F9"/>
          </w:tcPr>
          <w:p>
            <w:pPr>
              <w:spacing w:after="20"/>
            </w:pPr>
            <w:r/>
            <w:r>
              <w:rPr>
                <w:sz w:val="17"/>
              </w:rPr>
              <w:t>Research paper status</w:t>
            </w:r>
          </w:p>
        </w:tc>
        <w:tc>
          <w:tcPr>
            <w:tcW w:type="dxa" w:w="5669"/>
            <w:shd w:val="clear" w:color="auto" w:fill="EEF4F9"/>
          </w:tcPr>
          <w:p>
            <w:pPr>
              <w:spacing w:after="20"/>
            </w:pPr>
            <w:r/>
            <w:r>
              <w:rPr>
                <w:sz w:val="17"/>
              </w:rPr>
              <w:t>Two manuscripts and a proposal are drafted; none has been submitted yet.</w:t>
            </w:r>
          </w:p>
        </w:tc>
      </w:tr>
      <w:tr>
        <w:tc>
          <w:tcPr>
            <w:tcW w:type="dxa" w:w="794"/>
          </w:tcPr>
          <w:p>
            <w:pPr>
              <w:spacing w:after="20"/>
            </w:pPr>
            <w:r/>
            <w:r>
              <w:rPr>
                <w:sz w:val="17"/>
              </w:rPr>
              <w:t>33</w:t>
            </w:r>
          </w:p>
        </w:tc>
        <w:tc>
          <w:tcPr>
            <w:tcW w:type="dxa" w:w="3175"/>
          </w:tcPr>
          <w:p>
            <w:pPr>
              <w:spacing w:after="20"/>
            </w:pPr>
            <w:r/>
            <w:r>
              <w:rPr>
                <w:sz w:val="17"/>
              </w:rPr>
              <w:t>Conclusion and future work</w:t>
            </w:r>
          </w:p>
        </w:tc>
        <w:tc>
          <w:tcPr>
            <w:tcW w:type="dxa" w:w="5669"/>
          </w:tcPr>
          <w:p>
            <w:pPr>
              <w:spacing w:after="20"/>
            </w:pPr>
            <w:r/>
            <w:r>
              <w:rPr>
                <w:sz w:val="17"/>
              </w:rPr>
              <w:t>What we achieved, what limits it, and the next steps that follow directly from the limits.</w:t>
            </w:r>
          </w:p>
        </w:tc>
      </w:tr>
      <w:tr>
        <w:tc>
          <w:tcPr>
            <w:tcW w:type="dxa" w:w="794"/>
            <w:shd w:val="clear" w:color="auto" w:fill="EEF4F9"/>
          </w:tcPr>
          <w:p>
            <w:pPr>
              <w:spacing w:after="20"/>
            </w:pPr>
            <w:r/>
            <w:r>
              <w:rPr>
                <w:sz w:val="17"/>
              </w:rPr>
              <w:t>34</w:t>
            </w:r>
          </w:p>
        </w:tc>
        <w:tc>
          <w:tcPr>
            <w:tcW w:type="dxa" w:w="3175"/>
            <w:shd w:val="clear" w:color="auto" w:fill="EEF4F9"/>
          </w:tcPr>
          <w:p>
            <w:pPr>
              <w:spacing w:after="20"/>
            </w:pPr>
            <w:r/>
            <w:r>
              <w:rPr>
                <w:sz w:val="17"/>
              </w:rPr>
              <w:t>References</w:t>
            </w:r>
          </w:p>
        </w:tc>
        <w:tc>
          <w:tcPr>
            <w:tcW w:type="dxa" w:w="5669"/>
            <w:shd w:val="clear" w:color="auto" w:fill="EEF4F9"/>
          </w:tcPr>
          <w:p>
            <w:pPr>
              <w:spacing w:after="20"/>
            </w:pPr>
            <w:r/>
            <w:r>
              <w:rPr>
                <w:sz w:val="17"/>
              </w:rPr>
              <w:t>Numbered references used on the slides; the full list is in the thesis.</w:t>
            </w:r>
          </w:p>
        </w:tc>
      </w:tr>
      <w:tr>
        <w:tc>
          <w:tcPr>
            <w:tcW w:type="dxa" w:w="794"/>
          </w:tcPr>
          <w:p>
            <w:pPr>
              <w:spacing w:after="20"/>
            </w:pPr>
            <w:r/>
            <w:r>
              <w:rPr>
                <w:sz w:val="17"/>
              </w:rPr>
              <w:t>35</w:t>
            </w:r>
          </w:p>
        </w:tc>
        <w:tc>
          <w:tcPr>
            <w:tcW w:type="dxa" w:w="3175"/>
          </w:tcPr>
          <w:p>
            <w:pPr>
              <w:spacing w:after="20"/>
            </w:pPr>
            <w:r/>
            <w:r>
              <w:rPr>
                <w:sz w:val="17"/>
              </w:rPr>
              <w:t>Thank you</w:t>
            </w:r>
          </w:p>
        </w:tc>
        <w:tc>
          <w:tcPr>
            <w:tcW w:type="dxa" w:w="5669"/>
          </w:tcPr>
          <w:p>
            <w:pPr>
              <w:spacing w:after="20"/>
            </w:pPr>
            <w:r/>
            <w:r>
              <w:rPr>
                <w:sz w:val="17"/>
              </w:rPr>
              <w:t>Close and invite questions.</w:t>
            </w:r>
          </w:p>
        </w:tc>
      </w:tr>
    </w:tbl>
    <w:p>
      <w:pPr>
        <w:spacing w:after="40"/>
      </w:pPr>
    </w:p>
    <w:p>
      <w:pPr>
        <w:pStyle w:val="Heading1"/>
      </w:pPr>
      <w:r>
        <w:t>The project in five paragraphs</w:t>
      </w:r>
    </w:p>
    <w:p>
      <w:pPr>
        <w:pStyle w:val="ListNumber"/>
        <w:spacing w:after="60"/>
      </w:pPr>
      <w:r>
        <w:rPr>
          <w:b/>
          <w:sz w:val="21"/>
        </w:rPr>
        <w:t>The problem.</w:t>
      </w:r>
      <w:r>
        <w:rPr>
          <w:sz w:val="21"/>
        </w:rPr>
        <w:t xml:space="preserve"> A farmer near Bengaluru or Kolar picks where and when to sell with only yesterday's prices, and some mandis post no price at all on some days. A wrong pick costs hundreds of rupees per quintal.</w:t>
      </w:r>
    </w:p>
    <w:p>
      <w:pPr>
        <w:pStyle w:val="ListNumber"/>
        <w:spacing w:after="60"/>
      </w:pPr>
      <w:r>
        <w:rPr>
          <w:b/>
          <w:sz w:val="21"/>
        </w:rPr>
        <w:t>Our idea.</w:t>
      </w:r>
      <w:r>
        <w:rPr>
          <w:sz w:val="21"/>
        </w:rPr>
        <w:t xml:space="preserve"> Teach the model with what the farmer actually receives (after transport, fees, spoilage and the chance that the mandi is silent), not with the posted price. Then attach a floor: a minimum amount the farmer can count on nine days out of ten.</w:t>
      </w:r>
    </w:p>
    <w:p>
      <w:pPr>
        <w:pStyle w:val="ListNumber"/>
        <w:spacing w:after="60"/>
      </w:pPr>
      <w:r>
        <w:rPr>
          <w:b/>
          <w:sz w:val="21"/>
        </w:rPr>
        <w:t>What worked.</w:t>
      </w:r>
      <w:r>
        <w:rPr>
          <w:sz w:val="21"/>
        </w:rPr>
        <w:t xml:space="preserve"> Training on what the farmer receives beats every simple rule in all four crops, and the result is statistically solid. The floors stay close to their promised level.</w:t>
      </w:r>
    </w:p>
    <w:p>
      <w:pPr>
        <w:pStyle w:val="ListNumber"/>
        <w:spacing w:after="60"/>
      </w:pPr>
      <w:r>
        <w:rPr>
          <w:b/>
          <w:sz w:val="21"/>
        </w:rPr>
        <w:t>What did not work, and we say so.</w:t>
      </w:r>
      <w:r>
        <w:rPr>
          <w:sz w:val="21"/>
        </w:rPr>
        <w:t xml:space="preserve"> A fancier training loss (SPO+), a reporting head, silence features, a council of forecasters and a cross-crop spillover engine did not help. A published family of forecasting models turned out to peek at the future; when the peeking is removed, their gains vanish.</w:t>
      </w:r>
    </w:p>
    <w:p>
      <w:pPr>
        <w:pStyle w:val="ListNumber"/>
        <w:spacing w:after="60"/>
      </w:pPr>
      <w:r>
        <w:rPr>
          <w:b/>
          <w:sz w:val="21"/>
        </w:rPr>
        <w:t>Five ways we make the advice checkable</w:t>
      </w:r>
      <w:r>
        <w:rPr>
          <w:sz w:val="21"/>
        </w:rPr>
        <w:t xml:space="preserve"> (breakdown, what-if, track record, silence tax, crowd simulator) and </w:t>
      </w:r>
      <w:r>
        <w:rPr>
          <w:b/>
          <w:sz w:val="21"/>
        </w:rPr>
        <w:t>one way it reaches the farmer</w:t>
      </w:r>
      <w:r>
        <w:rPr>
          <w:sz w:val="21"/>
        </w:rPr>
        <w:t xml:space="preserve"> (the 7 am Telegram digest).</w:t>
      </w:r>
    </w:p>
    <w:p>
      <w:pPr>
        <w:pStyle w:val="Heading1"/>
      </w:pPr>
      <w:r>
        <w:t>Numbers worth memorising</w:t>
      </w:r>
    </w:p>
    <w:tbl>
      <w:tblPr>
        <w:tblStyle w:val="TableGrid"/>
        <w:tblW w:type="auto" w:w="0"/>
        <w:jc w:val="center"/>
        <w:tblLayout w:type="fixed"/>
        <w:tblLook w:firstColumn="1" w:firstRow="1" w:lastColumn="0" w:lastRow="0" w:noHBand="0" w:noVBand="1" w:val="04A0"/>
      </w:tblPr>
      <w:tblGrid>
        <w:gridCol w:w="3175"/>
        <w:gridCol w:w="6463"/>
      </w:tblGrid>
      <w:tr>
        <w:tc>
          <w:tcPr>
            <w:tcW w:type="dxa" w:w="3175"/>
            <w:shd w:val="clear" w:color="auto" w:fill="1F4E79"/>
          </w:tcPr>
          <w:p>
            <w:pPr>
              <w:spacing w:after="20"/>
            </w:pPr>
            <w:r>
              <w:rPr>
                <w:b/>
                <w:color w:val="FFFFFF"/>
              </w:rPr>
            </w:r>
            <w:r>
              <w:rPr>
                <w:b/>
                <w:color w:val="FFFFFF"/>
                <w:sz w:val="19"/>
              </w:rPr>
              <w:t>Number</w:t>
            </w:r>
          </w:p>
        </w:tc>
        <w:tc>
          <w:tcPr>
            <w:tcW w:type="dxa" w:w="6463"/>
            <w:shd w:val="clear" w:color="auto" w:fill="1F4E79"/>
          </w:tcPr>
          <w:p>
            <w:pPr>
              <w:spacing w:after="20"/>
            </w:pPr>
            <w:r>
              <w:rPr>
                <w:b/>
                <w:color w:val="FFFFFF"/>
              </w:rPr>
            </w:r>
            <w:r>
              <w:rPr>
                <w:b/>
                <w:color w:val="FFFFFF"/>
                <w:sz w:val="19"/>
              </w:rPr>
              <w:t>What it is</w:t>
            </w:r>
          </w:p>
        </w:tc>
      </w:tr>
      <w:tr>
        <w:tc>
          <w:tcPr>
            <w:tcW w:type="dxa" w:w="3175"/>
          </w:tcPr>
          <w:p>
            <w:pPr>
              <w:spacing w:after="20"/>
            </w:pPr>
            <w:r/>
            <w:r>
              <w:rPr>
                <w:sz w:val="19"/>
              </w:rPr>
              <w:t>63,524</w:t>
            </w:r>
          </w:p>
        </w:tc>
        <w:tc>
          <w:tcPr>
            <w:tcW w:type="dxa" w:w="6463"/>
          </w:tcPr>
          <w:p>
            <w:pPr>
              <w:spacing w:after="20"/>
            </w:pPr>
            <w:r/>
            <w:r>
              <w:rPr>
                <w:sz w:val="19"/>
              </w:rPr>
              <w:t>real Agmarknet records used (rows after cleaning)</w:t>
            </w:r>
          </w:p>
        </w:tc>
      </w:tr>
      <w:tr>
        <w:tc>
          <w:tcPr>
            <w:tcW w:type="dxa" w:w="3175"/>
            <w:shd w:val="clear" w:color="auto" w:fill="EEF4F9"/>
          </w:tcPr>
          <w:p>
            <w:pPr>
              <w:spacing w:after="20"/>
            </w:pPr>
            <w:r/>
            <w:r>
              <w:rPr>
                <w:sz w:val="19"/>
              </w:rPr>
              <w:t>36,821</w:t>
            </w:r>
          </w:p>
        </w:tc>
        <w:tc>
          <w:tcPr>
            <w:tcW w:type="dxa" w:w="6463"/>
            <w:shd w:val="clear" w:color="auto" w:fill="EEF4F9"/>
          </w:tcPr>
          <w:p>
            <w:pPr>
              <w:spacing w:after="20"/>
            </w:pPr>
            <w:r/>
            <w:r>
              <w:rPr>
                <w:sz w:val="19"/>
              </w:rPr>
              <w:t>mandi-days in the final panel across five crops (tomato, onion, potato, ginger, garlic)</w:t>
            </w:r>
          </w:p>
        </w:tc>
      </w:tr>
      <w:tr>
        <w:tc>
          <w:tcPr>
            <w:tcW w:type="dxa" w:w="3175"/>
          </w:tcPr>
          <w:p>
            <w:pPr>
              <w:spacing w:after="20"/>
            </w:pPr>
            <w:r/>
            <w:r>
              <w:rPr>
                <w:sz w:val="19"/>
              </w:rPr>
              <w:t>4 crops studied, 1 refused</w:t>
            </w:r>
          </w:p>
        </w:tc>
        <w:tc>
          <w:tcPr>
            <w:tcW w:type="dxa" w:w="6463"/>
          </w:tcPr>
          <w:p>
            <w:pPr>
              <w:spacing w:after="20"/>
            </w:pPr>
            <w:r/>
            <w:r>
              <w:rPr>
                <w:sz w:val="19"/>
              </w:rPr>
              <w:t>garlic has only one eligible mandi so there is no choice to make</w:t>
            </w:r>
          </w:p>
        </w:tc>
      </w:tr>
      <w:tr>
        <w:tc>
          <w:tcPr>
            <w:tcW w:type="dxa" w:w="3175"/>
            <w:shd w:val="clear" w:color="auto" w:fill="EEF4F9"/>
          </w:tcPr>
          <w:p>
            <w:pPr>
              <w:spacing w:after="20"/>
            </w:pPr>
            <w:r/>
            <w:r>
              <w:rPr>
                <w:sz w:val="19"/>
              </w:rPr>
              <w:t>Rs 2,156 vs Rs 1,600 vs Rs 2,570</w:t>
            </w:r>
          </w:p>
        </w:tc>
        <w:tc>
          <w:tcPr>
            <w:tcW w:type="dxa" w:w="6463"/>
            <w:shd w:val="clear" w:color="auto" w:fill="EEF4F9"/>
          </w:tcPr>
          <w:p>
            <w:pPr>
              <w:spacing w:after="20"/>
            </w:pPr>
            <w:r/>
            <w:r>
              <w:rPr>
                <w:sz w:val="19"/>
              </w:rPr>
              <w:t>tomato: our model, nearest mandi, oracle (revenue per quintal)</w:t>
            </w:r>
          </w:p>
        </w:tc>
      </w:tr>
      <w:tr>
        <w:tc>
          <w:tcPr>
            <w:tcW w:type="dxa" w:w="3175"/>
          </w:tcPr>
          <w:p>
            <w:pPr>
              <w:spacing w:after="20"/>
            </w:pPr>
            <w:r/>
            <w:r>
              <w:rPr>
                <w:sz w:val="19"/>
              </w:rPr>
              <w:t>+Rs 556</w:t>
            </w:r>
          </w:p>
        </w:tc>
        <w:tc>
          <w:tcPr>
            <w:tcW w:type="dxa" w:w="6463"/>
          </w:tcPr>
          <w:p>
            <w:pPr>
              <w:spacing w:after="20"/>
            </w:pPr>
            <w:r/>
            <w:r>
              <w:rPr>
                <w:sz w:val="19"/>
              </w:rPr>
              <w:t>our gain over the nearest mandi for tomato (2,156 minus 1,600)</w:t>
            </w:r>
          </w:p>
        </w:tc>
      </w:tr>
      <w:tr>
        <w:tc>
          <w:tcPr>
            <w:tcW w:type="dxa" w:w="3175"/>
            <w:shd w:val="clear" w:color="auto" w:fill="EEF4F9"/>
          </w:tcPr>
          <w:p>
            <w:pPr>
              <w:spacing w:after="20"/>
            </w:pPr>
            <w:r/>
            <w:r>
              <w:rPr>
                <w:sz w:val="19"/>
              </w:rPr>
              <w:t>Rs 87 to 157</w:t>
            </w:r>
          </w:p>
        </w:tc>
        <w:tc>
          <w:tcPr>
            <w:tcW w:type="dxa" w:w="6463"/>
            <w:shd w:val="clear" w:color="auto" w:fill="EEF4F9"/>
          </w:tcPr>
          <w:p>
            <w:pPr>
              <w:spacing w:after="20"/>
            </w:pPr>
            <w:r/>
            <w:r>
              <w:rPr>
                <w:sz w:val="19"/>
              </w:rPr>
              <w:t>how much per quintal regret falls when we train on realised revenue (four crops); Holm p below 0.002 in all four</w:t>
            </w:r>
          </w:p>
        </w:tc>
      </w:tr>
      <w:tr>
        <w:tc>
          <w:tcPr>
            <w:tcW w:type="dxa" w:w="3175"/>
          </w:tcPr>
          <w:p>
            <w:pPr>
              <w:spacing w:after="20"/>
            </w:pPr>
            <w:r/>
            <w:r>
              <w:rPr>
                <w:sz w:val="19"/>
              </w:rPr>
              <w:t>9.0, 6.3, 6.9, 10.5 percent</w:t>
            </w:r>
          </w:p>
        </w:tc>
        <w:tc>
          <w:tcPr>
            <w:tcW w:type="dxa" w:w="6463"/>
          </w:tcPr>
          <w:p>
            <w:pPr>
              <w:spacing w:after="20"/>
            </w:pPr>
            <w:r/>
            <w:r>
              <w:rPr>
                <w:sz w:val="19"/>
              </w:rPr>
              <w:t>floor violation at the 10 percent setting (tomato, onion, potato, ginger)</w:t>
            </w:r>
          </w:p>
        </w:tc>
      </w:tr>
      <w:tr>
        <w:tc>
          <w:tcPr>
            <w:tcW w:type="dxa" w:w="3175"/>
            <w:shd w:val="clear" w:color="auto" w:fill="EEF4F9"/>
          </w:tcPr>
          <w:p>
            <w:pPr>
              <w:spacing w:after="20"/>
            </w:pPr>
            <w:r/>
            <w:r>
              <w:rPr>
                <w:sz w:val="19"/>
              </w:rPr>
              <w:t>+Rs 170 and +Rs 202</w:t>
            </w:r>
          </w:p>
        </w:tc>
        <w:tc>
          <w:tcPr>
            <w:tcW w:type="dxa" w:w="6463"/>
            <w:shd w:val="clear" w:color="auto" w:fill="EEF4F9"/>
          </w:tcPr>
          <w:p>
            <w:pPr>
              <w:spacing w:after="20"/>
            </w:pPr>
            <w:r/>
            <w:r>
              <w:rPr>
                <w:sz w:val="19"/>
              </w:rPr>
              <w:t>back-test gain over the strongest simple rule for tomato and ginger</w:t>
            </w:r>
          </w:p>
        </w:tc>
      </w:tr>
      <w:tr>
        <w:tc>
          <w:tcPr>
            <w:tcW w:type="dxa" w:w="3175"/>
          </w:tcPr>
          <w:p>
            <w:pPr>
              <w:spacing w:after="20"/>
            </w:pPr>
            <w:r/>
            <w:r>
              <w:rPr>
                <w:sz w:val="19"/>
              </w:rPr>
              <w:t>+27 to +62 percent becomes -15 to -1 percent</w:t>
            </w:r>
          </w:p>
        </w:tc>
        <w:tc>
          <w:tcPr>
            <w:tcW w:type="dxa" w:w="6463"/>
          </w:tcPr>
          <w:p>
            <w:pPr>
              <w:spacing w:after="20"/>
            </w:pPr>
            <w:r/>
            <w:r>
              <w:rPr>
                <w:sz w:val="19"/>
              </w:rPr>
              <w:t>skill of decompose-then-forecast models under published versus causal evaluation</w:t>
            </w:r>
          </w:p>
        </w:tc>
      </w:tr>
      <w:tr>
        <w:tc>
          <w:tcPr>
            <w:tcW w:type="dxa" w:w="3175"/>
            <w:shd w:val="clear" w:color="auto" w:fill="EEF4F9"/>
          </w:tcPr>
          <w:p>
            <w:pPr>
              <w:spacing w:after="20"/>
            </w:pPr>
            <w:r/>
            <w:r>
              <w:rPr>
                <w:sz w:val="19"/>
              </w:rPr>
              <w:t>-32.5 percent, Rs 241, Rs 482,705</w:t>
            </w:r>
          </w:p>
        </w:tc>
        <w:tc>
          <w:tcPr>
            <w:tcW w:type="dxa" w:w="6463"/>
            <w:shd w:val="clear" w:color="auto" w:fill="EEF4F9"/>
          </w:tcPr>
          <w:p>
            <w:pPr>
              <w:spacing w:after="20"/>
            </w:pPr>
            <w:r/>
            <w:r>
              <w:rPr>
                <w:sz w:val="19"/>
              </w:rPr>
              <w:t>crowd simulator: price drop at the best yard, gain per quintal of the coordinated split, gain for the group of 200</w:t>
            </w:r>
          </w:p>
        </w:tc>
      </w:tr>
      <w:tr>
        <w:tc>
          <w:tcPr>
            <w:tcW w:type="dxa" w:w="3175"/>
          </w:tcPr>
          <w:p>
            <w:pPr>
              <w:spacing w:after="20"/>
            </w:pPr>
            <w:r/>
            <w:r>
              <w:rPr>
                <w:sz w:val="19"/>
              </w:rPr>
              <w:t>669 + 11 tests, 60-check smoke test</w:t>
            </w:r>
          </w:p>
        </w:tc>
        <w:tc>
          <w:tcPr>
            <w:tcW w:type="dxa" w:w="6463"/>
          </w:tcPr>
          <w:p>
            <w:pPr>
              <w:spacing w:after="20"/>
            </w:pPr>
            <w:r/>
            <w:r>
              <w:rPr>
                <w:sz w:val="19"/>
              </w:rPr>
              <w:t>automated checks (backend, web, whole system)</w:t>
            </w:r>
          </w:p>
        </w:tc>
      </w:tr>
      <w:tr>
        <w:tc>
          <w:tcPr>
            <w:tcW w:type="dxa" w:w="3175"/>
            <w:shd w:val="clear" w:color="auto" w:fill="EEF4F9"/>
          </w:tcPr>
          <w:p>
            <w:pPr>
              <w:spacing w:after="20"/>
            </w:pPr>
            <w:r/>
            <w:r>
              <w:rPr>
                <w:sz w:val="19"/>
              </w:rPr>
              <w:t>24 weeks planned, about 27 actual</w:t>
            </w:r>
          </w:p>
        </w:tc>
        <w:tc>
          <w:tcPr>
            <w:tcW w:type="dxa" w:w="6463"/>
            <w:shd w:val="clear" w:color="auto" w:fill="EEF4F9"/>
          </w:tcPr>
          <w:p>
            <w:pPr>
              <w:spacing w:after="20"/>
            </w:pPr>
            <w:r/>
            <w:r>
              <w:rPr>
                <w:sz w:val="19"/>
              </w:rPr>
              <w:t>schedule slip of 3.3 weeks (14 percent), caused by the data restart</w:t>
            </w:r>
          </w:p>
        </w:tc>
      </w:tr>
    </w:tbl>
    <w:p>
      <w:pPr>
        <w:spacing w:after="40"/>
      </w:pPr>
    </w:p>
    <w:p>
      <w:pPr>
        <w:pStyle w:val="Heading1"/>
      </w:pPr>
      <w:r>
        <w:t>Part A. Glossary: every technical word, once, in plain language</w:t>
      </w:r>
    </w:p>
    <w:p>
      <w:pPr>
        <w:spacing w:after="60"/>
      </w:pPr>
      <w:r>
        <w:rPr>
          <w:b w:val="0"/>
          <w:i/>
          <w:sz w:val="21"/>
        </w:rPr>
        <w:t>Learn these once and the slides become readable. When speaking, use the plain explanation first and the technical word second.</w:t>
      </w:r>
    </w:p>
    <w:tbl>
      <w:tblPr>
        <w:tblStyle w:val="TableGrid"/>
        <w:tblW w:type="auto" w:w="0"/>
        <w:jc w:val="center"/>
        <w:tblLayout w:type="fixed"/>
        <w:tblLook w:firstColumn="1" w:firstRow="1" w:lastColumn="0" w:lastRow="0" w:noHBand="0" w:noVBand="1" w:val="04A0"/>
      </w:tblPr>
      <w:tblGrid>
        <w:gridCol w:w="2835"/>
        <w:gridCol w:w="6803"/>
      </w:tblGrid>
      <w:tr>
        <w:tc>
          <w:tcPr>
            <w:tcW w:type="dxa" w:w="2835"/>
            <w:shd w:val="clear" w:color="auto" w:fill="1F4E79"/>
          </w:tcPr>
          <w:p>
            <w:pPr>
              <w:spacing w:after="20"/>
            </w:pPr>
            <w:r>
              <w:rPr>
                <w:b/>
                <w:color w:val="FFFFFF"/>
              </w:rPr>
            </w:r>
            <w:r>
              <w:rPr>
                <w:b/>
                <w:color w:val="FFFFFF"/>
                <w:sz w:val="19"/>
              </w:rPr>
              <w:t>Term</w:t>
            </w:r>
          </w:p>
        </w:tc>
        <w:tc>
          <w:tcPr>
            <w:tcW w:type="dxa" w:w="6803"/>
            <w:shd w:val="clear" w:color="auto" w:fill="1F4E79"/>
          </w:tcPr>
          <w:p>
            <w:pPr>
              <w:spacing w:after="20"/>
            </w:pPr>
            <w:r>
              <w:rPr>
                <w:b/>
                <w:color w:val="FFFFFF"/>
              </w:rPr>
            </w:r>
            <w:r>
              <w:rPr>
                <w:b/>
                <w:color w:val="FFFFFF"/>
                <w:sz w:val="19"/>
              </w:rPr>
              <w:t>Plain meaning</w:t>
            </w:r>
          </w:p>
        </w:tc>
      </w:tr>
      <w:tr>
        <w:tc>
          <w:tcPr>
            <w:tcW w:type="dxa" w:w="2835"/>
          </w:tcPr>
          <w:p>
            <w:pPr>
              <w:spacing w:after="20"/>
            </w:pPr>
            <w:r/>
            <w:r>
              <w:rPr>
                <w:sz w:val="19"/>
              </w:rPr>
              <w:t>Mandi / APMC</w:t>
            </w:r>
          </w:p>
        </w:tc>
        <w:tc>
          <w:tcPr>
            <w:tcW w:type="dxa" w:w="6803"/>
          </w:tcPr>
          <w:p>
            <w:pPr>
              <w:spacing w:after="20"/>
            </w:pPr>
            <w:r/>
            <w:r>
              <w:rPr>
                <w:sz w:val="19"/>
              </w:rPr>
              <w:t>A regulated wholesale market yard where farmers sell produce. APMC is the legal name of the committee that runs it.</w:t>
            </w:r>
          </w:p>
        </w:tc>
      </w:tr>
      <w:tr>
        <w:tc>
          <w:tcPr>
            <w:tcW w:type="dxa" w:w="2835"/>
            <w:shd w:val="clear" w:color="auto" w:fill="EEF4F9"/>
          </w:tcPr>
          <w:p>
            <w:pPr>
              <w:spacing w:after="20"/>
            </w:pPr>
            <w:r/>
            <w:r>
              <w:rPr>
                <w:sz w:val="19"/>
              </w:rPr>
              <w:t>Agmarknet</w:t>
            </w:r>
          </w:p>
        </w:tc>
        <w:tc>
          <w:tcPr>
            <w:tcW w:type="dxa" w:w="6803"/>
            <w:shd w:val="clear" w:color="auto" w:fill="EEF4F9"/>
          </w:tcPr>
          <w:p>
            <w:pPr>
              <w:spacing w:after="20"/>
            </w:pPr>
            <w:r/>
            <w:r>
              <w:rPr>
                <w:sz w:val="19"/>
              </w:rPr>
              <w:t>The Government of India portal that publishes daily mandi prices and arrivals. Our only data source.</w:t>
            </w:r>
          </w:p>
        </w:tc>
      </w:tr>
      <w:tr>
        <w:tc>
          <w:tcPr>
            <w:tcW w:type="dxa" w:w="2835"/>
          </w:tcPr>
          <w:p>
            <w:pPr>
              <w:spacing w:after="20"/>
            </w:pPr>
            <w:r/>
            <w:r>
              <w:rPr>
                <w:sz w:val="19"/>
              </w:rPr>
              <w:t>Quintal</w:t>
            </w:r>
          </w:p>
        </w:tc>
        <w:tc>
          <w:tcPr>
            <w:tcW w:type="dxa" w:w="6803"/>
          </w:tcPr>
          <w:p>
            <w:pPr>
              <w:spacing w:after="20"/>
            </w:pPr>
            <w:r/>
            <w:r>
              <w:rPr>
                <w:sz w:val="19"/>
              </w:rPr>
              <w:t>100 kg. All prices are rupees per quintal.</w:t>
            </w:r>
          </w:p>
        </w:tc>
      </w:tr>
      <w:tr>
        <w:tc>
          <w:tcPr>
            <w:tcW w:type="dxa" w:w="2835"/>
            <w:shd w:val="clear" w:color="auto" w:fill="EEF4F9"/>
          </w:tcPr>
          <w:p>
            <w:pPr>
              <w:spacing w:after="20"/>
            </w:pPr>
            <w:r/>
            <w:r>
              <w:rPr>
                <w:sz w:val="19"/>
              </w:rPr>
              <w:t>Modal price</w:t>
            </w:r>
          </w:p>
        </w:tc>
        <w:tc>
          <w:tcPr>
            <w:tcW w:type="dxa" w:w="6803"/>
            <w:shd w:val="clear" w:color="auto" w:fill="EEF4F9"/>
          </w:tcPr>
          <w:p>
            <w:pPr>
              <w:spacing w:after="20"/>
            </w:pPr>
            <w:r/>
            <w:r>
              <w:rPr>
                <w:sz w:val="19"/>
              </w:rPr>
              <w:t>The most common trading price in a mandi that day (not the average).</w:t>
            </w:r>
          </w:p>
        </w:tc>
      </w:tr>
      <w:tr>
        <w:tc>
          <w:tcPr>
            <w:tcW w:type="dxa" w:w="2835"/>
          </w:tcPr>
          <w:p>
            <w:pPr>
              <w:spacing w:after="20"/>
            </w:pPr>
            <w:r/>
            <w:r>
              <w:rPr>
                <w:sz w:val="19"/>
              </w:rPr>
              <w:t>Net revenue</w:t>
            </w:r>
          </w:p>
        </w:tc>
        <w:tc>
          <w:tcPr>
            <w:tcW w:type="dxa" w:w="6803"/>
          </w:tcPr>
          <w:p>
            <w:pPr>
              <w:spacing w:after="20"/>
            </w:pPr>
            <w:r/>
            <w:r>
              <w:rPr>
                <w:sz w:val="19"/>
              </w:rPr>
              <w:t>What a farmer really keeps per quintal: price minus market fee, minus spoilage loss, minus transport, minus handling.</w:t>
            </w:r>
          </w:p>
        </w:tc>
      </w:tr>
      <w:tr>
        <w:tc>
          <w:tcPr>
            <w:tcW w:type="dxa" w:w="2835"/>
            <w:shd w:val="clear" w:color="auto" w:fill="EEF4F9"/>
          </w:tcPr>
          <w:p>
            <w:pPr>
              <w:spacing w:after="20"/>
            </w:pPr>
            <w:r/>
            <w:r>
              <w:rPr>
                <w:sz w:val="19"/>
              </w:rPr>
              <w:t>Hold (k days)</w:t>
            </w:r>
          </w:p>
        </w:tc>
        <w:tc>
          <w:tcPr>
            <w:tcW w:type="dxa" w:w="6803"/>
            <w:shd w:val="clear" w:color="auto" w:fill="EEF4F9"/>
          </w:tcPr>
          <w:p>
            <w:pPr>
              <w:spacing w:after="20"/>
            </w:pPr>
            <w:r/>
            <w:r>
              <w:rPr>
                <w:sz w:val="19"/>
              </w:rPr>
              <w:t>Waiting k days (0 to 3) before selling. Waiting can earn a better price but costs spoilage.</w:t>
            </w:r>
          </w:p>
        </w:tc>
      </w:tr>
      <w:tr>
        <w:tc>
          <w:tcPr>
            <w:tcW w:type="dxa" w:w="2835"/>
          </w:tcPr>
          <w:p>
            <w:pPr>
              <w:spacing w:after="20"/>
            </w:pPr>
            <w:r/>
            <w:r>
              <w:rPr>
                <w:sz w:val="19"/>
              </w:rPr>
              <w:t>Farm gate</w:t>
            </w:r>
          </w:p>
        </w:tc>
        <w:tc>
          <w:tcPr>
            <w:tcW w:type="dxa" w:w="6803"/>
          </w:tcPr>
          <w:p>
            <w:pPr>
              <w:spacing w:after="20"/>
            </w:pPr>
            <w:r/>
            <w:r>
              <w:rPr>
                <w:sz w:val="19"/>
              </w:rPr>
              <w:t>Selling at the farm to a buyer who comes there. No transport, but a lower price (we assume 80 percent of the day's average).</w:t>
            </w:r>
          </w:p>
        </w:tc>
      </w:tr>
      <w:tr>
        <w:tc>
          <w:tcPr>
            <w:tcW w:type="dxa" w:w="2835"/>
            <w:shd w:val="clear" w:color="auto" w:fill="EEF4F9"/>
          </w:tcPr>
          <w:p>
            <w:pPr>
              <w:spacing w:after="20"/>
            </w:pPr>
            <w:r/>
            <w:r>
              <w:rPr>
                <w:sz w:val="19"/>
              </w:rPr>
              <w:t>Silent mandi / reporting gap</w:t>
            </w:r>
          </w:p>
        </w:tc>
        <w:tc>
          <w:tcPr>
            <w:tcW w:type="dxa" w:w="6803"/>
            <w:shd w:val="clear" w:color="auto" w:fill="EEF4F9"/>
          </w:tcPr>
          <w:p>
            <w:pPr>
              <w:spacing w:after="20"/>
            </w:pPr>
            <w:r/>
            <w:r>
              <w:rPr>
                <w:sz w:val="19"/>
              </w:rPr>
              <w:t>A mandi that posted no price that day: closed, a holiday, or the data was not uploaded. The portal does not say which.</w:t>
            </w:r>
          </w:p>
        </w:tc>
      </w:tr>
      <w:tr>
        <w:tc>
          <w:tcPr>
            <w:tcW w:type="dxa" w:w="2835"/>
          </w:tcPr>
          <w:p>
            <w:pPr>
              <w:spacing w:after="20"/>
            </w:pPr>
            <w:r/>
            <w:r>
              <w:rPr>
                <w:sz w:val="19"/>
              </w:rPr>
              <w:t>Panel</w:t>
            </w:r>
          </w:p>
        </w:tc>
        <w:tc>
          <w:tcPr>
            <w:tcW w:type="dxa" w:w="6803"/>
          </w:tcPr>
          <w:p>
            <w:pPr>
              <w:spacing w:after="20"/>
            </w:pPr>
            <w:r/>
            <w:r>
              <w:rPr>
                <w:sz w:val="19"/>
              </w:rPr>
              <w:t>The big table of prices: one row per mandi per crop per day.</w:t>
            </w:r>
          </w:p>
        </w:tc>
      </w:tr>
      <w:tr>
        <w:tc>
          <w:tcPr>
            <w:tcW w:type="dxa" w:w="2835"/>
            <w:shd w:val="clear" w:color="auto" w:fill="EEF4F9"/>
          </w:tcPr>
          <w:p>
            <w:pPr>
              <w:spacing w:after="20"/>
            </w:pPr>
            <w:r/>
            <w:r>
              <w:rPr>
                <w:sz w:val="19"/>
              </w:rPr>
              <w:t>Mandi-day</w:t>
            </w:r>
          </w:p>
        </w:tc>
        <w:tc>
          <w:tcPr>
            <w:tcW w:type="dxa" w:w="6803"/>
            <w:shd w:val="clear" w:color="auto" w:fill="EEF4F9"/>
          </w:tcPr>
          <w:p>
            <w:pPr>
              <w:spacing w:after="20"/>
            </w:pPr>
            <w:r/>
            <w:r>
              <w:rPr>
                <w:sz w:val="19"/>
              </w:rPr>
              <w:t>One mandi on one day. 36,821 mandi-days means that many filled cells in the panel.</w:t>
            </w:r>
          </w:p>
        </w:tc>
      </w:tr>
      <w:tr>
        <w:tc>
          <w:tcPr>
            <w:tcW w:type="dxa" w:w="2835"/>
          </w:tcPr>
          <w:p>
            <w:pPr>
              <w:spacing w:after="20"/>
            </w:pPr>
            <w:r/>
            <w:r>
              <w:rPr>
                <w:sz w:val="19"/>
              </w:rPr>
              <w:t>Oracle</w:t>
            </w:r>
          </w:p>
        </w:tc>
        <w:tc>
          <w:tcPr>
            <w:tcW w:type="dxa" w:w="6803"/>
          </w:tcPr>
          <w:p>
            <w:pPr>
              <w:spacing w:after="20"/>
            </w:pPr>
            <w:r/>
            <w:r>
              <w:rPr>
                <w:sz w:val="19"/>
              </w:rPr>
              <w:t>The imaginary seller who knows tomorrow's prices and always picks the best option in hindsight. No real method can reach it; it is the ceiling for comparison.</w:t>
            </w:r>
          </w:p>
        </w:tc>
      </w:tr>
      <w:tr>
        <w:tc>
          <w:tcPr>
            <w:tcW w:type="dxa" w:w="2835"/>
            <w:shd w:val="clear" w:color="auto" w:fill="EEF4F9"/>
          </w:tcPr>
          <w:p>
            <w:pPr>
              <w:spacing w:after="20"/>
            </w:pPr>
            <w:r/>
            <w:r>
              <w:rPr>
                <w:sz w:val="19"/>
              </w:rPr>
              <w:t>Regret</w:t>
            </w:r>
          </w:p>
        </w:tc>
        <w:tc>
          <w:tcPr>
            <w:tcW w:type="dxa" w:w="6803"/>
            <w:shd w:val="clear" w:color="auto" w:fill="EEF4F9"/>
          </w:tcPr>
          <w:p>
            <w:pPr>
              <w:spacing w:after="20"/>
            </w:pPr>
            <w:r/>
            <w:r>
              <w:rPr>
                <w:sz w:val="19"/>
              </w:rPr>
              <w:t>Money lost compared with the oracle: oracle revenue minus the revenue you got. Lower is better.</w:t>
            </w:r>
          </w:p>
        </w:tc>
      </w:tr>
      <w:tr>
        <w:tc>
          <w:tcPr>
            <w:tcW w:type="dxa" w:w="2835"/>
          </w:tcPr>
          <w:p>
            <w:pPr>
              <w:spacing w:after="20"/>
            </w:pPr>
            <w:r/>
            <w:r>
              <w:rPr>
                <w:sz w:val="19"/>
              </w:rPr>
              <w:t>Gap closed</w:t>
            </w:r>
          </w:p>
        </w:tc>
        <w:tc>
          <w:tcPr>
            <w:tcW w:type="dxa" w:w="6803"/>
          </w:tcPr>
          <w:p>
            <w:pPr>
              <w:spacing w:after="20"/>
            </w:pPr>
            <w:r/>
            <w:r>
              <w:rPr>
                <w:sz w:val="19"/>
              </w:rPr>
              <w:t>How far a method moves from the worst simple rule (nearest mandi) towards the oracle. 0 means no better than nearest mandi, 1 means as good as the oracle.</w:t>
            </w:r>
          </w:p>
        </w:tc>
      </w:tr>
      <w:tr>
        <w:tc>
          <w:tcPr>
            <w:tcW w:type="dxa" w:w="2835"/>
            <w:shd w:val="clear" w:color="auto" w:fill="EEF4F9"/>
          </w:tcPr>
          <w:p>
            <w:pPr>
              <w:spacing w:after="20"/>
            </w:pPr>
            <w:r/>
            <w:r>
              <w:rPr>
                <w:sz w:val="19"/>
              </w:rPr>
              <w:t>Label</w:t>
            </w:r>
          </w:p>
        </w:tc>
        <w:tc>
          <w:tcPr>
            <w:tcW w:type="dxa" w:w="6803"/>
            <w:shd w:val="clear" w:color="auto" w:fill="EEF4F9"/>
          </w:tcPr>
          <w:p>
            <w:pPr>
              <w:spacing w:after="20"/>
            </w:pPr>
            <w:r/>
            <w:r>
              <w:rPr>
                <w:sz w:val="19"/>
              </w:rPr>
              <w:t>The 'right answer' a model is trained to predict. Our key idea is to use realised revenue as the label instead of the posted price.</w:t>
            </w:r>
          </w:p>
        </w:tc>
      </w:tr>
      <w:tr>
        <w:tc>
          <w:tcPr>
            <w:tcW w:type="dxa" w:w="2835"/>
          </w:tcPr>
          <w:p>
            <w:pPr>
              <w:spacing w:after="20"/>
            </w:pPr>
            <w:r/>
            <w:r>
              <w:rPr>
                <w:sz w:val="19"/>
              </w:rPr>
              <w:t>Loss function</w:t>
            </w:r>
          </w:p>
        </w:tc>
        <w:tc>
          <w:tcPr>
            <w:tcW w:type="dxa" w:w="6803"/>
          </w:tcPr>
          <w:p>
            <w:pPr>
              <w:spacing w:after="20"/>
            </w:pPr>
            <w:r/>
            <w:r>
              <w:rPr>
                <w:sz w:val="19"/>
              </w:rPr>
              <w:t>The score that tells a model how wrong it is during training. Squared error is the usual one; SPO+ is a decision-aware alternative.</w:t>
            </w:r>
          </w:p>
        </w:tc>
      </w:tr>
      <w:tr>
        <w:tc>
          <w:tcPr>
            <w:tcW w:type="dxa" w:w="2835"/>
            <w:shd w:val="clear" w:color="auto" w:fill="EEF4F9"/>
          </w:tcPr>
          <w:p>
            <w:pPr>
              <w:spacing w:after="20"/>
            </w:pPr>
            <w:r/>
            <w:r>
              <w:rPr>
                <w:sz w:val="19"/>
              </w:rPr>
              <w:t>SPO+</w:t>
            </w:r>
          </w:p>
        </w:tc>
        <w:tc>
          <w:tcPr>
            <w:tcW w:type="dxa" w:w="6803"/>
            <w:shd w:val="clear" w:color="auto" w:fill="EEF4F9"/>
          </w:tcPr>
          <w:p>
            <w:pPr>
              <w:spacing w:after="20"/>
            </w:pPr>
            <w:r/>
            <w:r>
              <w:rPr>
                <w:sz w:val="19"/>
              </w:rPr>
              <w:t>A training loss that punishes the model by how much worse the decision it leads to is, not by how far its prediction is from the number. It did not give a reliable gain here.</w:t>
            </w:r>
          </w:p>
        </w:tc>
      </w:tr>
      <w:tr>
        <w:tc>
          <w:tcPr>
            <w:tcW w:type="dxa" w:w="2835"/>
          </w:tcPr>
          <w:p>
            <w:pPr>
              <w:spacing w:after="20"/>
            </w:pPr>
            <w:r/>
            <w:r>
              <w:rPr>
                <w:sz w:val="19"/>
              </w:rPr>
              <w:t>Floor (guaranteed revenue)</w:t>
            </w:r>
          </w:p>
        </w:tc>
        <w:tc>
          <w:tcPr>
            <w:tcW w:type="dxa" w:w="6803"/>
          </w:tcPr>
          <w:p>
            <w:pPr>
              <w:spacing w:after="20"/>
            </w:pPr>
            <w:r/>
            <w:r>
              <w:rPr>
                <w:sz w:val="19"/>
              </w:rPr>
              <w:t>A minimum net revenue we say the farmer can count on. We set it so that real revenue falls below it on about 1 day in 10.</w:t>
            </w:r>
          </w:p>
        </w:tc>
      </w:tr>
      <w:tr>
        <w:tc>
          <w:tcPr>
            <w:tcW w:type="dxa" w:w="2835"/>
            <w:shd w:val="clear" w:color="auto" w:fill="EEF4F9"/>
          </w:tcPr>
          <w:p>
            <w:pPr>
              <w:spacing w:after="20"/>
            </w:pPr>
            <w:r/>
            <w:r>
              <w:rPr>
                <w:sz w:val="19"/>
              </w:rPr>
              <w:t>Conformal prediction</w:t>
            </w:r>
          </w:p>
        </w:tc>
        <w:tc>
          <w:tcPr>
            <w:tcW w:type="dxa" w:w="6803"/>
            <w:shd w:val="clear" w:color="auto" w:fill="EEF4F9"/>
          </w:tcPr>
          <w:p>
            <w:pPr>
              <w:spacing w:after="20"/>
            </w:pPr>
            <w:r/>
            <w:r>
              <w:rPr>
                <w:sz w:val="19"/>
              </w:rPr>
              <w:t>A way to turn past mistakes into a safety margin without assuming any particular shape of error. If past predictions missed by this much, leave this much room.</w:t>
            </w:r>
          </w:p>
        </w:tc>
      </w:tr>
      <w:tr>
        <w:tc>
          <w:tcPr>
            <w:tcW w:type="dxa" w:w="2835"/>
          </w:tcPr>
          <w:p>
            <w:pPr>
              <w:spacing w:after="20"/>
            </w:pPr>
            <w:r/>
            <w:r>
              <w:rPr>
                <w:sz w:val="19"/>
              </w:rPr>
              <w:t>Adaptive conformal inference (ACI)</w:t>
            </w:r>
          </w:p>
        </w:tc>
        <w:tc>
          <w:tcPr>
            <w:tcW w:type="dxa" w:w="6803"/>
          </w:tcPr>
          <w:p>
            <w:pPr>
              <w:spacing w:after="20"/>
            </w:pPr>
            <w:r/>
            <w:r>
              <w:rPr>
                <w:sz w:val="19"/>
              </w:rPr>
              <w:t>A conformal method that keeps adjusting the margin day by day: after a miss it widens, after a hit it narrows slightly, so the long-run miss rate stays near the target.</w:t>
            </w:r>
          </w:p>
        </w:tc>
      </w:tr>
      <w:tr>
        <w:tc>
          <w:tcPr>
            <w:tcW w:type="dxa" w:w="2835"/>
            <w:shd w:val="clear" w:color="auto" w:fill="EEF4F9"/>
          </w:tcPr>
          <w:p>
            <w:pPr>
              <w:spacing w:after="20"/>
            </w:pPr>
            <w:r/>
            <w:r>
              <w:rPr>
                <w:sz w:val="19"/>
              </w:rPr>
              <w:t>Delayed feedback</w:t>
            </w:r>
          </w:p>
        </w:tc>
        <w:tc>
          <w:tcPr>
            <w:tcW w:type="dxa" w:w="6803"/>
            <w:shd w:val="clear" w:color="auto" w:fill="EEF4F9"/>
          </w:tcPr>
          <w:p>
            <w:pPr>
              <w:spacing w:after="20"/>
            </w:pPr>
            <w:r/>
            <w:r>
              <w:rPr>
                <w:sz w:val="19"/>
              </w:rPr>
              <w:t>We only learn whether a floor held after the sale date, k days later. The calibrator may use an outcome only once its sale date is in the past.</w:t>
            </w:r>
          </w:p>
        </w:tc>
      </w:tr>
      <w:tr>
        <w:tc>
          <w:tcPr>
            <w:tcW w:type="dxa" w:w="2835"/>
          </w:tcPr>
          <w:p>
            <w:pPr>
              <w:spacing w:after="20"/>
            </w:pPr>
            <w:r/>
            <w:r>
              <w:rPr>
                <w:sz w:val="19"/>
              </w:rPr>
              <w:t>Walk-forward test</w:t>
            </w:r>
          </w:p>
        </w:tc>
        <w:tc>
          <w:tcPr>
            <w:tcW w:type="dxa" w:w="6803"/>
          </w:tcPr>
          <w:p>
            <w:pPr>
              <w:spacing w:after="20"/>
            </w:pPr>
            <w:r/>
            <w:r>
              <w:rPr>
                <w:sz w:val="19"/>
              </w:rPr>
              <w:t>Train on the past, test on the next block of days, then slide forward. Like real life: you never see the future.</w:t>
            </w:r>
          </w:p>
        </w:tc>
      </w:tr>
      <w:tr>
        <w:tc>
          <w:tcPr>
            <w:tcW w:type="dxa" w:w="2835"/>
            <w:shd w:val="clear" w:color="auto" w:fill="EEF4F9"/>
          </w:tcPr>
          <w:p>
            <w:pPr>
              <w:spacing w:after="20"/>
            </w:pPr>
            <w:r/>
            <w:r>
              <w:rPr>
                <w:sz w:val="19"/>
              </w:rPr>
              <w:t>Nested walk-forward</w:t>
            </w:r>
          </w:p>
        </w:tc>
        <w:tc>
          <w:tcPr>
            <w:tcW w:type="dxa" w:w="6803"/>
            <w:shd w:val="clear" w:color="auto" w:fill="EEF4F9"/>
          </w:tcPr>
          <w:p>
            <w:pPr>
              <w:spacing w:after="20"/>
            </w:pPr>
            <w:r/>
            <w:r>
              <w:rPr>
                <w:sz w:val="19"/>
              </w:rPr>
              <w:t>Walk-forward with an inner walk-forward inside each training window, used to tune settings without touching the test days.</w:t>
            </w:r>
          </w:p>
        </w:tc>
      </w:tr>
      <w:tr>
        <w:tc>
          <w:tcPr>
            <w:tcW w:type="dxa" w:w="2835"/>
          </w:tcPr>
          <w:p>
            <w:pPr>
              <w:spacing w:after="20"/>
            </w:pPr>
            <w:r/>
            <w:r>
              <w:rPr>
                <w:sz w:val="19"/>
              </w:rPr>
              <w:t>Leakage / look-ahead</w:t>
            </w:r>
          </w:p>
        </w:tc>
        <w:tc>
          <w:tcPr>
            <w:tcW w:type="dxa" w:w="6803"/>
          </w:tcPr>
          <w:p>
            <w:pPr>
              <w:spacing w:after="20"/>
            </w:pPr>
            <w:r/>
            <w:r>
              <w:rPr>
                <w:sz w:val="19"/>
              </w:rPr>
              <w:t>Information from the future slipping into training or into inputs, which makes results look better than they could be in real use.</w:t>
            </w:r>
          </w:p>
        </w:tc>
      </w:tr>
      <w:tr>
        <w:tc>
          <w:tcPr>
            <w:tcW w:type="dxa" w:w="2835"/>
            <w:shd w:val="clear" w:color="auto" w:fill="EEF4F9"/>
          </w:tcPr>
          <w:p>
            <w:pPr>
              <w:spacing w:after="20"/>
            </w:pPr>
            <w:r/>
            <w:r>
              <w:rPr>
                <w:sz w:val="19"/>
              </w:rPr>
              <w:t>STL, VMD, ICEEMDAN</w:t>
            </w:r>
          </w:p>
        </w:tc>
        <w:tc>
          <w:tcPr>
            <w:tcW w:type="dxa" w:w="6803"/>
            <w:shd w:val="clear" w:color="auto" w:fill="EEF4F9"/>
          </w:tcPr>
          <w:p>
            <w:pPr>
              <w:spacing w:after="20"/>
            </w:pPr>
            <w:r/>
            <w:r>
              <w:rPr>
                <w:sz w:val="19"/>
              </w:rPr>
              <w:t>Methods that split a price line into smooth parts (trend, seasonal, wiggles) before forecasting. They use points on both sides of a day to smooth it, which is where leakage comes from.</w:t>
            </w:r>
          </w:p>
        </w:tc>
      </w:tr>
      <w:tr>
        <w:tc>
          <w:tcPr>
            <w:tcW w:type="dxa" w:w="2835"/>
          </w:tcPr>
          <w:p>
            <w:pPr>
              <w:spacing w:after="20"/>
            </w:pPr>
            <w:r/>
            <w:r>
              <w:rPr>
                <w:sz w:val="19"/>
              </w:rPr>
              <w:t>Skill</w:t>
            </w:r>
          </w:p>
        </w:tc>
        <w:tc>
          <w:tcPr>
            <w:tcW w:type="dxa" w:w="6803"/>
          </w:tcPr>
          <w:p>
            <w:pPr>
              <w:spacing w:after="20"/>
            </w:pPr>
            <w:r/>
            <w:r>
              <w:rPr>
                <w:sz w:val="19"/>
              </w:rPr>
              <w:t>How much better a forecast is than the simplest guess 'tomorrow equals today' (the random walk). +10 percent is better, -10 percent is worse.</w:t>
            </w:r>
          </w:p>
        </w:tc>
      </w:tr>
      <w:tr>
        <w:tc>
          <w:tcPr>
            <w:tcW w:type="dxa" w:w="2835"/>
            <w:shd w:val="clear" w:color="auto" w:fill="EEF4F9"/>
          </w:tcPr>
          <w:p>
            <w:pPr>
              <w:spacing w:after="20"/>
            </w:pPr>
            <w:r/>
            <w:r>
              <w:rPr>
                <w:sz w:val="19"/>
              </w:rPr>
              <w:t>Random walk / no change</w:t>
            </w:r>
          </w:p>
        </w:tc>
        <w:tc>
          <w:tcPr>
            <w:tcW w:type="dxa" w:w="6803"/>
            <w:shd w:val="clear" w:color="auto" w:fill="EEF4F9"/>
          </w:tcPr>
          <w:p>
            <w:pPr>
              <w:spacing w:after="20"/>
            </w:pPr>
            <w:r/>
            <w:r>
              <w:rPr>
                <w:sz w:val="19"/>
              </w:rPr>
              <w:t>The forecast 'tomorrow's price will equal today's'. Surprisingly hard to beat for daily prices.</w:t>
            </w:r>
          </w:p>
        </w:tc>
      </w:tr>
      <w:tr>
        <w:tc>
          <w:tcPr>
            <w:tcW w:type="dxa" w:w="2835"/>
          </w:tcPr>
          <w:p>
            <w:pPr>
              <w:spacing w:after="20"/>
            </w:pPr>
            <w:r/>
            <w:r>
              <w:rPr>
                <w:sz w:val="19"/>
              </w:rPr>
              <w:t>Bootstrap / confidence interval</w:t>
            </w:r>
          </w:p>
        </w:tc>
        <w:tc>
          <w:tcPr>
            <w:tcW w:type="dxa" w:w="6803"/>
          </w:tcPr>
          <w:p>
            <w:pPr>
              <w:spacing w:after="20"/>
            </w:pPr>
            <w:r/>
            <w:r>
              <w:rPr>
                <w:sz w:val="19"/>
              </w:rPr>
              <w:t>Re-shuffling the observed data many times to see how much a number would wobble by chance. The 95 percent interval is the range that usually contains the true value.</w:t>
            </w:r>
          </w:p>
        </w:tc>
      </w:tr>
      <w:tr>
        <w:tc>
          <w:tcPr>
            <w:tcW w:type="dxa" w:w="2835"/>
            <w:shd w:val="clear" w:color="auto" w:fill="EEF4F9"/>
          </w:tcPr>
          <w:p>
            <w:pPr>
              <w:spacing w:after="20"/>
            </w:pPr>
            <w:r/>
            <w:r>
              <w:rPr>
                <w:sz w:val="19"/>
              </w:rPr>
              <w:t>Block bootstrap</w:t>
            </w:r>
          </w:p>
        </w:tc>
        <w:tc>
          <w:tcPr>
            <w:tcW w:type="dxa" w:w="6803"/>
            <w:shd w:val="clear" w:color="auto" w:fill="EEF4F9"/>
          </w:tcPr>
          <w:p>
            <w:pPr>
              <w:spacing w:after="20"/>
            </w:pPr>
            <w:r/>
            <w:r>
              <w:rPr>
                <w:sz w:val="19"/>
              </w:rPr>
              <w:t>A bootstrap that re-shuffles chunks of consecutive days (we use 14 days) instead of single days, because neighbouring days are related.</w:t>
            </w:r>
          </w:p>
        </w:tc>
      </w:tr>
      <w:tr>
        <w:tc>
          <w:tcPr>
            <w:tcW w:type="dxa" w:w="2835"/>
          </w:tcPr>
          <w:p>
            <w:pPr>
              <w:spacing w:after="20"/>
            </w:pPr>
            <w:r/>
            <w:r>
              <w:rPr>
                <w:sz w:val="19"/>
              </w:rPr>
              <w:t>p-value and Holm correction</w:t>
            </w:r>
          </w:p>
        </w:tc>
        <w:tc>
          <w:tcPr>
            <w:tcW w:type="dxa" w:w="6803"/>
          </w:tcPr>
          <w:p>
            <w:pPr>
              <w:spacing w:after="20"/>
            </w:pPr>
            <w:r/>
            <w:r>
              <w:rPr>
                <w:sz w:val="19"/>
              </w:rPr>
              <w:t>A p-value measures how surprising a result would be if nothing were really going on. When many comparisons are made, some look good by luck; the Holm correction raises the bar to compensate. 'Holm p below 0.002' means very unlikely to be luck even after that.</w:t>
            </w:r>
          </w:p>
        </w:tc>
      </w:tr>
      <w:tr>
        <w:tc>
          <w:tcPr>
            <w:tcW w:type="dxa" w:w="2835"/>
            <w:shd w:val="clear" w:color="auto" w:fill="EEF4F9"/>
          </w:tcPr>
          <w:p>
            <w:pPr>
              <w:spacing w:after="20"/>
            </w:pPr>
            <w:r/>
            <w:r>
              <w:rPr>
                <w:sz w:val="19"/>
              </w:rPr>
              <w:t>Diebold-Mariano / Newey-West</w:t>
            </w:r>
          </w:p>
        </w:tc>
        <w:tc>
          <w:tcPr>
            <w:tcW w:type="dxa" w:w="6803"/>
            <w:shd w:val="clear" w:color="auto" w:fill="EEF4F9"/>
          </w:tcPr>
          <w:p>
            <w:pPr>
              <w:spacing w:after="20"/>
            </w:pPr>
            <w:r/>
            <w:r>
              <w:rPr>
                <w:sz w:val="19"/>
              </w:rPr>
              <w:t>A standard test for whether one forecasting method is really better than another, with a correction for the fact that errors on neighbouring days are related.</w:t>
            </w:r>
          </w:p>
        </w:tc>
      </w:tr>
      <w:tr>
        <w:tc>
          <w:tcPr>
            <w:tcW w:type="dxa" w:w="2835"/>
          </w:tcPr>
          <w:p>
            <w:pPr>
              <w:spacing w:after="20"/>
            </w:pPr>
            <w:r/>
            <w:r>
              <w:rPr>
                <w:sz w:val="19"/>
              </w:rPr>
              <w:t>Model confidence set</w:t>
            </w:r>
          </w:p>
        </w:tc>
        <w:tc>
          <w:tcPr>
            <w:tcW w:type="dxa" w:w="6803"/>
          </w:tcPr>
          <w:p>
            <w:pPr>
              <w:spacing w:after="20"/>
            </w:pPr>
            <w:r/>
            <w:r>
              <w:rPr>
                <w:sz w:val="19"/>
              </w:rPr>
              <w:t>The list of methods that cannot be told apart from the best one statistically. Being outside the set means significantly worse than the best.</w:t>
            </w:r>
          </w:p>
        </w:tc>
      </w:tr>
      <w:tr>
        <w:tc>
          <w:tcPr>
            <w:tcW w:type="dxa" w:w="2835"/>
            <w:shd w:val="clear" w:color="auto" w:fill="EEF4F9"/>
          </w:tcPr>
          <w:p>
            <w:pPr>
              <w:spacing w:after="20"/>
            </w:pPr>
            <w:r/>
            <w:r>
              <w:rPr>
                <w:sz w:val="19"/>
              </w:rPr>
              <w:t>Ablation</w:t>
            </w:r>
          </w:p>
        </w:tc>
        <w:tc>
          <w:tcPr>
            <w:tcW w:type="dxa" w:w="6803"/>
            <w:shd w:val="clear" w:color="auto" w:fill="EEF4F9"/>
          </w:tcPr>
          <w:p>
            <w:pPr>
              <w:spacing w:after="20"/>
            </w:pPr>
            <w:r/>
            <w:r>
              <w:rPr>
                <w:sz w:val="19"/>
              </w:rPr>
              <w:t>Removing or adding one component at a time to see what it actually contributes.</w:t>
            </w:r>
          </w:p>
        </w:tc>
      </w:tr>
      <w:tr>
        <w:tc>
          <w:tcPr>
            <w:tcW w:type="dxa" w:w="2835"/>
          </w:tcPr>
          <w:p>
            <w:pPr>
              <w:spacing w:after="20"/>
            </w:pPr>
            <w:r/>
            <w:r>
              <w:rPr>
                <w:sz w:val="19"/>
              </w:rPr>
              <w:t>Null result</w:t>
            </w:r>
          </w:p>
        </w:tc>
        <w:tc>
          <w:tcPr>
            <w:tcW w:type="dxa" w:w="6803"/>
          </w:tcPr>
          <w:p>
            <w:pPr>
              <w:spacing w:after="20"/>
            </w:pPr>
            <w:r/>
            <w:r>
              <w:rPr>
                <w:sz w:val="19"/>
              </w:rPr>
              <w:t>An honest finding that something does not work or cannot be shown. Reported with equal weight to positive results.</w:t>
            </w:r>
          </w:p>
        </w:tc>
      </w:tr>
      <w:tr>
        <w:tc>
          <w:tcPr>
            <w:tcW w:type="dxa" w:w="2835"/>
            <w:shd w:val="clear" w:color="auto" w:fill="EEF4F9"/>
          </w:tcPr>
          <w:p>
            <w:pPr>
              <w:spacing w:after="20"/>
            </w:pPr>
            <w:r/>
            <w:r>
              <w:rPr>
                <w:sz w:val="19"/>
              </w:rPr>
              <w:t>Spillover / transmission</w:t>
            </w:r>
          </w:p>
        </w:tc>
        <w:tc>
          <w:tcPr>
            <w:tcW w:type="dxa" w:w="6803"/>
            <w:shd w:val="clear" w:color="auto" w:fill="EEF4F9"/>
          </w:tcPr>
          <w:p>
            <w:pPr>
              <w:spacing w:after="20"/>
            </w:pPr>
            <w:r/>
            <w:r>
              <w:rPr>
                <w:sz w:val="19"/>
              </w:rPr>
              <w:t>Does a shortage or glut in one crop move the price of another crop. We tested this and found no usable evidence.</w:t>
            </w:r>
          </w:p>
        </w:tc>
      </w:tr>
      <w:tr>
        <w:tc>
          <w:tcPr>
            <w:tcW w:type="dxa" w:w="2835"/>
          </w:tcPr>
          <w:p>
            <w:pPr>
              <w:spacing w:after="20"/>
            </w:pPr>
            <w:r/>
            <w:r>
              <w:rPr>
                <w:sz w:val="19"/>
              </w:rPr>
              <w:t>FDR (false discovery rate)</w:t>
            </w:r>
          </w:p>
        </w:tc>
        <w:tc>
          <w:tcPr>
            <w:tcW w:type="dxa" w:w="6803"/>
          </w:tcPr>
          <w:p>
            <w:pPr>
              <w:spacing w:after="20"/>
            </w:pPr>
            <w:r/>
            <w:r>
              <w:rPr>
                <w:sz w:val="19"/>
              </w:rPr>
              <w:t>The expected share of 'discoveries' that are false alarms among everything declared significant. We hold it at 10 percent.</w:t>
            </w:r>
          </w:p>
        </w:tc>
      </w:tr>
      <w:tr>
        <w:tc>
          <w:tcPr>
            <w:tcW w:type="dxa" w:w="2835"/>
            <w:shd w:val="clear" w:color="auto" w:fill="EEF4F9"/>
          </w:tcPr>
          <w:p>
            <w:pPr>
              <w:spacing w:after="20"/>
            </w:pPr>
            <w:r/>
            <w:r>
              <w:rPr>
                <w:sz w:val="19"/>
              </w:rPr>
              <w:t>Grounding</w:t>
            </w:r>
          </w:p>
        </w:tc>
        <w:tc>
          <w:tcPr>
            <w:tcW w:type="dxa" w:w="6803"/>
            <w:shd w:val="clear" w:color="auto" w:fill="EEF4F9"/>
          </w:tcPr>
          <w:p>
            <w:pPr>
              <w:spacing w:after="20"/>
            </w:pPr>
            <w:r/>
            <w:r>
              <w:rPr>
                <w:sz w:val="19"/>
              </w:rPr>
              <w:t>Making sure every number a language model writes can be found in the evidence it was given.</w:t>
            </w:r>
          </w:p>
        </w:tc>
      </w:tr>
      <w:tr>
        <w:tc>
          <w:tcPr>
            <w:tcW w:type="dxa" w:w="2835"/>
          </w:tcPr>
          <w:p>
            <w:pPr>
              <w:spacing w:after="20"/>
            </w:pPr>
            <w:r/>
            <w:r>
              <w:rPr>
                <w:sz w:val="19"/>
              </w:rPr>
              <w:t>LLM writer and judge</w:t>
            </w:r>
          </w:p>
        </w:tc>
        <w:tc>
          <w:tcPr>
            <w:tcW w:type="dxa" w:w="6803"/>
          </w:tcPr>
          <w:p>
            <w:pPr>
              <w:spacing w:after="20"/>
            </w:pPr>
            <w:r/>
            <w:r>
              <w:rPr>
                <w:sz w:val="19"/>
              </w:rPr>
              <w:t>One language model writes the explanation; a different model from another family checks whether the writing is faithful to the evidence.</w:t>
            </w:r>
          </w:p>
        </w:tc>
      </w:tr>
      <w:tr>
        <w:tc>
          <w:tcPr>
            <w:tcW w:type="dxa" w:w="2835"/>
            <w:shd w:val="clear" w:color="auto" w:fill="EEF4F9"/>
          </w:tcPr>
          <w:p>
            <w:pPr>
              <w:spacing w:after="20"/>
            </w:pPr>
            <w:r/>
            <w:r>
              <w:rPr>
                <w:sz w:val="19"/>
              </w:rPr>
              <w:t>Decision intelligence brief</w:t>
            </w:r>
          </w:p>
        </w:tc>
        <w:tc>
          <w:tcPr>
            <w:tcW w:type="dxa" w:w="6803"/>
            <w:shd w:val="clear" w:color="auto" w:fill="EEF4F9"/>
          </w:tcPr>
          <w:p>
            <w:pPr>
              <w:spacing w:after="20"/>
            </w:pPr>
            <w:r/>
            <w:r>
              <w:rPr>
                <w:sz w:val="19"/>
              </w:rPr>
              <w:t>A structured short recommendation (action, confidence, reasons, each reason tied to an evidence item).</w:t>
            </w:r>
          </w:p>
        </w:tc>
      </w:tr>
      <w:tr>
        <w:tc>
          <w:tcPr>
            <w:tcW w:type="dxa" w:w="2835"/>
          </w:tcPr>
          <w:p>
            <w:pPr>
              <w:spacing w:after="20"/>
            </w:pPr>
            <w:r/>
            <w:r>
              <w:rPr>
                <w:sz w:val="19"/>
              </w:rPr>
              <w:t>API / endpoint</w:t>
            </w:r>
          </w:p>
        </w:tc>
        <w:tc>
          <w:tcPr>
            <w:tcW w:type="dxa" w:w="6803"/>
          </w:tcPr>
          <w:p>
            <w:pPr>
              <w:spacing w:after="20"/>
            </w:pPr>
            <w:r/>
            <w:r>
              <w:rPr>
                <w:sz w:val="19"/>
              </w:rPr>
              <w:t>A web address on our server that returns data, for example /v1/market-choice. The app and the Telegram bot both call these.</w:t>
            </w:r>
          </w:p>
        </w:tc>
      </w:tr>
      <w:tr>
        <w:tc>
          <w:tcPr>
            <w:tcW w:type="dxa" w:w="2835"/>
            <w:shd w:val="clear" w:color="auto" w:fill="EEF4F9"/>
          </w:tcPr>
          <w:p>
            <w:pPr>
              <w:spacing w:after="20"/>
            </w:pPr>
            <w:r/>
            <w:r>
              <w:rPr>
                <w:sz w:val="19"/>
              </w:rPr>
              <w:t>CI</w:t>
            </w:r>
          </w:p>
        </w:tc>
        <w:tc>
          <w:tcPr>
            <w:tcW w:type="dxa" w:w="6803"/>
            <w:shd w:val="clear" w:color="auto" w:fill="EEF4F9"/>
          </w:tcPr>
          <w:p>
            <w:pPr>
              <w:spacing w:after="20"/>
            </w:pPr>
            <w:r/>
            <w:r>
              <w:rPr>
                <w:sz w:val="19"/>
              </w:rPr>
              <w:t>Continuous integration: tests run automatically on every code push.</w:t>
            </w:r>
          </w:p>
        </w:tc>
      </w:tr>
      <w:tr>
        <w:tc>
          <w:tcPr>
            <w:tcW w:type="dxa" w:w="2835"/>
          </w:tcPr>
          <w:p>
            <w:pPr>
              <w:spacing w:after="20"/>
            </w:pPr>
            <w:r/>
            <w:r>
              <w:rPr>
                <w:sz w:val="19"/>
              </w:rPr>
              <w:t>WBS, critical path, slack</w:t>
            </w:r>
          </w:p>
        </w:tc>
        <w:tc>
          <w:tcPr>
            <w:tcW w:type="dxa" w:w="6803"/>
          </w:tcPr>
          <w:p>
            <w:pPr>
              <w:spacing w:after="20"/>
            </w:pPr>
            <w:r/>
            <w:r>
              <w:rPr>
                <w:sz w:val="19"/>
              </w:rPr>
              <w:t>WBS breaks the project into work packages; the critical path is the longest chain of dependent tasks that fixes the earliest finish; slack is how long a task can slip without delaying the project.</w:t>
            </w:r>
          </w:p>
        </w:tc>
      </w:tr>
    </w:tbl>
    <w:p>
      <w:pPr>
        <w:spacing w:after="40"/>
      </w:pPr>
    </w:p>
    <w:p>
      <w:r>
        <w:br w:type="page"/>
      </w:r>
    </w:p>
    <w:p>
      <w:pPr>
        <w:pStyle w:val="Heading1"/>
      </w:pPr>
      <w:r>
        <w:t>Part B. Slide by slide</w:t>
      </w:r>
    </w:p>
    <w:p>
      <w:pPr>
        <w:spacing w:after="80"/>
      </w:pPr>
      <w:r>
        <w:rPr>
          <w:b w:val="0"/>
          <w:i/>
          <w:sz w:val="21"/>
        </w:rPr>
        <w:t>Slides 14 to 27 (setup, results, validation, benchmarking, ablation) are the hardest; read those entries twice.</w:t>
      </w:r>
    </w:p>
    <w:p>
      <w:r>
        <w:br w:type="page"/>
      </w:r>
    </w:p>
    <w:p>
      <w:pPr>
        <w:pStyle w:val="Heading1"/>
        <w:spacing w:before="440"/>
      </w:pPr>
      <w:r>
        <w:t>Slide 1 · Title</w:t>
      </w:r>
    </w:p>
    <w:tbl>
      <w:tblPr>
        <w:tblStyle w:val="TableGrid"/>
        <w:tblW w:type="auto" w:w="0"/>
        <w:tblLook w:firstColumn="1" w:firstRow="1" w:lastColumn="0" w:lastRow="0" w:noHBand="0" w:noVBand="1" w:val="04A0"/>
      </w:tblPr>
      <w:tblGrid>
        <w:gridCol w:w="10086"/>
      </w:tblGrid>
      <w:tr>
        <w:tc>
          <w:tcPr>
            <w:tcW w:type="dxa" w:w="10086"/>
            <w:shd w:val="clear" w:color="auto" w:fill="EAF2F8"/>
          </w:tcPr>
          <w:p>
            <w:pPr>
              <w:keepNext/>
              <w:spacing w:after="40"/>
            </w:pPr>
            <w:r/>
            <w:r>
              <w:rPr>
                <w:b/>
                <w:sz w:val="21"/>
              </w:rPr>
              <w:t>In one line.</w:t>
            </w:r>
            <w:r>
              <w:rPr>
                <w:sz w:val="21"/>
              </w:rPr>
              <w:t xml:space="preserve"> Who we are, what the project is called, and what phase this is.</w:t>
            </w:r>
          </w:p>
        </w:tc>
      </w:tr>
    </w:tbl>
    <w:p>
      <w:pPr>
        <w:spacing w:after="0"/>
      </w:pPr>
    </w:p>
    <w:p>
      <w:pPr>
        <w:keepNext/>
        <w:spacing w:before="120" w:after="40"/>
      </w:pPr>
      <w:r>
        <w:rPr>
          <w:b/>
          <w:color w:val="1F2A44"/>
          <w:sz w:val="19"/>
        </w:rPr>
        <w:t>IN PLAIN WORDS</w:t>
      </w:r>
    </w:p>
    <w:p>
      <w:pPr>
        <w:spacing w:after="80"/>
      </w:pPr>
      <w:r>
        <w:rPr>
          <w:sz w:val="21"/>
        </w:rPr>
        <w:t xml:space="preserve">The title promises two things: </w:t>
      </w:r>
      <w:r>
        <w:rPr>
          <w:b/>
          <w:sz w:val="21"/>
        </w:rPr>
        <w:t>where and when to sell</w:t>
      </w:r>
      <w:r>
        <w:rPr>
          <w:sz w:val="21"/>
        </w:rPr>
        <w:t xml:space="preserve">, and </w:t>
      </w:r>
      <w:r>
        <w:rPr>
          <w:b/>
          <w:sz w:val="21"/>
        </w:rPr>
        <w:t>verified revenue floors</w:t>
      </w:r>
      <w:r>
        <w:rPr>
          <w:sz w:val="21"/>
        </w:rPr>
        <w:t>. 'Where' is which mandi; 'when' is how many days to wait (0 to 3). 'Verified revenue floor' is a minimum amount the farmer can count on, which we then check against real days to show it holds.</w:t>
      </w:r>
    </w:p>
    <w:p>
      <w:pPr>
        <w:spacing w:after="80"/>
      </w:pPr>
      <w:r>
        <w:rPr>
          <w:sz w:val="21"/>
        </w:rPr>
        <w:t>Everything in the project is built around those two promises. If an examiner asks 'what is your project in one sentence', answer with the title: it tells a farmer where and when to sell and gives a minimum amount to count on.</w:t>
      </w:r>
    </w:p>
    <w:p>
      <w:pPr>
        <w:keepNext/>
        <w:spacing w:before="120" w:after="40"/>
      </w:pPr>
      <w:r>
        <w:rPr>
          <w:b/>
          <w:color w:val="1F2A44"/>
          <w:sz w:val="19"/>
        </w:rPr>
        <w:t>GO DEEPER: THE TECHNICAL CONTENT, EXPLAINED</w:t>
      </w:r>
    </w:p>
    <w:p>
      <w:pPr>
        <w:pStyle w:val="ListBullet"/>
        <w:spacing w:after="60"/>
      </w:pPr>
      <w:r>
        <w:rPr>
          <w:sz w:val="21"/>
        </w:rPr>
        <w:t>'Project work Phase II, 23DS7PWPP2, Review 2' is the course code and review stage. Review 2 is the review where results, validation, novelty and planning are examined.</w:t>
      </w:r>
    </w:p>
    <w:p>
      <w:pPr>
        <w:pStyle w:val="ListBullet"/>
        <w:spacing w:after="60"/>
      </w:pPr>
      <w:r>
        <w:rPr>
          <w:sz w:val="21"/>
        </w:rPr>
        <w:t>'Verified' is a deliberate word. A floor is only useful if it actually holds. We tested it on days the system had never seen and report how often it failed (slides 17 and 19).</w:t>
      </w:r>
    </w:p>
    <w:p>
      <w:pPr>
        <w:keepNext/>
        <w:spacing w:before="120" w:after="40"/>
      </w:pPr>
      <w:r>
        <w:rPr>
          <w:b/>
          <w:color w:val="1F2A44"/>
          <w:sz w:val="19"/>
        </w:rPr>
        <w:t>IF ASKED</w:t>
      </w:r>
    </w:p>
    <w:p>
      <w:pPr>
        <w:spacing w:after="20"/>
      </w:pPr>
      <w:r>
        <w:rPr>
          <w:b/>
          <w:sz w:val="21"/>
        </w:rPr>
        <w:t>Q. Why is the word 'verified' in the title?</w:t>
      </w:r>
    </w:p>
    <w:p>
      <w:pPr>
        <w:spacing w:after="100"/>
      </w:pPr>
      <w:r>
        <w:rPr>
          <w:sz w:val="21"/>
        </w:rPr>
        <w:t>Because many systems state a range without ever checking it. We replayed the floors on unseen days and report the honest miss rate: close to the promised 10 percent on the main evaluation and 8 to 16 percent on the strictest replay.</w:t>
      </w:r>
    </w:p>
    <w:p>
      <w:pPr>
        <w:pStyle w:val="Heading1"/>
        <w:spacing w:before="440"/>
      </w:pPr>
      <w:r>
        <w:t>Slide 2 · Table of contents</w:t>
      </w:r>
    </w:p>
    <w:tbl>
      <w:tblPr>
        <w:tblStyle w:val="TableGrid"/>
        <w:tblW w:type="auto" w:w="0"/>
        <w:tblLook w:firstColumn="1" w:firstRow="1" w:lastColumn="0" w:lastRow="0" w:noHBand="0" w:noVBand="1" w:val="04A0"/>
      </w:tblPr>
      <w:tblGrid>
        <w:gridCol w:w="10086"/>
      </w:tblGrid>
      <w:tr>
        <w:tc>
          <w:tcPr>
            <w:tcW w:type="dxa" w:w="10086"/>
            <w:shd w:val="clear" w:color="auto" w:fill="EAF2F8"/>
          </w:tcPr>
          <w:p>
            <w:pPr>
              <w:keepNext/>
              <w:spacing w:after="40"/>
            </w:pPr>
            <w:r/>
            <w:r>
              <w:rPr>
                <w:b/>
                <w:sz w:val="21"/>
              </w:rPr>
              <w:t>In one line.</w:t>
            </w:r>
            <w:r>
              <w:rPr>
                <w:sz w:val="21"/>
              </w:rPr>
              <w:t xml:space="preserve"> The ten blocks of the talk, in the order the review form asks for them.</w:t>
            </w:r>
          </w:p>
        </w:tc>
      </w:tr>
    </w:tbl>
    <w:p>
      <w:pPr>
        <w:spacing w:after="0"/>
      </w:pPr>
    </w:p>
    <w:p>
      <w:pPr>
        <w:keepNext/>
        <w:spacing w:before="120" w:after="40"/>
      </w:pPr>
      <w:r>
        <w:rPr>
          <w:b/>
          <w:color w:val="1F2A44"/>
          <w:sz w:val="19"/>
        </w:rPr>
        <w:t>IN PLAIN WORDS</w:t>
      </w:r>
    </w:p>
    <w:p>
      <w:pPr>
        <w:spacing w:after="80"/>
      </w:pPr>
      <w:r>
        <w:rPr>
          <w:sz w:val="21"/>
        </w:rPr>
        <w:t>The order is: problem and objectives, method and architecture, implementation, results and validation, novelty and optimisation, planning and risk, report and SDG, paper status, conclusion, references. The live demo is inserted after the implementation block (slides 10 to 12) so that the results that follow can be tied back to screens the examiners have just seen.</w:t>
      </w:r>
    </w:p>
    <w:p>
      <w:pPr>
        <w:keepNext/>
        <w:spacing w:before="120" w:after="40"/>
      </w:pPr>
      <w:r>
        <w:rPr>
          <w:b/>
          <w:color w:val="1F2A44"/>
          <w:sz w:val="19"/>
        </w:rPr>
        <w:t>GO DEEPER: THE TECHNICAL CONTENT, EXPLAINED</w:t>
      </w:r>
    </w:p>
    <w:p>
      <w:pPr>
        <w:pStyle w:val="ListBullet"/>
        <w:spacing w:after="60"/>
      </w:pPr>
      <w:r>
        <w:rPr>
          <w:sz w:val="21"/>
        </w:rPr>
        <w:t xml:space="preserve">Think of the talk in three acts: </w:t>
      </w:r>
      <w:r>
        <w:rPr>
          <w:b/>
          <w:sz w:val="21"/>
        </w:rPr>
        <w:t>what and why</w:t>
      </w:r>
      <w:r>
        <w:rPr>
          <w:sz w:val="21"/>
        </w:rPr>
        <w:t xml:space="preserve"> (slides 3 to 9), </w:t>
      </w:r>
      <w:r>
        <w:rPr>
          <w:b/>
          <w:sz w:val="21"/>
        </w:rPr>
        <w:t>show it</w:t>
      </w:r>
      <w:r>
        <w:rPr>
          <w:sz w:val="21"/>
        </w:rPr>
        <w:t xml:space="preserve"> (10 to 12), </w:t>
      </w:r>
      <w:r>
        <w:rPr>
          <w:b/>
          <w:sz w:val="21"/>
        </w:rPr>
        <w:t>prove it</w:t>
      </w:r>
      <w:r>
        <w:rPr>
          <w:sz w:val="21"/>
        </w:rPr>
        <w:t xml:space="preserve"> (13 to 27), </w:t>
      </w:r>
      <w:r>
        <w:rPr>
          <w:b/>
          <w:sz w:val="21"/>
        </w:rPr>
        <w:t>manage and conclude</w:t>
      </w:r>
      <w:r>
        <w:rPr>
          <w:sz w:val="21"/>
        </w:rPr>
        <w:t xml:space="preserve"> (28 to 35).</w:t>
      </w:r>
    </w:p>
    <w:p>
      <w:pPr>
        <w:keepNext/>
        <w:spacing w:before="120" w:after="40"/>
      </w:pPr>
      <w:r>
        <w:rPr>
          <w:b/>
          <w:color w:val="1F2A44"/>
          <w:sz w:val="19"/>
        </w:rPr>
        <w:t>IF ASKED</w:t>
      </w:r>
    </w:p>
    <w:p>
      <w:pPr>
        <w:spacing w:after="20"/>
      </w:pPr>
      <w:r>
        <w:rPr>
          <w:b/>
          <w:sz w:val="21"/>
        </w:rPr>
        <w:t>Q. Why is the demo before the results?</w:t>
      </w:r>
    </w:p>
    <w:p>
      <w:pPr>
        <w:spacing w:after="100"/>
      </w:pPr>
      <w:r>
        <w:rPr>
          <w:sz w:val="21"/>
        </w:rPr>
        <w:t>So the evaluators have seen what the system does before they see the numbers that justify it; each result slide then refers to a screen they know.</w:t>
      </w:r>
    </w:p>
    <w:p>
      <w:pPr>
        <w:pStyle w:val="Heading1"/>
        <w:spacing w:before="440"/>
      </w:pPr>
      <w:r>
        <w:t>Slide 3 · Introduction and problem statement</w:t>
      </w:r>
    </w:p>
    <w:tbl>
      <w:tblPr>
        <w:tblStyle w:val="TableGrid"/>
        <w:tblW w:type="auto" w:w="0"/>
        <w:tblLook w:firstColumn="1" w:firstRow="1" w:lastColumn="0" w:lastRow="0" w:noHBand="0" w:noVBand="1" w:val="04A0"/>
      </w:tblPr>
      <w:tblGrid>
        <w:gridCol w:w="10086"/>
      </w:tblGrid>
      <w:tr>
        <w:tc>
          <w:tcPr>
            <w:tcW w:type="dxa" w:w="10086"/>
            <w:shd w:val="clear" w:color="auto" w:fill="EAF2F8"/>
          </w:tcPr>
          <w:p>
            <w:pPr>
              <w:keepNext/>
              <w:spacing w:after="40"/>
            </w:pPr>
            <w:r/>
            <w:r>
              <w:rPr>
                <w:b/>
                <w:sz w:val="21"/>
              </w:rPr>
              <w:t>In one line.</w:t>
            </w:r>
            <w:r>
              <w:rPr>
                <w:sz w:val="21"/>
              </w:rPr>
              <w:t xml:space="preserve"> Farmers choose a market with almost no information, and our job is to choose better and say how sure we are.</w:t>
            </w:r>
          </w:p>
        </w:tc>
      </w:tr>
    </w:tbl>
    <w:p>
      <w:pPr>
        <w:spacing w:after="0"/>
      </w:pPr>
    </w:p>
    <w:p>
      <w:pPr>
        <w:keepNext/>
        <w:spacing w:before="120" w:after="40"/>
      </w:pPr>
      <w:r>
        <w:rPr>
          <w:b/>
          <w:color w:val="1F2A44"/>
          <w:sz w:val="19"/>
        </w:rPr>
        <w:t>IN PLAIN WORDS</w:t>
      </w:r>
    </w:p>
    <w:p>
      <w:pPr>
        <w:spacing w:after="80"/>
      </w:pPr>
      <w:r>
        <w:rPr>
          <w:sz w:val="21"/>
        </w:rPr>
        <w:t>A farmer in the Bengaluru-Kolar belt has a truckload of tomatoes. There are a dozen mandis within reach. The only information is yesterday's price in each. But tomatoes spoil: a day of waiting costs about 3 percent of their value. Some mandis post no price on some days (closed, holiday, or the data was not uploaded), so a trip can end at a mandi with no market that day. And the price swings enormously: Kolar tomato ranged from Rs 100 to Rs 9,330 per quintal across the data.</w:t>
      </w:r>
    </w:p>
    <w:p>
      <w:pPr>
        <w:spacing w:after="80"/>
      </w:pPr>
      <w:r>
        <w:rPr>
          <w:sz w:val="21"/>
        </w:rPr>
        <w:t xml:space="preserve">So the decision is: </w:t>
      </w:r>
      <w:r>
        <w:rPr>
          <w:b/>
          <w:sz w:val="21"/>
        </w:rPr>
        <w:t>which mandi, and wait 0, 1, 2 or 3 days, or sell at the farm gate</w:t>
      </w:r>
      <w:r>
        <w:rPr>
          <w:sz w:val="21"/>
        </w:rPr>
        <w:t>, to keep the most money. And the farmer also needs a minimum they can count on, because a farmer who stakes a whole harvest cannot live with 'the forecast says about Rs 1,800'.</w:t>
      </w:r>
    </w:p>
    <w:p>
      <w:pPr>
        <w:keepNext/>
        <w:spacing w:before="120" w:after="40"/>
      </w:pPr>
      <w:r>
        <w:rPr>
          <w:b/>
          <w:color w:val="1F2A44"/>
          <w:sz w:val="19"/>
        </w:rPr>
        <w:t>GO DEEPER: THE TECHNICAL CONTENT, EXPLAINED</w:t>
      </w:r>
    </w:p>
    <w:p>
      <w:pPr>
        <w:pStyle w:val="ListBullet"/>
        <w:spacing w:after="60"/>
      </w:pPr>
      <w:r>
        <w:rPr>
          <w:b/>
          <w:sz w:val="21"/>
        </w:rPr>
        <w:t>Silent on 189 of 2,125 days</w:t>
      </w:r>
      <w:r>
        <w:rPr>
          <w:sz w:val="21"/>
        </w:rPr>
        <w:t xml:space="preserve"> means that for Kolar tomato, out of 2,125 calendar days in the history, there was no price on 189. That is 8.9 percent of days. A model trained only on posted prices never sees these days (they are missing rows), so it cannot learn that a mandi can be silent.</w:t>
      </w:r>
    </w:p>
    <w:p>
      <w:pPr>
        <w:pStyle w:val="ListBullet"/>
        <w:spacing w:after="60"/>
      </w:pPr>
      <w:r>
        <w:rPr>
          <w:b/>
          <w:sz w:val="21"/>
        </w:rPr>
        <w:t>The gap</w:t>
      </w:r>
      <w:r>
        <w:rPr>
          <w:sz w:val="21"/>
        </w:rPr>
        <w:t xml:space="preserve"> has three strands, each from the literature survey (references 1 to 6): (1) forecasting models are judged by forecast error (RMSE, MAPE), not by how good the resulting decision is; (2) reporting gaps are ignored; (3) 'decompose-then-forecast' hybrids report large gains that were never audited for look-ahead leakage.</w:t>
      </w:r>
    </w:p>
    <w:p>
      <w:pPr>
        <w:pStyle w:val="ListBullet"/>
        <w:spacing w:after="60"/>
      </w:pPr>
      <w:r>
        <w:rPr>
          <w:b/>
          <w:sz w:val="21"/>
        </w:rPr>
        <w:t>Problem statement as a formula</w:t>
      </w:r>
      <w:r>
        <w:rPr>
          <w:sz w:val="21"/>
        </w:rPr>
        <w:t xml:space="preserve"> (slide 6): choose the action (m, k) that maximises net revenue, and state a floor L such that the actual revenue falls below L on only about 10 percent of days.</w:t>
      </w:r>
    </w:p>
    <w:p>
      <w:pPr>
        <w:pStyle w:val="ListBullet"/>
        <w:spacing w:after="60"/>
      </w:pPr>
      <w:r>
        <w:rPr>
          <w:b/>
          <w:sz w:val="21"/>
        </w:rPr>
        <w:t>Scope</w:t>
      </w:r>
      <w:r>
        <w:rPr>
          <w:sz w:val="21"/>
        </w:rPr>
        <w:t xml:space="preserve">: four crops (tomato, onion, potato, ginger) from the Agmarknet data only, evaluated offline on stored history. </w:t>
      </w:r>
      <w:r>
        <w:rPr>
          <w:b/>
          <w:sz w:val="21"/>
        </w:rPr>
        <w:t>Garlic is refused</w:t>
      </w:r>
      <w:r>
        <w:rPr>
          <w:sz w:val="21"/>
        </w:rPr>
        <w:t xml:space="preserve"> because only one mandi has enough data, so there is no choice to make and advice would be meaningless.</w:t>
      </w:r>
    </w:p>
    <w:p>
      <w:pPr>
        <w:keepNext/>
        <w:spacing w:before="120" w:after="40"/>
      </w:pPr>
      <w:r>
        <w:rPr>
          <w:b/>
          <w:color w:val="1F2A44"/>
          <w:sz w:val="19"/>
        </w:rPr>
        <w:t>THE NUMBERS ON THIS SLIDE AND WHAT EACH ONE MEANS</w:t>
      </w:r>
    </w:p>
    <w:tbl>
      <w:tblPr>
        <w:tblStyle w:val="TableGrid"/>
        <w:tblW w:type="auto" w:w="0"/>
        <w:jc w:val="center"/>
        <w:tblLayout w:type="fixed"/>
        <w:tblLook w:firstColumn="1" w:firstRow="1" w:lastColumn="0" w:lastRow="0" w:noHBand="0" w:noVBand="1" w:val="04A0"/>
      </w:tblPr>
      <w:tblGrid>
        <w:gridCol w:w="2948"/>
        <w:gridCol w:w="6690"/>
      </w:tblGrid>
      <w:tr>
        <w:tc>
          <w:tcPr>
            <w:tcW w:type="dxa" w:w="2948"/>
            <w:shd w:val="clear" w:color="auto" w:fill="1F4E79"/>
          </w:tcPr>
          <w:p>
            <w:pPr>
              <w:spacing w:after="20"/>
            </w:pPr>
            <w:r>
              <w:rPr>
                <w:b/>
                <w:color w:val="FFFFFF"/>
              </w:rPr>
            </w:r>
            <w:r>
              <w:rPr>
                <w:b/>
                <w:color w:val="FFFFFF"/>
                <w:sz w:val="19"/>
              </w:rPr>
              <w:t>Number</w:t>
            </w:r>
          </w:p>
        </w:tc>
        <w:tc>
          <w:tcPr>
            <w:tcW w:type="dxa" w:w="6690"/>
            <w:shd w:val="clear" w:color="auto" w:fill="1F4E79"/>
          </w:tcPr>
          <w:p>
            <w:pPr>
              <w:spacing w:after="20"/>
            </w:pPr>
            <w:r>
              <w:rPr>
                <w:b/>
                <w:color w:val="FFFFFF"/>
              </w:rPr>
            </w:r>
            <w:r>
              <w:rPr>
                <w:b/>
                <w:color w:val="FFFFFF"/>
                <w:sz w:val="19"/>
              </w:rPr>
              <w:t>What it means</w:t>
            </w:r>
          </w:p>
        </w:tc>
      </w:tr>
      <w:tr>
        <w:tc>
          <w:tcPr>
            <w:tcW w:type="dxa" w:w="2948"/>
          </w:tcPr>
          <w:p>
            <w:pPr>
              <w:spacing w:after="20"/>
            </w:pPr>
            <w:r/>
            <w:r>
              <w:rPr>
                <w:sz w:val="19"/>
              </w:rPr>
              <w:t>63,524</w:t>
            </w:r>
          </w:p>
        </w:tc>
        <w:tc>
          <w:tcPr>
            <w:tcW w:type="dxa" w:w="6690"/>
          </w:tcPr>
          <w:p>
            <w:pPr>
              <w:spacing w:after="20"/>
            </w:pPr>
            <w:r/>
            <w:r>
              <w:rPr>
                <w:sz w:val="19"/>
              </w:rPr>
              <w:t>real records after cleaning (each is one crop, one mandi, one day).</w:t>
            </w:r>
          </w:p>
        </w:tc>
      </w:tr>
      <w:tr>
        <w:tc>
          <w:tcPr>
            <w:tcW w:type="dxa" w:w="2948"/>
            <w:shd w:val="clear" w:color="auto" w:fill="EEF4F9"/>
          </w:tcPr>
          <w:p>
            <w:pPr>
              <w:spacing w:after="20"/>
            </w:pPr>
            <w:r/>
            <w:r>
              <w:rPr>
                <w:sz w:val="19"/>
              </w:rPr>
              <w:t>36,821</w:t>
            </w:r>
          </w:p>
        </w:tc>
        <w:tc>
          <w:tcPr>
            <w:tcW w:type="dxa" w:w="6690"/>
            <w:shd w:val="clear" w:color="auto" w:fill="EEF4F9"/>
          </w:tcPr>
          <w:p>
            <w:pPr>
              <w:spacing w:after="20"/>
            </w:pPr>
            <w:r/>
            <w:r>
              <w:rPr>
                <w:sz w:val="19"/>
              </w:rPr>
              <w:t>mandi-days in the panel after combining and aligning (garlic included here).</w:t>
            </w:r>
          </w:p>
        </w:tc>
      </w:tr>
      <w:tr>
        <w:tc>
          <w:tcPr>
            <w:tcW w:type="dxa" w:w="2948"/>
          </w:tcPr>
          <w:p>
            <w:pPr>
              <w:spacing w:after="20"/>
            </w:pPr>
            <w:r/>
            <w:r>
              <w:rPr>
                <w:sz w:val="19"/>
              </w:rPr>
              <w:t>Rs 100 to 9,330</w:t>
            </w:r>
          </w:p>
        </w:tc>
        <w:tc>
          <w:tcPr>
            <w:tcW w:type="dxa" w:w="6690"/>
          </w:tcPr>
          <w:p>
            <w:pPr>
              <w:spacing w:after="20"/>
            </w:pPr>
            <w:r/>
            <w:r>
              <w:rPr>
                <w:sz w:val="19"/>
              </w:rPr>
              <w:t>the full range of Kolar tomato modal prices in the data: the market is extremely volatile.</w:t>
            </w:r>
          </w:p>
        </w:tc>
      </w:tr>
      <w:tr>
        <w:tc>
          <w:tcPr>
            <w:tcW w:type="dxa" w:w="2948"/>
            <w:shd w:val="clear" w:color="auto" w:fill="EEF4F9"/>
          </w:tcPr>
          <w:p>
            <w:pPr>
              <w:spacing w:after="20"/>
            </w:pPr>
            <w:r/>
            <w:r>
              <w:rPr>
                <w:sz w:val="19"/>
              </w:rPr>
              <w:t>189 of 2,125</w:t>
            </w:r>
          </w:p>
        </w:tc>
        <w:tc>
          <w:tcPr>
            <w:tcW w:type="dxa" w:w="6690"/>
            <w:shd w:val="clear" w:color="auto" w:fill="EEF4F9"/>
          </w:tcPr>
          <w:p>
            <w:pPr>
              <w:spacing w:after="20"/>
            </w:pPr>
            <w:r/>
            <w:r>
              <w:rPr>
                <w:sz w:val="19"/>
              </w:rPr>
              <w:t>days with no Kolar tomato price: about 9 percent.</w:t>
            </w:r>
          </w:p>
        </w:tc>
      </w:tr>
    </w:tbl>
    <w:p>
      <w:pPr>
        <w:spacing w:after="40"/>
      </w:pPr>
    </w:p>
    <w:p>
      <w:pPr>
        <w:keepNext/>
        <w:spacing w:before="120" w:after="40"/>
      </w:pPr>
      <w:r>
        <w:rPr>
          <w:b/>
          <w:color w:val="1F2A44"/>
          <w:sz w:val="19"/>
        </w:rPr>
        <w:t>WHY WE DID IT THIS WAY</w:t>
      </w:r>
    </w:p>
    <w:p>
      <w:pPr>
        <w:pStyle w:val="ListBullet"/>
        <w:spacing w:after="60"/>
      </w:pPr>
      <w:r>
        <w:rPr>
          <w:sz w:val="21"/>
        </w:rPr>
        <w:t>Why 'net revenue' and not 'price'? Because the farmer cannot spend the posted price; they keep what is left after fee, transport and spoilage, and nothing at all from a mandi that is silent.</w:t>
      </w:r>
    </w:p>
    <w:p>
      <w:pPr>
        <w:keepNext/>
        <w:spacing w:before="120" w:after="40"/>
      </w:pPr>
      <w:r>
        <w:rPr>
          <w:b/>
          <w:color w:val="9C3B00"/>
          <w:sz w:val="19"/>
        </w:rPr>
        <w:t>LIMITS AND THINGS TO FIX (SAY THESE YOURSELF)</w:t>
      </w:r>
    </w:p>
    <w:p>
      <w:pPr>
        <w:pStyle w:val="ListBullet"/>
        <w:spacing w:after="60"/>
      </w:pPr>
      <w:r>
        <w:rPr>
          <w:sz w:val="21"/>
        </w:rPr>
        <w:t>One region (Bengaluru-Kolar), one source (Agmarknet), 5.8 years of data, offline evaluation. No farmer has acted on the advice.</w:t>
      </w:r>
    </w:p>
    <w:p>
      <w:pPr>
        <w:keepNext/>
        <w:spacing w:before="120" w:after="40"/>
      </w:pPr>
      <w:r>
        <w:rPr>
          <w:b/>
          <w:color w:val="1F2A44"/>
          <w:sz w:val="19"/>
        </w:rPr>
        <w:t>IF ASKED</w:t>
      </w:r>
    </w:p>
    <w:p>
      <w:pPr>
        <w:spacing w:after="20"/>
      </w:pPr>
      <w:r>
        <w:rPr>
          <w:b/>
          <w:sz w:val="21"/>
        </w:rPr>
        <w:t>Q. Why only four crops?</w:t>
      </w:r>
    </w:p>
    <w:p>
      <w:pPr>
        <w:spacing w:after="100"/>
      </w:pPr>
      <w:r>
        <w:rPr>
          <w:sz w:val="21"/>
        </w:rPr>
        <w:t>Garlic has one mandi with enough data, so no choice exists; we refuse rather than fake a recommendation. The other four have 3 to 12 eligible mandis.</w:t>
      </w:r>
    </w:p>
    <w:p>
      <w:pPr>
        <w:spacing w:after="20"/>
      </w:pPr>
      <w:r>
        <w:rPr>
          <w:b/>
          <w:sz w:val="21"/>
        </w:rPr>
        <w:t>Q. Where does the 'information friction' claim come from?</w:t>
      </w:r>
    </w:p>
    <w:p>
      <w:pPr>
        <w:spacing w:after="100"/>
      </w:pPr>
      <w:r>
        <w:rPr>
          <w:sz w:val="21"/>
        </w:rPr>
        <w:t>From the studies by Jensen (fisheries, South India) and Aker (grain markets, Niger), which show that price information changes what sellers earn. NOTE TO FIX BEFORE PRESENTING: the slide text cites [7], [8], but on the references slide those numbers are Jha and Sinha and Wu et al.; Jensen and Aker are [3] and [4]. Either change the slide to [3], [4] or be ready to say so. We cite these for motivation, not as proof of our own effect.</w:t>
      </w:r>
    </w:p>
    <w:p>
      <w:pPr>
        <w:pStyle w:val="Heading1"/>
        <w:spacing w:before="440"/>
      </w:pPr>
      <w:r>
        <w:t>Slide 4 · Objectives</w:t>
      </w:r>
    </w:p>
    <w:tbl>
      <w:tblPr>
        <w:tblStyle w:val="TableGrid"/>
        <w:tblW w:type="auto" w:w="0"/>
        <w:tblLook w:firstColumn="1" w:firstRow="1" w:lastColumn="0" w:lastRow="0" w:noHBand="0" w:noVBand="1" w:val="04A0"/>
      </w:tblPr>
      <w:tblGrid>
        <w:gridCol w:w="10086"/>
      </w:tblGrid>
      <w:tr>
        <w:tc>
          <w:tcPr>
            <w:tcW w:type="dxa" w:w="10086"/>
            <w:shd w:val="clear" w:color="auto" w:fill="EAF2F8"/>
          </w:tcPr>
          <w:p>
            <w:pPr>
              <w:keepNext/>
              <w:spacing w:after="40"/>
            </w:pPr>
            <w:r/>
            <w:r>
              <w:rPr>
                <w:b/>
                <w:sz w:val="21"/>
              </w:rPr>
              <w:t>In one line.</w:t>
            </w:r>
            <w:r>
              <w:rPr>
                <w:sz w:val="21"/>
              </w:rPr>
              <w:t xml:space="preserve"> Ten objectives, each with a clear status and the evidence for it: 7 met, 1 partly met, 1 null result, 1 built and tested.</w:t>
            </w:r>
          </w:p>
        </w:tc>
      </w:tr>
    </w:tbl>
    <w:p>
      <w:pPr>
        <w:spacing w:after="0"/>
      </w:pPr>
    </w:p>
    <w:p>
      <w:pPr>
        <w:keepNext/>
        <w:spacing w:before="120" w:after="40"/>
      </w:pPr>
      <w:r>
        <w:rPr>
          <w:b/>
          <w:color w:val="1F2A44"/>
          <w:sz w:val="19"/>
        </w:rPr>
        <w:t>IN PLAIN WORDS</w:t>
      </w:r>
    </w:p>
    <w:p>
      <w:pPr>
        <w:spacing w:after="80"/>
      </w:pPr>
      <w:r>
        <w:rPr>
          <w:sz w:val="21"/>
        </w:rPr>
        <w:t>Each row is something we promised in the approved scope, whether we delivered it, and the number that proves it. The slide is honest on purpose: one objective is only partly met (floors), one gave a null result (spillover), and one was built and tested but never piloted with farmers (digest).</w:t>
      </w:r>
    </w:p>
    <w:p>
      <w:pPr>
        <w:keepNext/>
        <w:spacing w:before="120" w:after="40"/>
      </w:pPr>
      <w:r>
        <w:rPr>
          <w:b/>
          <w:color w:val="1F2A44"/>
          <w:sz w:val="19"/>
        </w:rPr>
        <w:t>GO DEEPER: THE TECHNICAL CONTENT, EXPLAINED</w:t>
      </w:r>
    </w:p>
    <w:p>
      <w:pPr>
        <w:pStyle w:val="ListBullet"/>
        <w:spacing w:after="60"/>
      </w:pPr>
      <w:r>
        <w:rPr>
          <w:b/>
          <w:sz w:val="21"/>
        </w:rPr>
        <w:t>Objective 1 (data):</w:t>
      </w:r>
      <w:r>
        <w:rPr>
          <w:sz w:val="21"/>
        </w:rPr>
        <w:t xml:space="preserve"> at least 30,000 mandi-days; we have 36,821 from 63,524 records, with every exclusion recorded.</w:t>
      </w:r>
    </w:p>
    <w:p>
      <w:pPr>
        <w:pStyle w:val="ListBullet"/>
        <w:spacing w:after="60"/>
      </w:pPr>
      <w:r>
        <w:rPr>
          <w:b/>
          <w:sz w:val="21"/>
        </w:rPr>
        <w:t>Objective 2 (model):</w:t>
      </w:r>
      <w:r>
        <w:rPr>
          <w:sz w:val="21"/>
        </w:rPr>
        <w:t xml:space="preserve"> at least 500 held-out days per crop; we have 511 to 963 scored days per crop. 'Held-out' means days the model never trained on.</w:t>
      </w:r>
    </w:p>
    <w:p>
      <w:pPr>
        <w:pStyle w:val="ListBullet"/>
        <w:spacing w:after="60"/>
      </w:pPr>
      <w:r>
        <w:rPr>
          <w:b/>
          <w:sz w:val="21"/>
        </w:rPr>
        <w:t>Objective 3 (labels and loss):</w:t>
      </w:r>
      <w:r>
        <w:rPr>
          <w:sz w:val="21"/>
        </w:rPr>
        <w:t xml:space="preserve"> test two separate ideas, better labels (realised revenue) and a better loss (SPO+), with paired statistical tests. Result: labels cut regret by Rs 87 to 157 per quintal; the loss adds nothing reliable. That is a valid answer to the objective.</w:t>
      </w:r>
    </w:p>
    <w:p>
      <w:pPr>
        <w:pStyle w:val="ListBullet"/>
        <w:spacing w:after="60"/>
      </w:pPr>
      <w:r>
        <w:rPr>
          <w:b/>
          <w:sz w:val="21"/>
        </w:rPr>
        <w:t>Objective 4 (floors):</w:t>
      </w:r>
      <w:r>
        <w:rPr>
          <w:sz w:val="21"/>
        </w:rPr>
        <w:t xml:space="preserve"> floor violation within 2 points of the nominal 10 percent, meaning between 8 and 12 percent. Tomato 9.0 and ginger 10.5 meet it. Onion 6.3 and potato 6.9 are below 8, so the floors were more cautious than required. That is the safe direction but outside the stated band, hence 'partly met'.</w:t>
      </w:r>
    </w:p>
    <w:p>
      <w:pPr>
        <w:pStyle w:val="ListBullet"/>
        <w:spacing w:after="60"/>
      </w:pPr>
      <w:r>
        <w:rPr>
          <w:b/>
          <w:sz w:val="21"/>
        </w:rPr>
        <w:t>Objective 5 (system):</w:t>
      </w:r>
      <w:r>
        <w:rPr>
          <w:sz w:val="21"/>
        </w:rPr>
        <w:t xml:space="preserve"> FastAPI service, trilingual app, tests and a one-command pipeline: 669 backend tests, 11 web tests.</w:t>
      </w:r>
    </w:p>
    <w:p>
      <w:pPr>
        <w:pStyle w:val="ListBullet"/>
        <w:spacing w:after="60"/>
      </w:pPr>
      <w:r>
        <w:rPr>
          <w:b/>
          <w:sz w:val="21"/>
        </w:rPr>
        <w:t>Objective 6 (audit):</w:t>
      </w:r>
      <w:r>
        <w:rPr>
          <w:sz w:val="21"/>
        </w:rPr>
        <w:t xml:space="preserve"> measure look-ahead leakage in decompose-then-forecast models and include a foundation-model baseline. Skill drops from +27 to +62 percent to -15 to -1 percent when the decomposition is done causally.</w:t>
      </w:r>
    </w:p>
    <w:p>
      <w:pPr>
        <w:pStyle w:val="ListBullet"/>
        <w:spacing w:after="60"/>
      </w:pPr>
      <w:r>
        <w:rPr>
          <w:b/>
          <w:sz w:val="21"/>
        </w:rPr>
        <w:t>Objective 7 (LLM briefs):</w:t>
      </w:r>
      <w:r>
        <w:rPr>
          <w:sz w:val="21"/>
        </w:rPr>
        <w:t xml:space="preserve"> language model briefs that are grounded and verified; the judge caught 9 of 9 deliberately corrupted explanations; 30 unit tests.</w:t>
      </w:r>
    </w:p>
    <w:p>
      <w:pPr>
        <w:pStyle w:val="ListBullet"/>
        <w:spacing w:after="60"/>
      </w:pPr>
      <w:r>
        <w:rPr>
          <w:b/>
          <w:sz w:val="21"/>
        </w:rPr>
        <w:t>Objective 8 (spillover):</w:t>
      </w:r>
      <w:r>
        <w:rPr>
          <w:sz w:val="21"/>
        </w:rPr>
        <w:t xml:space="preserve"> estimate how a shock in one crop moves others with false-discovery-rate control. Null result: zero shock episodes were detected, so all 40 pair-direction edges were published as 'insufficient evidence'.</w:t>
      </w:r>
    </w:p>
    <w:p>
      <w:pPr>
        <w:pStyle w:val="ListBullet"/>
        <w:spacing w:after="60"/>
      </w:pPr>
      <w:r>
        <w:rPr>
          <w:b/>
          <w:sz w:val="21"/>
        </w:rPr>
        <w:t>Objective 9 (inspectable advice):</w:t>
      </w:r>
      <w:r>
        <w:rPr>
          <w:sz w:val="21"/>
        </w:rPr>
        <w:t xml:space="preserve"> five features (breakdown, what-if, track record, silence tax, crowd simulator). The parts of the breakdown add up to the net revenue exactly; the replay covers 165 days; 11 tests.</w:t>
      </w:r>
    </w:p>
    <w:p>
      <w:pPr>
        <w:pStyle w:val="ListBullet"/>
        <w:spacing w:after="60"/>
      </w:pPr>
      <w:r>
        <w:rPr>
          <w:b/>
          <w:sz w:val="21"/>
        </w:rPr>
        <w:t>Objective 10 (digest):</w:t>
      </w:r>
      <w:r>
        <w:rPr>
          <w:sz w:val="21"/>
        </w:rPr>
        <w:t xml:space="preserve"> a dated morning message in English, Kannada and Hindi on a free channel (Telegram). Built, tested and shown live, but no farmer pilot.</w:t>
      </w:r>
    </w:p>
    <w:p>
      <w:pPr>
        <w:keepNext/>
        <w:spacing w:before="120" w:after="40"/>
      </w:pPr>
      <w:r>
        <w:rPr>
          <w:b/>
          <w:color w:val="1F2A44"/>
          <w:sz w:val="19"/>
        </w:rPr>
        <w:t>WHY WE DID IT THIS WAY</w:t>
      </w:r>
    </w:p>
    <w:p>
      <w:pPr>
        <w:pStyle w:val="ListBullet"/>
        <w:spacing w:after="60"/>
      </w:pPr>
      <w:r>
        <w:rPr>
          <w:sz w:val="21"/>
        </w:rPr>
        <w:t>We report the null result and the partial result in the same table as the successes. Hiding them would be easy to catch (the thesis contains them) and would damage trust in everything else.</w:t>
      </w:r>
    </w:p>
    <w:p>
      <w:pPr>
        <w:keepNext/>
        <w:spacing w:before="120" w:after="40"/>
      </w:pPr>
      <w:r>
        <w:rPr>
          <w:b/>
          <w:color w:val="1F2A44"/>
          <w:sz w:val="19"/>
        </w:rPr>
        <w:t>IF ASKED</w:t>
      </w:r>
    </w:p>
    <w:p>
      <w:pPr>
        <w:spacing w:after="20"/>
      </w:pPr>
      <w:r>
        <w:rPr>
          <w:b/>
          <w:sz w:val="21"/>
        </w:rPr>
        <w:t>Q. Why is spillover a 'null result' and not a 'failure'?</w:t>
      </w:r>
    </w:p>
    <w:p>
      <w:pPr>
        <w:spacing w:after="100"/>
      </w:pPr>
      <w:r>
        <w:rPr>
          <w:sz w:val="21"/>
        </w:rPr>
        <w:t>The engine worked as designed: it refuses to publish a number it cannot support. Zero episodes on the real data means no claim could be made. We also found why: the labelling stage did not mark any week as a squeeze or glut. That diagnosis is listed as future work.</w:t>
      </w:r>
    </w:p>
    <w:p>
      <w:pPr>
        <w:spacing w:after="20"/>
      </w:pPr>
      <w:r>
        <w:rPr>
          <w:b/>
          <w:sz w:val="21"/>
        </w:rPr>
        <w:t>Q. What does 'partly met' mean for the floors?</w:t>
      </w:r>
    </w:p>
    <w:p>
      <w:pPr>
        <w:spacing w:after="100"/>
      </w:pPr>
      <w:r>
        <w:rPr>
          <w:sz w:val="21"/>
        </w:rPr>
        <w:t>Two of four crops are inside the 8 to 12 percent band; the other two are lower (6.3 and 6.9), i.e. over-cautious. Over-cautious is safe for the farmer but outside the band we promised.</w:t>
      </w:r>
    </w:p>
    <w:p>
      <w:pPr>
        <w:pStyle w:val="Heading1"/>
        <w:spacing w:before="440"/>
      </w:pPr>
      <w:r>
        <w:t>Slide 5 · Proposed methodology and system architecture</w:t>
      </w:r>
    </w:p>
    <w:tbl>
      <w:tblPr>
        <w:tblStyle w:val="TableGrid"/>
        <w:tblW w:type="auto" w:w="0"/>
        <w:tblLook w:firstColumn="1" w:firstRow="1" w:lastColumn="0" w:lastRow="0" w:noHBand="0" w:noVBand="1" w:val="04A0"/>
      </w:tblPr>
      <w:tblGrid>
        <w:gridCol w:w="10086"/>
      </w:tblGrid>
      <w:tr>
        <w:tc>
          <w:tcPr>
            <w:tcW w:type="dxa" w:w="10086"/>
            <w:shd w:val="clear" w:color="auto" w:fill="EAF2F8"/>
          </w:tcPr>
          <w:p>
            <w:pPr>
              <w:keepNext/>
              <w:spacing w:after="40"/>
            </w:pPr>
            <w:r/>
            <w:r>
              <w:rPr>
                <w:b/>
                <w:sz w:val="21"/>
              </w:rPr>
              <w:t>In one line.</w:t>
            </w:r>
            <w:r>
              <w:rPr>
                <w:sz w:val="21"/>
              </w:rPr>
              <w:t xml:space="preserve"> Train on what the farmer would really receive, choose the best guaranteed revenue, and wrap it in a layered system.</w:t>
            </w:r>
          </w:p>
        </w:tc>
      </w:tr>
    </w:tbl>
    <w:p>
      <w:pPr>
        <w:spacing w:after="0"/>
      </w:pPr>
    </w:p>
    <w:p>
      <w:pPr>
        <w:keepNext/>
        <w:spacing w:before="120" w:after="40"/>
      </w:pPr>
      <w:r>
        <w:rPr>
          <w:b/>
          <w:color w:val="1F2A44"/>
          <w:sz w:val="19"/>
        </w:rPr>
        <w:t>IN PLAIN WORDS</w:t>
      </w:r>
    </w:p>
    <w:p>
      <w:pPr>
        <w:spacing w:after="80"/>
      </w:pPr>
      <w:r>
        <w:rPr>
          <w:b/>
          <w:sz w:val="21"/>
        </w:rPr>
        <w:t>The idea in one picture.</w:t>
      </w:r>
      <w:r>
        <w:rPr>
          <w:sz w:val="21"/>
        </w:rPr>
        <w:t xml:space="preserve"> A usual model learns 'what will the price be at each mandi tomorrow'. Ours learns 'what will the farmer actually be left with if they go there'. The difference is large: a mandi that looks like Rs 2,100 on paper may be silent, may cost Rs 90 to reach, and tomatoes lose 3 percent per day of waiting.</w:t>
      </w:r>
    </w:p>
    <w:p>
      <w:pPr>
        <w:spacing w:after="80"/>
      </w:pPr>
      <w:r>
        <w:rPr>
          <w:b/>
          <w:sz w:val="21"/>
        </w:rPr>
        <w:t>The action</w:t>
      </w:r>
      <w:r>
        <w:rPr>
          <w:sz w:val="21"/>
        </w:rPr>
        <w:t xml:space="preserve"> is a pair: (which mandi, how many days to wait, 0 to 3), or sell at the farm gate. For each pair we predict the net revenue, subtract a safety margin, and recommend the pair with the best </w:t>
      </w:r>
      <w:r>
        <w:rPr>
          <w:b/>
          <w:sz w:val="21"/>
        </w:rPr>
        <w:t>guaranteed</w:t>
      </w:r>
      <w:r>
        <w:rPr>
          <w:sz w:val="21"/>
        </w:rPr>
        <w:t xml:space="preserve"> revenue. So the recommendation is not the highest hope but the best amount the farmer can count on.</w:t>
      </w:r>
    </w:p>
    <w:p>
      <w:pPr>
        <w:keepNext/>
        <w:spacing w:before="120" w:after="40"/>
      </w:pPr>
      <w:r>
        <w:rPr>
          <w:b/>
          <w:color w:val="1F2A44"/>
          <w:sz w:val="19"/>
        </w:rPr>
        <w:t>GO DEEPER: THE TECHNICAL CONTENT, EXPLAINED</w:t>
      </w:r>
    </w:p>
    <w:p>
      <w:pPr>
        <w:pStyle w:val="ListBullet"/>
        <w:spacing w:after="60"/>
      </w:pPr>
      <w:r>
        <w:rPr>
          <w:b/>
          <w:sz w:val="21"/>
        </w:rPr>
        <w:t>Why two approaches were rejected.</w:t>
      </w:r>
      <w:r>
        <w:rPr>
          <w:sz w:val="21"/>
        </w:rPr>
        <w:t xml:space="preserve"> (1) Predict-then-optimise on posted prices: it never sees a silent market because silent days are missing rows, so it believes every mandi is always open. (2) Decompose-then-forecast hybrids: they split the price series into smooth parts using methods that look on both sides of each day, which quietly includes future prices (look-ahead). Both are discussed with numbers on slides 15 and 23.</w:t>
      </w:r>
    </w:p>
    <w:p>
      <w:pPr>
        <w:pStyle w:val="ListBullet"/>
        <w:spacing w:after="60"/>
      </w:pPr>
      <w:r>
        <w:rPr>
          <w:b/>
          <w:sz w:val="21"/>
        </w:rPr>
        <w:t>The architecture, left to right.</w:t>
      </w:r>
      <w:r>
        <w:rPr>
          <w:sz w:val="21"/>
        </w:rPr>
        <w:t xml:space="preserve"> Agmarknet exports are loaded, cleaned and audited (data layer). They become the market panel and an observation store (the 'facts'). Models then use these facts: market-choice engines with conformal floors, price forecasters and the specialist council, and the shock and spillover studies (model layer). A FastAPI service exposes them as typed web endpoints for the farmer pages, trader pages and chat (service layer). The language layer adds decision-intelligence briefs and an explanation writer checked by an independent judge. The Next.js web app in English, Kannada and Hindi is the presentation layer. The Telegram bot sends the 7 am digest by calling the same service.</w:t>
      </w:r>
    </w:p>
    <w:p>
      <w:pPr>
        <w:pStyle w:val="ListBullet"/>
        <w:spacing w:after="60"/>
      </w:pPr>
      <w:r>
        <w:rPr>
          <w:b/>
          <w:sz w:val="21"/>
        </w:rPr>
        <w:t>The five insight features</w:t>
      </w:r>
      <w:r>
        <w:rPr>
          <w:sz w:val="21"/>
        </w:rPr>
        <w:t xml:space="preserve"> (breakdown, what-if, track record, silence tax, crowd simulator) sit inside the service layer. None of them trains a model when a request arrives: they read the stored engine and data and compute on the fly.</w:t>
      </w:r>
    </w:p>
    <w:p>
      <w:pPr>
        <w:pStyle w:val="ListBullet"/>
        <w:spacing w:after="60"/>
      </w:pPr>
      <w:r>
        <w:rPr>
          <w:b/>
          <w:sz w:val="21"/>
        </w:rPr>
        <w:t>'No synthetic data enter any result'</w:t>
      </w:r>
      <w:r>
        <w:rPr>
          <w:sz w:val="21"/>
        </w:rPr>
        <w:t xml:space="preserve"> is a deliberate sentence. The first dataset we received turned out to be synthetic; we discarded it and re-collected real Agmarknet exports (risk R1 on slide 29). Test fixtures are small made-up arrays used only to check that code runs.</w:t>
      </w:r>
    </w:p>
    <w:p>
      <w:pPr>
        <w:keepNext/>
        <w:spacing w:before="120" w:after="40"/>
      </w:pPr>
      <w:r>
        <w:rPr>
          <w:b/>
          <w:color w:val="1F2A44"/>
          <w:sz w:val="19"/>
        </w:rPr>
        <w:t>WHY WE DID IT THIS WAY</w:t>
      </w:r>
    </w:p>
    <w:p>
      <w:pPr>
        <w:pStyle w:val="ListBullet"/>
        <w:spacing w:after="60"/>
      </w:pPr>
      <w:r>
        <w:rPr>
          <w:sz w:val="21"/>
        </w:rPr>
        <w:t>Layering means each part can be tested and replaced alone. For example the language model can fail and the system falls back to rule-written text without breaking the app.</w:t>
      </w:r>
    </w:p>
    <w:p>
      <w:pPr>
        <w:keepNext/>
        <w:spacing w:before="120" w:after="40"/>
      </w:pPr>
      <w:r>
        <w:rPr>
          <w:b/>
          <w:color w:val="9C3B00"/>
          <w:sz w:val="19"/>
        </w:rPr>
        <w:t>LIMITS AND THINGS TO FIX (SAY THESE YOURSELF)</w:t>
      </w:r>
    </w:p>
    <w:p>
      <w:pPr>
        <w:pStyle w:val="ListBullet"/>
        <w:spacing w:after="60"/>
      </w:pPr>
      <w:r>
        <w:rPr>
          <w:sz w:val="21"/>
        </w:rPr>
        <w:t>The architecture is proven offline on stored data. 'Live' use would need a refreshed data feed; we have none (the exports are downloaded by hand).</w:t>
      </w:r>
    </w:p>
    <w:p>
      <w:pPr>
        <w:keepNext/>
        <w:spacing w:before="120" w:after="40"/>
      </w:pPr>
      <w:r>
        <w:rPr>
          <w:b/>
          <w:color w:val="1F2A44"/>
          <w:sz w:val="19"/>
        </w:rPr>
        <w:t>IF ASKED</w:t>
      </w:r>
    </w:p>
    <w:p>
      <w:pPr>
        <w:spacing w:after="20"/>
      </w:pPr>
      <w:r>
        <w:rPr>
          <w:b/>
          <w:sz w:val="21"/>
        </w:rPr>
        <w:t>Q. Why not just forecast the price and pick the highest?</w:t>
      </w:r>
    </w:p>
    <w:p>
      <w:pPr>
        <w:spacing w:after="100"/>
      </w:pPr>
      <w:r>
        <w:rPr>
          <w:sz w:val="21"/>
        </w:rPr>
        <w:t>Because the highest posted price may be a silent mandi, or a far one whose transport eats the gain. That is the 12 to 43 percent silent-market trips of observed-price models on slide 15.</w:t>
      </w:r>
    </w:p>
    <w:p>
      <w:pPr>
        <w:spacing w:after="20"/>
      </w:pPr>
      <w:r>
        <w:rPr>
          <w:b/>
          <w:sz w:val="21"/>
        </w:rPr>
        <w:t>Q. Is the floor a forecast?</w:t>
      </w:r>
    </w:p>
    <w:p>
      <w:pPr>
        <w:spacing w:after="100"/>
      </w:pPr>
      <w:r>
        <w:rPr>
          <w:sz w:val="21"/>
        </w:rPr>
        <w:t>No. It is a deliberately pessimistic number: the prediction minus a margin learned from the model's own past errors.</w:t>
      </w:r>
    </w:p>
    <w:p>
      <w:pPr>
        <w:pStyle w:val="Heading1"/>
        <w:spacing w:before="440"/>
      </w:pPr>
      <w:r>
        <w:t>Slide 6 · Key formulation: revenue, loss and verified floor</w:t>
      </w:r>
    </w:p>
    <w:tbl>
      <w:tblPr>
        <w:tblStyle w:val="TableGrid"/>
        <w:tblW w:type="auto" w:w="0"/>
        <w:tblLook w:firstColumn="1" w:firstRow="1" w:lastColumn="0" w:lastRow="0" w:noHBand="0" w:noVBand="1" w:val="04A0"/>
      </w:tblPr>
      <w:tblGrid>
        <w:gridCol w:w="10086"/>
      </w:tblGrid>
      <w:tr>
        <w:tc>
          <w:tcPr>
            <w:tcW w:type="dxa" w:w="10086"/>
            <w:shd w:val="clear" w:color="auto" w:fill="EAF2F8"/>
          </w:tcPr>
          <w:p>
            <w:pPr>
              <w:keepNext/>
              <w:spacing w:after="40"/>
            </w:pPr>
            <w:r/>
            <w:r>
              <w:rPr>
                <w:b/>
                <w:sz w:val="21"/>
              </w:rPr>
              <w:t>In one line.</w:t>
            </w:r>
            <w:r>
              <w:rPr>
                <w:sz w:val="21"/>
              </w:rPr>
              <w:t xml:space="preserve"> Three formulas: what the farmer keeps, how the model is scored, and how the floor is set and kept honest.</w:t>
            </w:r>
          </w:p>
        </w:tc>
      </w:tr>
    </w:tbl>
    <w:p>
      <w:pPr>
        <w:spacing w:after="0"/>
      </w:pPr>
    </w:p>
    <w:p>
      <w:pPr>
        <w:keepNext/>
        <w:spacing w:before="120" w:after="40"/>
      </w:pPr>
      <w:r>
        <w:rPr>
          <w:b/>
          <w:color w:val="1F2A44"/>
          <w:sz w:val="19"/>
        </w:rPr>
        <w:t>IN PLAIN WORDS</w:t>
      </w:r>
    </w:p>
    <w:p>
      <w:pPr>
        <w:spacing w:after="80"/>
      </w:pPr>
      <w:r>
        <w:rPr>
          <w:b/>
          <w:sz w:val="21"/>
        </w:rPr>
        <w:t>Formula 1, net revenue.</w:t>
      </w:r>
      <w:r>
        <w:rPr>
          <w:sz w:val="21"/>
        </w:rPr>
        <w:t xml:space="preserve"> What a farmer keeps per quintal when they go to mandi m and wait k days: take the price, remove a 4 percent market fee, remove 3 percent (for tomato) of the produce for each day waited, subtract the cost of moving the load, subtract Rs 20 handling. If the mandi turns out to be silent, we assume the farmer still sells but at only 85 percent of that day's average price elsewhere, because a wasted trip leaves them with a weaker position. Farm gate is simple: 80 percent of the average, no transport.</w:t>
      </w:r>
    </w:p>
    <w:p>
      <w:pPr>
        <w:spacing w:after="80"/>
      </w:pPr>
      <w:r>
        <w:rPr>
          <w:b/>
          <w:sz w:val="21"/>
        </w:rPr>
        <w:t>Formula 2, the SPO+ loss.</w:t>
      </w:r>
      <w:r>
        <w:rPr>
          <w:sz w:val="21"/>
        </w:rPr>
        <w:t xml:space="preserve"> A way of scoring a model by the harm of the decision it leads to. We tested whether it beats the usual squared-error score. It did not.</w:t>
      </w:r>
    </w:p>
    <w:p>
      <w:pPr>
        <w:spacing w:after="80"/>
      </w:pPr>
      <w:r>
        <w:rPr>
          <w:b/>
          <w:sz w:val="21"/>
        </w:rPr>
        <w:t>Formula 3, the floor.</w:t>
      </w:r>
      <w:r>
        <w:rPr>
          <w:sz w:val="21"/>
        </w:rPr>
        <w:t xml:space="preserve"> Take the predicted revenue, subtract a margin q times a typical error size. The margin comes from past mistakes. The tolerance level alpha is nudged each day depending on whether the floor was broken, so the floor learns to stay at its promised hit rate.</w:t>
      </w:r>
    </w:p>
    <w:p>
      <w:pPr>
        <w:keepNext/>
        <w:spacing w:before="120" w:after="40"/>
      </w:pPr>
      <w:r>
        <w:rPr>
          <w:b/>
          <w:color w:val="1F2A44"/>
          <w:sz w:val="19"/>
        </w:rPr>
        <w:t>GO DEEPER: THE TECHNICAL CONTENT, EXPLAINED</w:t>
      </w:r>
    </w:p>
    <w:p>
      <w:pPr>
        <w:pStyle w:val="ListBullet"/>
        <w:spacing w:after="60"/>
      </w:pPr>
      <w:r>
        <w:rPr>
          <w:b/>
          <w:sz w:val="21"/>
        </w:rPr>
        <w:t>R(m,k | origin) = (1 - f)(1 - delta)^k times P~(m, t+k) - tau times rho times d(origin, m) - c0.</w:t>
      </w:r>
      <w:r>
        <w:rPr>
          <w:sz w:val="21"/>
        </w:rPr>
        <w:t xml:space="preserve"> Read it from the left. (1 - f) keeps 96 percent after the 4 percent fee. (1 - delta)^k is the produce left after k days: at 3 percent a day, one day leaves 0.97, two days 0.9409, three days 0.9127. P~ is the price at mandi m on the sale day t+k (t is the day of decision). tau times rho times d is the transport: tau is rupees per quintal-km, rho = 1.3 turns straight-line distance into road distance, d is the distance. c0 = Rs 20 is a handling cost per trip.</w:t>
      </w:r>
    </w:p>
    <w:p>
      <w:pPr>
        <w:pStyle w:val="ListBullet"/>
        <w:spacing w:after="60"/>
      </w:pPr>
      <w:r>
        <w:rPr>
          <w:b/>
          <w:sz w:val="21"/>
        </w:rPr>
        <w:t>P~ is P when the mandi reports, else phi times the day's average.</w:t>
      </w:r>
      <w:r>
        <w:rPr>
          <w:sz w:val="21"/>
        </w:rPr>
        <w:t xml:space="preserve"> phi = 0.85 means a silent mandi leaves you with 85 percent of what the other mandis paid that day: you still sell (somewhere), but poorly. The slide notes that all these numbers are </w:t>
      </w:r>
      <w:r>
        <w:rPr>
          <w:b/>
          <w:sz w:val="21"/>
        </w:rPr>
        <w:t>scenario assumptions</w:t>
      </w:r>
      <w:r>
        <w:rPr>
          <w:sz w:val="21"/>
        </w:rPr>
        <w:t>, not measured quantities; transport, spoilage and phi are varied in a sensitivity sweep (10 settings per crop) and the conclusions hold across all of them.</w:t>
      </w:r>
    </w:p>
    <w:p>
      <w:pPr>
        <w:pStyle w:val="ListBullet"/>
        <w:spacing w:after="60"/>
      </w:pPr>
      <w:r>
        <w:rPr>
          <w:b/>
          <w:sz w:val="21"/>
        </w:rPr>
        <w:t>SPO+ in a tiny example.</w:t>
      </w:r>
      <w:r>
        <w:rPr>
          <w:sz w:val="21"/>
        </w:rPr>
        <w:t xml:space="preserve"> Two options, A and B. True revenues: A = 80, B = 95 (B is best). The model predicts A = 100, B = 90, so it recommends A (the wrong one) and loses 95 - 80 = 15 rupees (that is the regret). SPO+ computes max over actions of (2 x predicted - true) = max(2x100 - 80, 2x90 - 95) = max(120, 85) = 120; then subtracts 2 x predicted for the truly best action (2 x 90 = 180) and adds its true value (95): 120 - 180 + 95 = 35. 35 is at least the regret of 15, which is why the slide says SPO+ is an upper bound on regret, and it is zero when predictions are exactly right. The idea is that training on this number should prefer predictions that lead to good choices, even if the numbers themselves are less accurate.</w:t>
      </w:r>
    </w:p>
    <w:p>
      <w:pPr>
        <w:pStyle w:val="ListBullet"/>
        <w:spacing w:after="60"/>
      </w:pPr>
      <w:r>
        <w:rPr>
          <w:b/>
          <w:sz w:val="21"/>
        </w:rPr>
        <w:t>Why the loss is 'exact' here.</w:t>
      </w:r>
      <w:r>
        <w:rPr>
          <w:sz w:val="21"/>
        </w:rPr>
        <w:t xml:space="preserve"> Because revenue R is a straight-line (affine) function of the price vector, SPO+ is a precise surrogate for this problem; there is no approximation in that step.</w:t>
      </w:r>
    </w:p>
    <w:p>
      <w:pPr>
        <w:pStyle w:val="ListBullet"/>
        <w:spacing w:after="60"/>
      </w:pPr>
      <w:r>
        <w:rPr>
          <w:b/>
          <w:sz w:val="21"/>
        </w:rPr>
        <w:t>Floor: L = r-hat minus q times sigma-hat.</w:t>
      </w:r>
      <w:r>
        <w:rPr>
          <w:sz w:val="21"/>
        </w:rPr>
        <w:t xml:space="preserve"> r-hat is the predicted revenue of the chosen action, sigma-hat a recent measure of how big prediction errors are, q a multiplier. q is the (1 - alpha_t) quantile of past 'normalised scores' (past errors divided by their error scale) of recommended actions. If alpha_t is 0.10, q is the 90th percentile of past scores, so about 90 percent of past outcomes were above r-hat minus q times sigma-hat.</w:t>
      </w:r>
    </w:p>
    <w:p>
      <w:pPr>
        <w:pStyle w:val="ListBullet"/>
        <w:spacing w:after="60"/>
      </w:pPr>
      <w:r>
        <w:rPr>
          <w:b/>
          <w:sz w:val="21"/>
        </w:rPr>
        <w:t>Adaptive update: alpha_{t+1} = alpha_t + gamma (alpha - 1[R &lt; L]).</w:t>
      </w:r>
      <w:r>
        <w:rPr>
          <w:sz w:val="21"/>
        </w:rPr>
        <w:t xml:space="preserve"> The bracket is the target miss rate alpha (0.10) minus an indicator that is 1 if revenue fell below the floor and 0 otherwise. Take gamma = 0.01. After a miss the update is alpha_t + 0.01 x (0.10 - 1) = alpha_t - 0.009, so alpha shrinks, q rises and the next floors are lower and safer. After a hit it is alpha_t + 0.001, so the floor creeps back up. Over many days, misses settle near the target rate (that is the theory behind adaptive conformal inference).</w:t>
      </w:r>
    </w:p>
    <w:p>
      <w:pPr>
        <w:pStyle w:val="ListBullet"/>
        <w:spacing w:after="60"/>
      </w:pPr>
      <w:r>
        <w:rPr>
          <w:b/>
          <w:sz w:val="21"/>
        </w:rPr>
        <w:t>Delayed feedback.</w:t>
      </w:r>
      <w:r>
        <w:rPr>
          <w:sz w:val="21"/>
        </w:rPr>
        <w:t xml:space="preserve"> A k-day hold only resolves k days later (you only know the real revenue when the sale day passes). The calibrator is therefore only allowed to use an outcome once its sale date is strictly in the past. Using it earlier would be another form of look-ahead. This is the novel adaptation: standard adaptive conformal inference assumes you see the outcome right away.</w:t>
      </w:r>
    </w:p>
    <w:p>
      <w:pPr>
        <w:pStyle w:val="ListBullet"/>
        <w:spacing w:after="60"/>
      </w:pPr>
      <w:r>
        <w:rPr>
          <w:b/>
          <w:sz w:val="21"/>
        </w:rPr>
        <w:t>The table of defaults</w:t>
      </w:r>
      <w:r>
        <w:rPr>
          <w:sz w:val="21"/>
        </w:rPr>
        <w:t xml:space="preserve"> (f 4 percent, c0 Rs 20, tau Rs 0.35 per quintal-km, rho 1.3, delta 3, 0.8 and 0.4 percent for tomato, onion and potato, phi 0.85, farm-gate 0.80, floor level 0.10, step 0.01) is the full set of assumptions behind every number on the results slides.</w:t>
      </w:r>
    </w:p>
    <w:p>
      <w:pPr>
        <w:keepNext/>
        <w:spacing w:before="120" w:after="40"/>
      </w:pPr>
      <w:r>
        <w:rPr>
          <w:b/>
          <w:color w:val="1F2A44"/>
          <w:sz w:val="19"/>
        </w:rPr>
        <w:t>THE NUMBERS ON THIS SLIDE AND WHAT EACH ONE MEANS</w:t>
      </w:r>
    </w:p>
    <w:tbl>
      <w:tblPr>
        <w:tblStyle w:val="TableGrid"/>
        <w:tblW w:type="auto" w:w="0"/>
        <w:jc w:val="center"/>
        <w:tblLayout w:type="fixed"/>
        <w:tblLook w:firstColumn="1" w:firstRow="1" w:lastColumn="0" w:lastRow="0" w:noHBand="0" w:noVBand="1" w:val="04A0"/>
      </w:tblPr>
      <w:tblGrid>
        <w:gridCol w:w="2948"/>
        <w:gridCol w:w="6690"/>
      </w:tblGrid>
      <w:tr>
        <w:tc>
          <w:tcPr>
            <w:tcW w:type="dxa" w:w="2948"/>
            <w:shd w:val="clear" w:color="auto" w:fill="1F4E79"/>
          </w:tcPr>
          <w:p>
            <w:pPr>
              <w:spacing w:after="20"/>
            </w:pPr>
            <w:r>
              <w:rPr>
                <w:b/>
                <w:color w:val="FFFFFF"/>
              </w:rPr>
            </w:r>
            <w:r>
              <w:rPr>
                <w:b/>
                <w:color w:val="FFFFFF"/>
                <w:sz w:val="19"/>
              </w:rPr>
              <w:t>Number</w:t>
            </w:r>
          </w:p>
        </w:tc>
        <w:tc>
          <w:tcPr>
            <w:tcW w:type="dxa" w:w="6690"/>
            <w:shd w:val="clear" w:color="auto" w:fill="1F4E79"/>
          </w:tcPr>
          <w:p>
            <w:pPr>
              <w:spacing w:after="20"/>
            </w:pPr>
            <w:r>
              <w:rPr>
                <w:b/>
                <w:color w:val="FFFFFF"/>
              </w:rPr>
            </w:r>
            <w:r>
              <w:rPr>
                <w:b/>
                <w:color w:val="FFFFFF"/>
                <w:sz w:val="19"/>
              </w:rPr>
              <w:t>What it means</w:t>
            </w:r>
          </w:p>
        </w:tc>
      </w:tr>
      <w:tr>
        <w:tc>
          <w:tcPr>
            <w:tcW w:type="dxa" w:w="2948"/>
          </w:tcPr>
          <w:p>
            <w:pPr>
              <w:spacing w:after="20"/>
            </w:pPr>
            <w:r/>
            <w:r>
              <w:rPr>
                <w:sz w:val="19"/>
              </w:rPr>
              <w:t>0.97, 0.9409, 0.9127</w:t>
            </w:r>
          </w:p>
        </w:tc>
        <w:tc>
          <w:tcPr>
            <w:tcW w:type="dxa" w:w="6690"/>
          </w:tcPr>
          <w:p>
            <w:pPr>
              <w:spacing w:after="20"/>
            </w:pPr>
            <w:r/>
            <w:r>
              <w:rPr>
                <w:sz w:val="19"/>
              </w:rPr>
              <w:t>fraction of tomato left after 1, 2 and 3 days at 3 percent daily loss.</w:t>
            </w:r>
          </w:p>
        </w:tc>
      </w:tr>
      <w:tr>
        <w:tc>
          <w:tcPr>
            <w:tcW w:type="dxa" w:w="2948"/>
            <w:shd w:val="clear" w:color="auto" w:fill="EEF4F9"/>
          </w:tcPr>
          <w:p>
            <w:pPr>
              <w:spacing w:after="20"/>
            </w:pPr>
            <w:r/>
            <w:r>
              <w:rPr>
                <w:sz w:val="19"/>
              </w:rPr>
              <w:t>alpha 0.10, gamma 0.01</w:t>
            </w:r>
          </w:p>
        </w:tc>
        <w:tc>
          <w:tcPr>
            <w:tcW w:type="dxa" w:w="6690"/>
            <w:shd w:val="clear" w:color="auto" w:fill="EEF4F9"/>
          </w:tcPr>
          <w:p>
            <w:pPr>
              <w:spacing w:after="20"/>
            </w:pPr>
            <w:r/>
            <w:r>
              <w:rPr>
                <w:sz w:val="19"/>
              </w:rPr>
              <w:t>target miss rate and the size of the daily nudge.</w:t>
            </w:r>
          </w:p>
        </w:tc>
      </w:tr>
    </w:tbl>
    <w:p>
      <w:pPr>
        <w:spacing w:after="40"/>
      </w:pPr>
    </w:p>
    <w:p>
      <w:pPr>
        <w:keepNext/>
        <w:spacing w:before="120" w:after="40"/>
      </w:pPr>
      <w:r>
        <w:rPr>
          <w:b/>
          <w:color w:val="1F2A44"/>
          <w:sz w:val="19"/>
        </w:rPr>
        <w:t>WHY WE DID IT THIS WAY</w:t>
      </w:r>
    </w:p>
    <w:p>
      <w:pPr>
        <w:pStyle w:val="ListBullet"/>
        <w:spacing w:after="60"/>
      </w:pPr>
      <w:r>
        <w:rPr>
          <w:sz w:val="21"/>
        </w:rPr>
        <w:t>Why 4 hold options (0 to 3 days)? Longer waits are rarely sensible for perishables and also lengthen the delay before a floor can be checked.</w:t>
      </w:r>
    </w:p>
    <w:p>
      <w:pPr>
        <w:pStyle w:val="ListBullet"/>
        <w:spacing w:after="60"/>
      </w:pPr>
      <w:r>
        <w:rPr>
          <w:sz w:val="21"/>
        </w:rPr>
        <w:t>Why a conformal floor rather than a normal-distribution margin? A normal margin assumes errors are bell-shaped and stable; they are not. On slide 17 the naive Gaussian floor is broken on 26 to 35 percent of days against a 10 percent target in three crops.</w:t>
      </w:r>
    </w:p>
    <w:p>
      <w:pPr>
        <w:keepNext/>
        <w:spacing w:before="120" w:after="40"/>
      </w:pPr>
      <w:r>
        <w:rPr>
          <w:b/>
          <w:color w:val="9C3B00"/>
          <w:sz w:val="19"/>
        </w:rPr>
        <w:t>LIMITS AND THINGS TO FIX (SAY THESE YOURSELF)</w:t>
      </w:r>
    </w:p>
    <w:p>
      <w:pPr>
        <w:pStyle w:val="ListBullet"/>
        <w:spacing w:after="60"/>
      </w:pPr>
      <w:r>
        <w:rPr>
          <w:sz w:val="21"/>
        </w:rPr>
        <w:t>tau, delta and phi are assumptions chosen to be realistic, not estimated from data. We say so on the slide and we test across 10 settings per crop.</w:t>
      </w:r>
    </w:p>
    <w:p>
      <w:pPr>
        <w:keepNext/>
        <w:spacing w:before="120" w:after="40"/>
      </w:pPr>
      <w:r>
        <w:rPr>
          <w:b/>
          <w:color w:val="1F2A44"/>
          <w:sz w:val="19"/>
        </w:rPr>
        <w:t>IF ASKED</w:t>
      </w:r>
    </w:p>
    <w:p>
      <w:pPr>
        <w:spacing w:after="20"/>
      </w:pPr>
      <w:r>
        <w:rPr>
          <w:b/>
          <w:sz w:val="21"/>
        </w:rPr>
        <w:t>Q. What is the difference between regret and loss?</w:t>
      </w:r>
    </w:p>
    <w:p>
      <w:pPr>
        <w:spacing w:after="100"/>
      </w:pPr>
      <w:r>
        <w:rPr>
          <w:sz w:val="21"/>
        </w:rPr>
        <w:t>Regret is the actual rupees lost against the best choice in hindsight. Loss is the number a model is trained to reduce. SPO+ is a loss designed to track regret.</w:t>
      </w:r>
    </w:p>
    <w:p>
      <w:pPr>
        <w:spacing w:after="20"/>
      </w:pPr>
      <w:r>
        <w:rPr>
          <w:b/>
          <w:sz w:val="21"/>
        </w:rPr>
        <w:t>Q. Why 0.85 for silent mandis?</w:t>
      </w:r>
    </w:p>
    <w:p>
      <w:pPr>
        <w:spacing w:after="100"/>
      </w:pPr>
      <w:r>
        <w:rPr>
          <w:sz w:val="21"/>
        </w:rPr>
        <w:t>It is an assumption: a wasted trip does not mean zero revenue but a weaker sale. We sweep it; models trained on realised outcomes keep winning in every setting.</w:t>
      </w:r>
    </w:p>
    <w:p>
      <w:pPr>
        <w:spacing w:after="20"/>
      </w:pPr>
      <w:r>
        <w:rPr>
          <w:b/>
          <w:sz w:val="21"/>
        </w:rPr>
        <w:t>Q. Is it ACI or conformal?</w:t>
      </w:r>
    </w:p>
    <w:p>
      <w:pPr>
        <w:spacing w:after="100"/>
      </w:pPr>
      <w:r>
        <w:rPr>
          <w:sz w:val="21"/>
        </w:rPr>
        <w:t>ACI (adaptive conformal inference) is a type of conformal prediction that adapts the level online. We adapted it to outcomes that arrive k days late.</w:t>
      </w:r>
    </w:p>
    <w:p>
      <w:pPr>
        <w:pStyle w:val="Heading1"/>
        <w:spacing w:before="440"/>
      </w:pPr>
      <w:r>
        <w:t>Slide 7 · Decision intelligence and cross-commodity spillover</w:t>
      </w:r>
    </w:p>
    <w:tbl>
      <w:tblPr>
        <w:tblStyle w:val="TableGrid"/>
        <w:tblW w:type="auto" w:w="0"/>
        <w:tblLook w:firstColumn="1" w:firstRow="1" w:lastColumn="0" w:lastRow="0" w:noHBand="0" w:noVBand="1" w:val="04A0"/>
      </w:tblPr>
      <w:tblGrid>
        <w:gridCol w:w="10086"/>
      </w:tblGrid>
      <w:tr>
        <w:tc>
          <w:tcPr>
            <w:tcW w:type="dxa" w:w="10086"/>
            <w:shd w:val="clear" w:color="auto" w:fill="EAF2F8"/>
          </w:tcPr>
          <w:p>
            <w:pPr>
              <w:keepNext/>
              <w:spacing w:after="40"/>
            </w:pPr>
            <w:r/>
            <w:r>
              <w:rPr>
                <w:b/>
                <w:sz w:val="21"/>
              </w:rPr>
              <w:t>In one line.</w:t>
            </w:r>
            <w:r>
              <w:rPr>
                <w:sz w:val="21"/>
              </w:rPr>
              <w:t xml:space="preserve"> Two research extensions: language-model briefs that are checked against evidence, and a test of whether crops move each other's prices.</w:t>
            </w:r>
          </w:p>
        </w:tc>
      </w:tr>
    </w:tbl>
    <w:p>
      <w:pPr>
        <w:spacing w:after="0"/>
      </w:pPr>
    </w:p>
    <w:p>
      <w:pPr>
        <w:keepNext/>
        <w:spacing w:before="120" w:after="40"/>
      </w:pPr>
      <w:r>
        <w:rPr>
          <w:b/>
          <w:color w:val="1F2A44"/>
          <w:sz w:val="19"/>
        </w:rPr>
        <w:t>IN PLAIN WORDS</w:t>
      </w:r>
    </w:p>
    <w:p>
      <w:pPr>
        <w:spacing w:after="80"/>
      </w:pPr>
      <w:r>
        <w:rPr>
          <w:b/>
          <w:sz w:val="21"/>
        </w:rPr>
        <w:t>Objective 7, grounded briefs.</w:t>
      </w:r>
      <w:r>
        <w:rPr>
          <w:sz w:val="21"/>
        </w:rPr>
        <w:t xml:space="preserve"> The engines give numbers; a farmer wants a short recommendation with reasons. We let a language model write it, but not freely. It must fill a fixed form (action, confidence, reasons), every reason must name the evidence it relies on, and then a checking program verifies every number against the evidence. If anything fails, the brief is still shown but marked as 'not grounded' with the problems listed, and if the model service is down a rule-based writer takes over.</w:t>
      </w:r>
    </w:p>
    <w:p>
      <w:pPr>
        <w:spacing w:after="80"/>
      </w:pPr>
      <w:r>
        <w:rPr>
          <w:b/>
          <w:sz w:val="21"/>
        </w:rPr>
        <w:t>Objective 8, spillover.</w:t>
      </w:r>
      <w:r>
        <w:rPr>
          <w:sz w:val="21"/>
        </w:rPr>
        <w:t xml:space="preserve"> Do the prices of tomato, onion, potato, ginger and garlic push each other? If an onion shortage makes potato rise, that would be useful to know. We built a careful test and it found no usable evidence, so the system says 'insufficient evidence' instead of printing a number.</w:t>
      </w:r>
    </w:p>
    <w:p>
      <w:pPr>
        <w:keepNext/>
        <w:spacing w:before="120" w:after="40"/>
      </w:pPr>
      <w:r>
        <w:rPr>
          <w:b/>
          <w:color w:val="1F2A44"/>
          <w:sz w:val="19"/>
        </w:rPr>
        <w:t>GO DEEPER: THE TECHNICAL CONTENT, EXPLAINED</w:t>
      </w:r>
    </w:p>
    <w:p>
      <w:pPr>
        <w:pStyle w:val="ListBullet"/>
        <w:spacing w:after="60"/>
      </w:pPr>
      <w:r>
        <w:rPr>
          <w:b/>
          <w:sz w:val="21"/>
        </w:rPr>
        <w:t>Evidence bundle.</w:t>
      </w:r>
      <w:r>
        <w:rPr>
          <w:sz w:val="21"/>
        </w:rPr>
        <w:t xml:space="preserve"> A flat list of labelled facts, e.g. forecast.h5.point (the five-day forecast point), the market-choice result, arrivals, the spillover matrix, plus a list of things that were not available and why. Language-model text may only rely on these labels.</w:t>
      </w:r>
    </w:p>
    <w:p>
      <w:pPr>
        <w:pStyle w:val="ListBullet"/>
        <w:spacing w:after="60"/>
      </w:pPr>
      <w:r>
        <w:rPr>
          <w:b/>
          <w:sz w:val="21"/>
        </w:rPr>
        <w:t>Fixed schema.</w:t>
      </w:r>
      <w:r>
        <w:rPr>
          <w:sz w:val="21"/>
        </w:rPr>
        <w:t xml:space="preserve"> Action is one of BUY, SELL, HOLD, WAIT. Confidence is HIGH, MEDIUM, LOW or INSUFFICIENT_EVIDENCE. Every reason has a direction (supports, opposes, neutral) and an evidence key. A reason without a key is treated as invented.</w:t>
      </w:r>
    </w:p>
    <w:p>
      <w:pPr>
        <w:pStyle w:val="ListBullet"/>
        <w:spacing w:after="60"/>
      </w:pPr>
      <w:r>
        <w:rPr>
          <w:b/>
          <w:sz w:val="21"/>
        </w:rPr>
        <w:t>The grounding check</w:t>
      </w:r>
      <w:r>
        <w:rPr>
          <w:sz w:val="21"/>
        </w:rPr>
        <w:t xml:space="preserve"> has three rules. Every number in the text must match some evidence value within 1 percent (small whole numbers below 32 are ignored as ordinary words such as 'three days'). Every cited key must exist. The brief may only name mandis that appear in its own evidence. These catch the classic failure: a fluent but invented price.</w:t>
      </w:r>
    </w:p>
    <w:p>
      <w:pPr>
        <w:pStyle w:val="ListBullet"/>
        <w:spacing w:after="60"/>
      </w:pPr>
      <w:r>
        <w:rPr>
          <w:b/>
          <w:sz w:val="21"/>
        </w:rPr>
        <w:t>Never fails silently.</w:t>
      </w:r>
      <w:r>
        <w:rPr>
          <w:sz w:val="21"/>
        </w:rPr>
        <w:t xml:space="preserve"> If the language model provider errors, a deterministic provider writes the brief from rules. If a brief fails grounding it is served with grounded: false and the issue list. The service never crashes the request.</w:t>
      </w:r>
    </w:p>
    <w:p>
      <w:pPr>
        <w:pStyle w:val="ListBullet"/>
        <w:spacing w:after="60"/>
      </w:pPr>
      <w:r>
        <w:rPr>
          <w:b/>
          <w:sz w:val="21"/>
        </w:rPr>
        <w:t>Policy override.</w:t>
      </w:r>
      <w:r>
        <w:rPr>
          <w:sz w:val="21"/>
        </w:rPr>
        <w:t xml:space="preserve"> The brief's action follows the validated decision policy of the engines, and a HOLD is overridden when spoilage over the waiting period would outrun the expected price gain.</w:t>
      </w:r>
    </w:p>
    <w:p>
      <w:pPr>
        <w:pStyle w:val="ListBullet"/>
        <w:spacing w:after="60"/>
      </w:pPr>
      <w:r>
        <w:rPr>
          <w:b/>
          <w:sz w:val="21"/>
        </w:rPr>
        <w:t>Spillover method, step by step.</w:t>
      </w:r>
      <w:r>
        <w:rPr>
          <w:sz w:val="21"/>
        </w:rPr>
        <w:t xml:space="preserve"> (1) Take weekly returns (percentage price changes) of 5 crops at one reference market each, over 232 weeks (3 Jan 2021 to 1 Nov 2026). (2) Remove the first common factor (the part that moves all crops together, which explained 24.5 percent of variance) and the average of each calendar month (seasonality), so shared shocks and seasons are not mistaken for one crop causing another. (3) Define an episode: the source crop enters a squeeze (supply shortage) or glut (oversupply); onsets closer than 4 weeks are merged. (4) Effect at horizon h = 1 to 4 weeks is the average cumulative response of the target crop after episodes minus its usual average over the same horizon. (5) Uncertainty: resample whole episodes 2,000 times to get a 90 percent interval (whole episodes because weeks within one episode are dependent). (6) Because 40 directed pairs are tested at once, control the false discovery rate at 10 percent (Benjamini-Hochberg). (7) Publish an edge only if there are at least 8 episodes, its interval excludes zero and the effect exceeds 1 percent; otherwise publish INSUFFICIENT_EVIDENCE.</w:t>
      </w:r>
    </w:p>
    <w:p>
      <w:pPr>
        <w:keepNext/>
        <w:spacing w:before="120" w:after="40"/>
      </w:pPr>
      <w:r>
        <w:rPr>
          <w:b/>
          <w:color w:val="1F2A44"/>
          <w:sz w:val="19"/>
        </w:rPr>
        <w:t>THE NUMBERS ON THIS SLIDE AND WHAT EACH ONE MEANS</w:t>
      </w:r>
    </w:p>
    <w:tbl>
      <w:tblPr>
        <w:tblStyle w:val="TableGrid"/>
        <w:tblW w:type="auto" w:w="0"/>
        <w:jc w:val="center"/>
        <w:tblLayout w:type="fixed"/>
        <w:tblLook w:firstColumn="1" w:firstRow="1" w:lastColumn="0" w:lastRow="0" w:noHBand="0" w:noVBand="1" w:val="04A0"/>
      </w:tblPr>
      <w:tblGrid>
        <w:gridCol w:w="2948"/>
        <w:gridCol w:w="6690"/>
      </w:tblGrid>
      <w:tr>
        <w:tc>
          <w:tcPr>
            <w:tcW w:type="dxa" w:w="2948"/>
            <w:shd w:val="clear" w:color="auto" w:fill="1F4E79"/>
          </w:tcPr>
          <w:p>
            <w:pPr>
              <w:spacing w:after="20"/>
            </w:pPr>
            <w:r>
              <w:rPr>
                <w:b/>
                <w:color w:val="FFFFFF"/>
              </w:rPr>
            </w:r>
            <w:r>
              <w:rPr>
                <w:b/>
                <w:color w:val="FFFFFF"/>
                <w:sz w:val="19"/>
              </w:rPr>
              <w:t>Number</w:t>
            </w:r>
          </w:p>
        </w:tc>
        <w:tc>
          <w:tcPr>
            <w:tcW w:type="dxa" w:w="6690"/>
            <w:shd w:val="clear" w:color="auto" w:fill="1F4E79"/>
          </w:tcPr>
          <w:p>
            <w:pPr>
              <w:spacing w:after="20"/>
            </w:pPr>
            <w:r>
              <w:rPr>
                <w:b/>
                <w:color w:val="FFFFFF"/>
              </w:rPr>
            </w:r>
            <w:r>
              <w:rPr>
                <w:b/>
                <w:color w:val="FFFFFF"/>
                <w:sz w:val="19"/>
              </w:rPr>
              <w:t>What it means</w:t>
            </w:r>
          </w:p>
        </w:tc>
      </w:tr>
      <w:tr>
        <w:tc>
          <w:tcPr>
            <w:tcW w:type="dxa" w:w="2948"/>
          </w:tcPr>
          <w:p>
            <w:pPr>
              <w:spacing w:after="20"/>
            </w:pPr>
            <w:r/>
            <w:r>
              <w:rPr>
                <w:sz w:val="19"/>
              </w:rPr>
              <w:t>232 weeks</w:t>
            </w:r>
          </w:p>
        </w:tc>
        <w:tc>
          <w:tcPr>
            <w:tcW w:type="dxa" w:w="6690"/>
          </w:tcPr>
          <w:p>
            <w:pPr>
              <w:spacing w:after="20"/>
            </w:pPr>
            <w:r/>
            <w:r>
              <w:rPr>
                <w:sz w:val="19"/>
              </w:rPr>
              <w:t>length of the weekly panel.</w:t>
            </w:r>
          </w:p>
        </w:tc>
      </w:tr>
      <w:tr>
        <w:tc>
          <w:tcPr>
            <w:tcW w:type="dxa" w:w="2948"/>
            <w:shd w:val="clear" w:color="auto" w:fill="EEF4F9"/>
          </w:tcPr>
          <w:p>
            <w:pPr>
              <w:spacing w:after="20"/>
            </w:pPr>
            <w:r/>
            <w:r>
              <w:rPr>
                <w:sz w:val="19"/>
              </w:rPr>
              <w:t>24.5 percent</w:t>
            </w:r>
          </w:p>
        </w:tc>
        <w:tc>
          <w:tcPr>
            <w:tcW w:type="dxa" w:w="6690"/>
            <w:shd w:val="clear" w:color="auto" w:fill="EEF4F9"/>
          </w:tcPr>
          <w:p>
            <w:pPr>
              <w:spacing w:after="20"/>
            </w:pPr>
            <w:r/>
            <w:r>
              <w:rPr>
                <w:sz w:val="19"/>
              </w:rPr>
              <w:t>variance explained by the common factor, i.e. co-movement that would otherwise be misread as transmission.</w:t>
            </w:r>
          </w:p>
        </w:tc>
      </w:tr>
      <w:tr>
        <w:tc>
          <w:tcPr>
            <w:tcW w:type="dxa" w:w="2948"/>
          </w:tcPr>
          <w:p>
            <w:pPr>
              <w:spacing w:after="20"/>
            </w:pPr>
            <w:r/>
            <w:r>
              <w:rPr>
                <w:sz w:val="19"/>
              </w:rPr>
              <w:t>40 edges</w:t>
            </w:r>
          </w:p>
        </w:tc>
        <w:tc>
          <w:tcPr>
            <w:tcW w:type="dxa" w:w="6690"/>
          </w:tcPr>
          <w:p>
            <w:pPr>
              <w:spacing w:after="20"/>
            </w:pPr>
            <w:r/>
            <w:r>
              <w:rPr>
                <w:sz w:val="19"/>
              </w:rPr>
              <w:t>5 source crops x 4 target crops x 2 shock types (squeeze, glut).</w:t>
            </w:r>
          </w:p>
        </w:tc>
      </w:tr>
      <w:tr>
        <w:tc>
          <w:tcPr>
            <w:tcW w:type="dxa" w:w="2948"/>
            <w:shd w:val="clear" w:color="auto" w:fill="EEF4F9"/>
          </w:tcPr>
          <w:p>
            <w:pPr>
              <w:spacing w:after="20"/>
            </w:pPr>
            <w:r/>
            <w:r>
              <w:rPr>
                <w:sz w:val="19"/>
              </w:rPr>
              <w:t>at least 8 episodes</w:t>
            </w:r>
          </w:p>
        </w:tc>
        <w:tc>
          <w:tcPr>
            <w:tcW w:type="dxa" w:w="6690"/>
            <w:shd w:val="clear" w:color="auto" w:fill="EEF4F9"/>
          </w:tcPr>
          <w:p>
            <w:pPr>
              <w:spacing w:after="20"/>
            </w:pPr>
            <w:r/>
            <w:r>
              <w:rPr>
                <w:sz w:val="19"/>
              </w:rPr>
              <w:t>the evidence floor; the real panel gave 0 in every case.</w:t>
            </w:r>
          </w:p>
        </w:tc>
      </w:tr>
    </w:tbl>
    <w:p>
      <w:pPr>
        <w:spacing w:after="40"/>
      </w:pPr>
    </w:p>
    <w:p>
      <w:pPr>
        <w:keepNext/>
        <w:spacing w:before="120" w:after="40"/>
      </w:pPr>
      <w:r>
        <w:rPr>
          <w:b/>
          <w:color w:val="1F2A44"/>
          <w:sz w:val="19"/>
        </w:rPr>
        <w:t>WHY WE DID IT THIS WAY</w:t>
      </w:r>
    </w:p>
    <w:p>
      <w:pPr>
        <w:pStyle w:val="ListBullet"/>
        <w:spacing w:after="60"/>
      </w:pPr>
      <w:r>
        <w:rPr>
          <w:sz w:val="21"/>
        </w:rPr>
        <w:t>Publishing 'insufficient evidence' is a feature. A number with a wide interval printed to two decimals looks authoritative to a farmer and is worse than silence.</w:t>
      </w:r>
    </w:p>
    <w:p>
      <w:pPr>
        <w:keepNext/>
        <w:spacing w:before="120" w:after="40"/>
      </w:pPr>
      <w:r>
        <w:rPr>
          <w:b/>
          <w:color w:val="9C3B00"/>
          <w:sz w:val="19"/>
        </w:rPr>
        <w:t>LIMITS AND THINGS TO FIX (SAY THESE YOURSELF)</w:t>
      </w:r>
    </w:p>
    <w:p>
      <w:pPr>
        <w:pStyle w:val="ListBullet"/>
        <w:spacing w:after="60"/>
      </w:pPr>
      <w:r>
        <w:rPr>
          <w:sz w:val="21"/>
        </w:rPr>
        <w:t>Grounding proves a number is traceable, not that the recommendation is right; the recommendation itself comes from the engine. No user study of the briefs has been done.</w:t>
      </w:r>
    </w:p>
    <w:p>
      <w:pPr>
        <w:keepNext/>
        <w:spacing w:before="120" w:after="40"/>
      </w:pPr>
      <w:r>
        <w:rPr>
          <w:b/>
          <w:color w:val="1F2A44"/>
          <w:sz w:val="19"/>
        </w:rPr>
        <w:t>IF ASKED</w:t>
      </w:r>
    </w:p>
    <w:p>
      <w:pPr>
        <w:spacing w:after="20"/>
      </w:pPr>
      <w:r>
        <w:rPr>
          <w:b/>
          <w:sz w:val="21"/>
        </w:rPr>
        <w:t>Q. Why zero episodes?</w:t>
      </w:r>
    </w:p>
    <w:p>
      <w:pPr>
        <w:spacing w:after="100"/>
      </w:pPr>
      <w:r>
        <w:rPr>
          <w:sz w:val="21"/>
        </w:rPr>
        <w:t>The episode detector depends on supply-regime labels (squeeze or glut) built from arrivals; on the real weekly panel no week was labelled either. Whether the market was genuinely calm, the threshold too strict, or the labelling stage not fed from the real panel is unresolved and is in future work. A separate event study that defines shocks directly from arrivals did find some suggestive same-crop effects, so the data are not shock-free.</w:t>
      </w:r>
    </w:p>
    <w:p>
      <w:pPr>
        <w:spacing w:after="20"/>
      </w:pPr>
      <w:r>
        <w:rPr>
          <w:b/>
          <w:sz w:val="21"/>
        </w:rPr>
        <w:t>Q. What stops the language model inventing prices?</w:t>
      </w:r>
    </w:p>
    <w:p>
      <w:pPr>
        <w:spacing w:after="100"/>
      </w:pPr>
      <w:r>
        <w:rPr>
          <w:sz w:val="21"/>
        </w:rPr>
        <w:t>The grounding check: every number must match an evidence value within 1 percent, every cited key must exist, only mandis in the evidence may be named. A failing brief is shown as grounded false with its issues.</w:t>
      </w:r>
    </w:p>
    <w:p>
      <w:pPr>
        <w:pStyle w:val="Heading1"/>
        <w:spacing w:before="440"/>
      </w:pPr>
      <w:r>
        <w:t>Slide 8 · Insight features: method</w:t>
      </w:r>
    </w:p>
    <w:tbl>
      <w:tblPr>
        <w:tblStyle w:val="TableGrid"/>
        <w:tblW w:type="auto" w:w="0"/>
        <w:tblLook w:firstColumn="1" w:firstRow="1" w:lastColumn="0" w:lastRow="0" w:noHBand="0" w:noVBand="1" w:val="04A0"/>
      </w:tblPr>
      <w:tblGrid>
        <w:gridCol w:w="10086"/>
      </w:tblGrid>
      <w:tr>
        <w:tc>
          <w:tcPr>
            <w:tcW w:type="dxa" w:w="10086"/>
            <w:shd w:val="clear" w:color="auto" w:fill="EAF2F8"/>
          </w:tcPr>
          <w:p>
            <w:pPr>
              <w:keepNext/>
              <w:spacing w:after="40"/>
            </w:pPr>
            <w:r/>
            <w:r>
              <w:rPr>
                <w:b/>
                <w:sz w:val="21"/>
              </w:rPr>
              <w:t>In one line.</w:t>
            </w:r>
            <w:r>
              <w:rPr>
                <w:sz w:val="21"/>
              </w:rPr>
              <w:t xml:space="preserve"> Five calculations that make the advice inspectable: breakdown, what-if, track record, silence tax and crowd simulator.</w:t>
            </w:r>
          </w:p>
        </w:tc>
      </w:tr>
    </w:tbl>
    <w:p>
      <w:pPr>
        <w:spacing w:after="0"/>
      </w:pPr>
    </w:p>
    <w:p>
      <w:pPr>
        <w:keepNext/>
        <w:spacing w:before="120" w:after="40"/>
      </w:pPr>
      <w:r>
        <w:rPr>
          <w:b/>
          <w:color w:val="1F2A44"/>
          <w:sz w:val="19"/>
        </w:rPr>
        <w:t>IN PLAIN WORDS</w:t>
      </w:r>
    </w:p>
    <w:p>
      <w:pPr>
        <w:spacing w:after="80"/>
      </w:pPr>
      <w:r>
        <w:rPr>
          <w:sz w:val="21"/>
        </w:rPr>
        <w:t xml:space="preserve">These five are what make a farmer or an examiner able to check the advice instead of just trusting it. </w:t>
      </w:r>
      <w:r>
        <w:rPr>
          <w:b/>
          <w:sz w:val="21"/>
        </w:rPr>
        <w:t>Breakdown</w:t>
      </w:r>
      <w:r>
        <w:rPr>
          <w:sz w:val="21"/>
        </w:rPr>
        <w:t xml:space="preserve">: where every rupee goes. </w:t>
      </w:r>
      <w:r>
        <w:rPr>
          <w:b/>
          <w:sz w:val="21"/>
        </w:rPr>
        <w:t>What-if</w:t>
      </w:r>
      <w:r>
        <w:rPr>
          <w:sz w:val="21"/>
        </w:rPr>
        <w:t xml:space="preserve">: change your costs and see if the advice changes. </w:t>
      </w:r>
      <w:r>
        <w:rPr>
          <w:b/>
          <w:sz w:val="21"/>
        </w:rPr>
        <w:t>Track record</w:t>
      </w:r>
      <w:r>
        <w:rPr>
          <w:sz w:val="21"/>
        </w:rPr>
        <w:t xml:space="preserve">: how the advice would have done on days it had not seen. </w:t>
      </w:r>
      <w:r>
        <w:rPr>
          <w:b/>
          <w:sz w:val="21"/>
        </w:rPr>
        <w:t>Silence tax</w:t>
      </w:r>
      <w:r>
        <w:rPr>
          <w:sz w:val="21"/>
        </w:rPr>
        <w:t xml:space="preserve">: what an unreliable mandi costs a trip. </w:t>
      </w:r>
      <w:r>
        <w:rPr>
          <w:b/>
          <w:sz w:val="21"/>
        </w:rPr>
        <w:t>Crowd simulator</w:t>
      </w:r>
      <w:r>
        <w:rPr>
          <w:sz w:val="21"/>
        </w:rPr>
        <w:t>: what happens to the price if many farmers follow the same advice.</w:t>
      </w:r>
    </w:p>
    <w:p>
      <w:pPr>
        <w:spacing w:after="80"/>
      </w:pPr>
      <w:r>
        <w:rPr>
          <w:sz w:val="21"/>
        </w:rPr>
        <w:t>None of them trains a new model on request. They reuse the stored engine and data and show their assumptions with the answer.</w:t>
      </w:r>
    </w:p>
    <w:p>
      <w:pPr>
        <w:keepNext/>
        <w:spacing w:before="120" w:after="40"/>
      </w:pPr>
      <w:r>
        <w:rPr>
          <w:b/>
          <w:color w:val="1F2A44"/>
          <w:sz w:val="19"/>
        </w:rPr>
        <w:t>GO DEEPER: THE TECHNICAL CONTENT, EXPLAINED</w:t>
      </w:r>
    </w:p>
    <w:p>
      <w:pPr>
        <w:pStyle w:val="ListBullet"/>
        <w:spacing w:after="60"/>
      </w:pPr>
      <w:r>
        <w:rPr>
          <w:b/>
          <w:sz w:val="21"/>
        </w:rPr>
        <w:t>1. Breakdown.</w:t>
      </w:r>
      <w:r>
        <w:rPr>
          <w:sz w:val="21"/>
        </w:rPr>
        <w:t xml:space="preserve"> R = P - f P - (1 - f) P [1 - (1 - delta)^k] - tau rho d - c0. This is the same net revenue formula written as separate parts: price, minus fee (f P), minus spoilage loss on the part left after the fee, minus transport, minus handling. The code asserts that the parts add up to the served net revenue within Rs 1, and it prints the same breakdown for three alternatives (nearest mandi today, highest price yesterday, farm gate) so that the farmer can compare line by line.</w:t>
      </w:r>
    </w:p>
    <w:p>
      <w:pPr>
        <w:pStyle w:val="ListBullet"/>
        <w:spacing w:after="60"/>
      </w:pPr>
      <w:r>
        <w:rPr>
          <w:b/>
          <w:sz w:val="21"/>
        </w:rPr>
        <w:t>2. What-if (break-even cost).</w:t>
      </w:r>
      <w:r>
        <w:rPr>
          <w:sz w:val="21"/>
        </w:rPr>
        <w:t xml:space="preserve"> x* = the smallest value x on a grid where the best action differs from the best action at the default cost x0. We re-price every action under the farmer's own costs (predicted prices and the chance a mandi reports do not depend on the farmer's costs, so this is exact, not a re-fit), sweep one cost across a grid (transport 0.1 to 3.0 Rs per quintal-km; spoilage 0 to 8 percent a day) and report where the best action flips. A flip point is what a farmer understands: 'the advice changes once spoilage passes 5 percent a day'.</w:t>
      </w:r>
    </w:p>
    <w:p>
      <w:pPr>
        <w:pStyle w:val="ListBullet"/>
        <w:spacing w:after="60"/>
      </w:pPr>
      <w:r>
        <w:rPr>
          <w:b/>
          <w:sz w:val="21"/>
        </w:rPr>
        <w:t>3. Track record.</w:t>
      </w:r>
      <w:r>
        <w:rPr>
          <w:sz w:val="21"/>
        </w:rPr>
        <w:t xml:space="preserve"> The walk-forward back-test is replayed day by day. A multiplier for the floor is fitted on the first half of the scored days, and only the second half is reported, so every day in the table is one the floor was not fitted on. Each day: win if the advice beats the comparison by more than Rs 1, tie if within Rs 1, loss if worse by more than Rs 1. Floor 'held' means actual revenue was at least the floor.</w:t>
      </w:r>
    </w:p>
    <w:p>
      <w:pPr>
        <w:pStyle w:val="ListBullet"/>
        <w:spacing w:after="60"/>
      </w:pPr>
      <w:r>
        <w:rPr>
          <w:b/>
          <w:sz w:val="21"/>
        </w:rPr>
        <w:t>4. Silence tax.</w:t>
      </w:r>
      <w:r>
        <w:rPr>
          <w:sz w:val="21"/>
        </w:rPr>
        <w:t xml:space="preserve"> T_m = s_m x max(P_m - phi x P_day, 0). s_m is the share of the mandi's open days on which it was unexpectedly silent. P_m is the mandi's typical price when it reports, P_day the average price across mandis that day, phi = 0.85. The max term is how much better this mandi's usual price is than the fallback you would get if it were silent; multiplying by how often it is silent gives the expected rupees lost per quintal on a trip. </w:t>
      </w:r>
      <w:r>
        <w:rPr>
          <w:b/>
          <w:sz w:val="21"/>
        </w:rPr>
        <w:t>Known closed days</w:t>
      </w:r>
      <w:r>
        <w:rPr>
          <w:sz w:val="21"/>
        </w:rPr>
        <w:t>: a weekday on which the mandi is silent on at least 90 percent of occasions is treated as a closed day farmers already know about, and excluded.</w:t>
      </w:r>
    </w:p>
    <w:p>
      <w:pPr>
        <w:pStyle w:val="ListBullet"/>
        <w:spacing w:after="60"/>
      </w:pPr>
      <w:r>
        <w:rPr>
          <w:b/>
          <w:sz w:val="21"/>
        </w:rPr>
        <w:t>5. Crowd simulator.</w:t>
      </w:r>
      <w:r>
        <w:rPr>
          <w:sz w:val="21"/>
        </w:rPr>
        <w:t xml:space="preserve"> P_m(x) = P_m x (1 + x / A_m)^(-b). A_m is the mandi's usual daily arrivals (median over the last year), x the extra quintals arriving, b the price flexibility. Example: A = 68 quintals, 200 farmers x 10 quintals = 2,000 quintals: (1 + 2000/68)^(-0.115) = 30.4^(-0.115) = about 0.675, a 32.5 percent drop. This matches the slide. Three policies are compared for N farmers: all take the best action, all go to the nearest mandi, and a coordinated split that hands out the quantity in small steps, each to the action with the best marginal revenue.</w:t>
      </w:r>
    </w:p>
    <w:p>
      <w:pPr>
        <w:pStyle w:val="ListBullet"/>
        <w:spacing w:after="60"/>
      </w:pPr>
      <w:r>
        <w:rPr>
          <w:b/>
          <w:sz w:val="21"/>
        </w:rPr>
        <w:t>b = 0.115</w:t>
      </w:r>
      <w:r>
        <w:rPr>
          <w:sz w:val="21"/>
        </w:rPr>
        <w:t xml:space="preserve"> is the within-mandi, within-month association of log price with log arrivals in the tomato panel (standard error 0.023). It is an association, not a cause. So it is treated as a scenario that the user can change, and when b = 0 the crowd costs nothing and every policy is equal.</w:t>
      </w:r>
    </w:p>
    <w:p>
      <w:pPr>
        <w:keepNext/>
        <w:spacing w:before="120" w:after="40"/>
      </w:pPr>
      <w:r>
        <w:rPr>
          <w:b/>
          <w:color w:val="1F2A44"/>
          <w:sz w:val="19"/>
        </w:rPr>
        <w:t>WHY WE DID IT THIS WAY</w:t>
      </w:r>
    </w:p>
    <w:p>
      <w:pPr>
        <w:pStyle w:val="ListBullet"/>
        <w:spacing w:after="60"/>
      </w:pPr>
      <w:r>
        <w:rPr>
          <w:sz w:val="21"/>
        </w:rPr>
        <w:t>Each feature answers an examiner's natural challenge: 'show me the arithmetic' (breakdown), 'what if my costs are different' (what-if), 'has it actually worked' (track record), 'what about unreliable mandis' (silence tax), 'what if everybody follows you' (crowd).</w:t>
      </w:r>
    </w:p>
    <w:p>
      <w:pPr>
        <w:keepNext/>
        <w:spacing w:before="120" w:after="40"/>
      </w:pPr>
      <w:r>
        <w:rPr>
          <w:b/>
          <w:color w:val="9C3B00"/>
          <w:sz w:val="19"/>
        </w:rPr>
        <w:t>LIMITS AND THINGS TO FIX (SAY THESE YOURSELF)</w:t>
      </w:r>
    </w:p>
    <w:p>
      <w:pPr>
        <w:pStyle w:val="ListBullet"/>
        <w:spacing w:after="60"/>
      </w:pPr>
      <w:r>
        <w:rPr>
          <w:sz w:val="21"/>
        </w:rPr>
        <w:t>The floor is only calibrated at default costs; with very different costs it is indicative and the screen says so. Silence is ambiguous (closed or missed upload). b is an association, not a measurement.</w:t>
      </w:r>
    </w:p>
    <w:p>
      <w:pPr>
        <w:keepNext/>
        <w:spacing w:before="120" w:after="40"/>
      </w:pPr>
      <w:r>
        <w:rPr>
          <w:b/>
          <w:color w:val="1F2A44"/>
          <w:sz w:val="19"/>
        </w:rPr>
        <w:t>IF ASKED</w:t>
      </w:r>
    </w:p>
    <w:p>
      <w:pPr>
        <w:spacing w:after="20"/>
      </w:pPr>
      <w:r>
        <w:rPr>
          <w:b/>
          <w:sz w:val="21"/>
        </w:rPr>
        <w:t>Q. Is the what-if a new model run?</w:t>
      </w:r>
    </w:p>
    <w:p>
      <w:pPr>
        <w:spacing w:after="100"/>
      </w:pPr>
      <w:r>
        <w:rPr>
          <w:sz w:val="21"/>
        </w:rPr>
        <w:t>No. Predicted prices and the chance a mandi reports do not depend on the farmer's costs, so every action can be re-priced exactly with the new costs; it is arithmetic on stored predictions.</w:t>
      </w:r>
    </w:p>
    <w:p>
      <w:pPr>
        <w:spacing w:after="20"/>
      </w:pPr>
      <w:r>
        <w:rPr>
          <w:b/>
          <w:sz w:val="21"/>
        </w:rPr>
        <w:t>Q. Why 'tie within Rs 1'?</w:t>
      </w:r>
    </w:p>
    <w:p>
      <w:pPr>
        <w:spacing w:after="100"/>
      </w:pPr>
      <w:r>
        <w:rPr>
          <w:sz w:val="21"/>
        </w:rPr>
        <w:t>So that identical actions that differ by rounding are not counted as wins or losses.</w:t>
      </w:r>
    </w:p>
    <w:p>
      <w:pPr>
        <w:pStyle w:val="Heading1"/>
        <w:spacing w:before="440"/>
      </w:pPr>
      <w:r>
        <w:t>Slide 9 · Implementation and system integration</w:t>
      </w:r>
    </w:p>
    <w:tbl>
      <w:tblPr>
        <w:tblStyle w:val="TableGrid"/>
        <w:tblW w:type="auto" w:w="0"/>
        <w:tblLook w:firstColumn="1" w:firstRow="1" w:lastColumn="0" w:lastRow="0" w:noHBand="0" w:noVBand="1" w:val="04A0"/>
      </w:tblPr>
      <w:tblGrid>
        <w:gridCol w:w="10086"/>
      </w:tblGrid>
      <w:tr>
        <w:tc>
          <w:tcPr>
            <w:tcW w:type="dxa" w:w="10086"/>
            <w:shd w:val="clear" w:color="auto" w:fill="EAF2F8"/>
          </w:tcPr>
          <w:p>
            <w:pPr>
              <w:keepNext/>
              <w:spacing w:after="40"/>
            </w:pPr>
            <w:r/>
            <w:r>
              <w:rPr>
                <w:b/>
                <w:sz w:val="21"/>
              </w:rPr>
              <w:t>In one line.</w:t>
            </w:r>
            <w:r>
              <w:rPr>
                <w:sz w:val="21"/>
              </w:rPr>
              <w:t xml:space="preserve"> How the parts were joined into one reproducible system, and what broke along the way.</w:t>
            </w:r>
          </w:p>
        </w:tc>
      </w:tr>
    </w:tbl>
    <w:p>
      <w:pPr>
        <w:spacing w:after="0"/>
      </w:pPr>
    </w:p>
    <w:p>
      <w:pPr>
        <w:keepNext/>
        <w:spacing w:before="120" w:after="40"/>
      </w:pPr>
      <w:r>
        <w:rPr>
          <w:b/>
          <w:color w:val="1F2A44"/>
          <w:sz w:val="19"/>
        </w:rPr>
        <w:t>IN PLAIN WORDS</w:t>
      </w:r>
    </w:p>
    <w:p>
      <w:pPr>
        <w:spacing w:after="80"/>
      </w:pPr>
      <w:r>
        <w:rPr>
          <w:sz w:val="21"/>
        </w:rPr>
        <w:t>A single command (scripts/pipeline.py) runs 13 stages in order, from raw exports to final tests. Each stage declares the files it must produce, so a stage can be run alone, skipped or dry-run. The API, web app, engines and language layer share one data store, which is why the numbers on the farmer's screen are the same as the numbers in the thesis tables.</w:t>
      </w:r>
    </w:p>
    <w:p>
      <w:pPr>
        <w:spacing w:after="80"/>
      </w:pPr>
      <w:r>
        <w:rPr>
          <w:b/>
          <w:sz w:val="21"/>
        </w:rPr>
        <w:t>What is manual:</w:t>
      </w:r>
      <w:r>
        <w:rPr>
          <w:sz w:val="21"/>
        </w:rPr>
        <w:t xml:space="preserve"> refreshing the Agmarknet exports (we download them by hand) and verifying a public deployment (config files exist but we have not verified it live).</w:t>
      </w:r>
    </w:p>
    <w:p>
      <w:pPr>
        <w:keepNext/>
        <w:spacing w:before="120" w:after="40"/>
      </w:pPr>
      <w:r>
        <w:rPr>
          <w:b/>
          <w:color w:val="1F2A44"/>
          <w:sz w:val="19"/>
        </w:rPr>
        <w:t>GO DEEPER: THE TECHNICAL CONTENT, EXPLAINED</w:t>
      </w:r>
    </w:p>
    <w:p>
      <w:pPr>
        <w:pStyle w:val="ListBullet"/>
        <w:spacing w:after="60"/>
      </w:pPr>
      <w:r>
        <w:rPr>
          <w:b/>
          <w:sz w:val="21"/>
        </w:rPr>
        <w:t>The stages</w:t>
      </w:r>
      <w:r>
        <w:rPr>
          <w:sz w:val="21"/>
        </w:rPr>
        <w:t xml:space="preserve"> (from the diagram): world (data), forecasts, market choice, track record, transmission, shock, spillover, council, research evidence, results document, tests. Each has declared outputs, so the pipeline can tell whether a stage ran successfully.</w:t>
      </w:r>
    </w:p>
    <w:p>
      <w:pPr>
        <w:pStyle w:val="ListBullet"/>
        <w:spacing w:after="60"/>
      </w:pPr>
      <w:r>
        <w:rPr>
          <w:b/>
          <w:sz w:val="21"/>
        </w:rPr>
        <w:t>Pipeline switches:</w:t>
      </w:r>
      <w:r>
        <w:rPr>
          <w:sz w:val="21"/>
        </w:rPr>
        <w:t xml:space="preserve"> --list shows stages, --only runs one, --skip skips one, --dry-run prints what would run without running it.</w:t>
      </w:r>
    </w:p>
    <w:p>
      <w:pPr>
        <w:pStyle w:val="ListBullet"/>
        <w:spacing w:after="60"/>
      </w:pPr>
      <w:r>
        <w:rPr>
          <w:b/>
          <w:sz w:val="21"/>
        </w:rPr>
        <w:t>Endpoints:</w:t>
      </w:r>
      <w:r>
        <w:rPr>
          <w:sz w:val="21"/>
        </w:rPr>
        <w:t xml:space="preserve"> /v1/market-choice (plus 5 insight routes), /v1/farmer, /v1/trader, /v1/shock, /v1/council, /v1/spillover, /v1/intelligence, /v1/chat and /v1/notify (the digest). 'v1' means version 1 of the interface.</w:t>
      </w:r>
    </w:p>
    <w:p>
      <w:pPr>
        <w:pStyle w:val="ListBullet"/>
        <w:spacing w:after="60"/>
      </w:pPr>
      <w:r>
        <w:rPr>
          <w:b/>
          <w:sz w:val="21"/>
        </w:rPr>
        <w:t>Four defects that were found and fixed</w:t>
      </w:r>
      <w:r>
        <w:rPr>
          <w:sz w:val="21"/>
        </w:rPr>
        <w:t>, each with a lesson: (1) NumPy 2 broke pandas: libraries were pinned (NumPy 1.26.4) and a lock file added. (2) A fresh clone missed the observation store: the clone check was added. (3) Hard deletion emptied trader pages: replaced by soft delete and re-seeding. (4) Council weights summed above 1: constrained to at most 1.</w:t>
      </w:r>
    </w:p>
    <w:p>
      <w:pPr>
        <w:keepNext/>
        <w:spacing w:before="120" w:after="40"/>
      </w:pPr>
      <w:r>
        <w:rPr>
          <w:b/>
          <w:color w:val="1F2A44"/>
          <w:sz w:val="19"/>
        </w:rPr>
        <w:t>WHY WE DID IT THIS WAY</w:t>
      </w:r>
    </w:p>
    <w:p>
      <w:pPr>
        <w:pStyle w:val="ListBullet"/>
        <w:spacing w:after="60"/>
      </w:pPr>
      <w:r>
        <w:rPr>
          <w:sz w:val="21"/>
        </w:rPr>
        <w:t>One command and declared outputs mean anyone can regenerate every table in the thesis from raw data. This is the reproducibility the course asks for.</w:t>
      </w:r>
    </w:p>
    <w:p>
      <w:pPr>
        <w:keepNext/>
        <w:spacing w:before="120" w:after="40"/>
      </w:pPr>
      <w:r>
        <w:rPr>
          <w:b/>
          <w:color w:val="9C3B00"/>
          <w:sz w:val="19"/>
        </w:rPr>
        <w:t>LIMITS AND THINGS TO FIX (SAY THESE YOURSELF)</w:t>
      </w:r>
    </w:p>
    <w:p>
      <w:pPr>
        <w:pStyle w:val="ListBullet"/>
        <w:spacing w:after="60"/>
      </w:pPr>
      <w:r>
        <w:rPr>
          <w:sz w:val="21"/>
        </w:rPr>
        <w:t>Public deployment is not verified; the Telegram digest runs from a laptop.</w:t>
      </w:r>
    </w:p>
    <w:p>
      <w:pPr>
        <w:keepNext/>
        <w:spacing w:before="120" w:after="40"/>
      </w:pPr>
      <w:r>
        <w:rPr>
          <w:b/>
          <w:color w:val="1F2A44"/>
          <w:sz w:val="19"/>
        </w:rPr>
        <w:t>IF ASKED</w:t>
      </w:r>
    </w:p>
    <w:p>
      <w:pPr>
        <w:spacing w:after="20"/>
      </w:pPr>
      <w:r>
        <w:rPr>
          <w:b/>
          <w:sz w:val="21"/>
        </w:rPr>
        <w:t>Q. What does 'one data store' buy you?</w:t>
      </w:r>
    </w:p>
    <w:p>
      <w:pPr>
        <w:spacing w:after="100"/>
      </w:pPr>
      <w:r>
        <w:rPr>
          <w:sz w:val="21"/>
        </w:rPr>
        <w:t>No copies drifting apart. The app, API and thesis read the same stored results, so a number cannot differ between the screen and the report.</w:t>
      </w:r>
    </w:p>
    <w:p>
      <w:pPr>
        <w:pStyle w:val="Heading1"/>
        <w:spacing w:before="440"/>
      </w:pPr>
      <w:r>
        <w:t>Slide 10 · What you will see: five features and a digest</w:t>
      </w:r>
    </w:p>
    <w:tbl>
      <w:tblPr>
        <w:tblStyle w:val="TableGrid"/>
        <w:tblW w:type="auto" w:w="0"/>
        <w:tblLook w:firstColumn="1" w:firstRow="1" w:lastColumn="0" w:lastRow="0" w:noHBand="0" w:noVBand="1" w:val="04A0"/>
      </w:tblPr>
      <w:tblGrid>
        <w:gridCol w:w="10086"/>
      </w:tblGrid>
      <w:tr>
        <w:tc>
          <w:tcPr>
            <w:tcW w:type="dxa" w:w="10086"/>
            <w:shd w:val="clear" w:color="auto" w:fill="EAF2F8"/>
          </w:tcPr>
          <w:p>
            <w:pPr>
              <w:keepNext/>
              <w:spacing w:after="40"/>
            </w:pPr>
            <w:r/>
            <w:r>
              <w:rPr>
                <w:b/>
                <w:sz w:val="21"/>
              </w:rPr>
              <w:t>In one line.</w:t>
            </w:r>
            <w:r>
              <w:rPr>
                <w:sz w:val="21"/>
              </w:rPr>
              <w:t xml:space="preserve"> A map of the demo: six items, each tied to a screen and an address.</w:t>
            </w:r>
          </w:p>
        </w:tc>
      </w:tr>
    </w:tbl>
    <w:p>
      <w:pPr>
        <w:spacing w:after="0"/>
      </w:pPr>
    </w:p>
    <w:p>
      <w:pPr>
        <w:keepNext/>
        <w:spacing w:before="120" w:after="40"/>
      </w:pPr>
      <w:r>
        <w:rPr>
          <w:b/>
          <w:color w:val="1F2A44"/>
          <w:sz w:val="19"/>
        </w:rPr>
        <w:t>IN PLAIN WORDS</w:t>
      </w:r>
    </w:p>
    <w:p>
      <w:pPr>
        <w:spacing w:after="80"/>
      </w:pPr>
      <w:r>
        <w:rPr>
          <w:sz w:val="21"/>
        </w:rPr>
        <w:t>This slide is the contents page of the demo. Each item is a screen in the farmer app or the trader desk, plus the Telegram bot. It tells the audience what to look for so that the next two slides (the run-of-show) make sense.</w:t>
      </w:r>
    </w:p>
    <w:p>
      <w:pPr>
        <w:keepNext/>
        <w:spacing w:before="120" w:after="40"/>
      </w:pPr>
      <w:r>
        <w:rPr>
          <w:b/>
          <w:color w:val="1F2A44"/>
          <w:sz w:val="19"/>
        </w:rPr>
        <w:t>GO DEEPER: THE TECHNICAL CONTENT, EXPLAINED</w:t>
      </w:r>
    </w:p>
    <w:p>
      <w:pPr>
        <w:pStyle w:val="ListBullet"/>
        <w:spacing w:after="60"/>
      </w:pPr>
      <w:r>
        <w:rPr>
          <w:b/>
          <w:sz w:val="21"/>
        </w:rPr>
        <w:t>1 Why this mandi</w:t>
      </w:r>
      <w:r>
        <w:rPr>
          <w:sz w:val="21"/>
        </w:rPr>
        <w:t xml:space="preserve"> (route /breakdown): the arithmetic of the advice per quintal. </w:t>
      </w:r>
      <w:r>
        <w:rPr>
          <w:b/>
          <w:sz w:val="21"/>
        </w:rPr>
        <w:t>2 What if my costs differ</w:t>
      </w:r>
      <w:r>
        <w:rPr>
          <w:sz w:val="21"/>
        </w:rPr>
        <w:t xml:space="preserve"> (/simulate): sliders for transport, spoilage and longest wait. </w:t>
      </w:r>
      <w:r>
        <w:rPr>
          <w:b/>
          <w:sz w:val="21"/>
        </w:rPr>
        <w:t>3 Has this advice worked</w:t>
      </w:r>
      <w:r>
        <w:rPr>
          <w:sz w:val="21"/>
        </w:rPr>
        <w:t xml:space="preserve"> (/track-record): replay on 165 days it had not seen. </w:t>
      </w:r>
      <w:r>
        <w:rPr>
          <w:b/>
          <w:sz w:val="21"/>
        </w:rPr>
        <w:t>4 Silence tax</w:t>
      </w:r>
      <w:r>
        <w:rPr>
          <w:sz w:val="21"/>
        </w:rPr>
        <w:t xml:space="preserve"> (trader desk /reporting-value). </w:t>
      </w:r>
      <w:r>
        <w:rPr>
          <w:b/>
          <w:sz w:val="21"/>
        </w:rPr>
        <w:t>5 Crowd simulator</w:t>
      </w:r>
      <w:r>
        <w:rPr>
          <w:sz w:val="21"/>
        </w:rPr>
        <w:t xml:space="preserve"> (trader desk /crowd). </w:t>
      </w:r>
      <w:r>
        <w:rPr>
          <w:b/>
          <w:sz w:val="21"/>
        </w:rPr>
        <w:t>6 Daily digest</w:t>
      </w:r>
      <w:r>
        <w:rPr>
          <w:sz w:val="21"/>
        </w:rPr>
        <w:t xml:space="preserve"> (Telegram, /v1/notify).</w:t>
      </w:r>
    </w:p>
    <w:p>
      <w:pPr>
        <w:pStyle w:val="ListBullet"/>
        <w:spacing w:after="60"/>
      </w:pPr>
      <w:r>
        <w:rPr>
          <w:sz w:val="21"/>
        </w:rPr>
        <w:t>The first three are farmer-facing; the next two are trader-facing; the digest is the delivery channel for the farmer.</w:t>
      </w:r>
    </w:p>
    <w:p>
      <w:pPr>
        <w:keepNext/>
        <w:spacing w:before="120" w:after="40"/>
      </w:pPr>
      <w:r>
        <w:rPr>
          <w:b/>
          <w:color w:val="1F2A44"/>
          <w:sz w:val="19"/>
        </w:rPr>
        <w:t>IF ASKED</w:t>
      </w:r>
    </w:p>
    <w:p>
      <w:pPr>
        <w:spacing w:after="20"/>
      </w:pPr>
      <w:r>
        <w:rPr>
          <w:b/>
          <w:sz w:val="21"/>
        </w:rPr>
        <w:t>Q. Why are features 4 and 5 on the trader desk and not on the farmer app?</w:t>
      </w:r>
    </w:p>
    <w:p>
      <w:pPr>
        <w:spacing w:after="100"/>
      </w:pPr>
      <w:r>
        <w:rPr>
          <w:sz w:val="21"/>
        </w:rPr>
        <w:t>Silence tax and the crowd effect are about the market as a whole and are most useful to someone who handles volumes or advises groups. The farmer sees their results through the advice itself.</w:t>
      </w:r>
    </w:p>
    <w:p>
      <w:pPr>
        <w:pStyle w:val="Heading1"/>
        <w:spacing w:before="440"/>
      </w:pPr>
      <w:r>
        <w:t>Slide 11 · Live demonstration (1/2): farmer tool</w:t>
      </w:r>
    </w:p>
    <w:tbl>
      <w:tblPr>
        <w:tblStyle w:val="TableGrid"/>
        <w:tblW w:type="auto" w:w="0"/>
        <w:tblLook w:firstColumn="1" w:firstRow="1" w:lastColumn="0" w:lastRow="0" w:noHBand="0" w:noVBand="1" w:val="04A0"/>
      </w:tblPr>
      <w:tblGrid>
        <w:gridCol w:w="10086"/>
      </w:tblGrid>
      <w:tr>
        <w:tc>
          <w:tcPr>
            <w:tcW w:type="dxa" w:w="10086"/>
            <w:shd w:val="clear" w:color="auto" w:fill="EAF2F8"/>
          </w:tcPr>
          <w:p>
            <w:pPr>
              <w:keepNext/>
              <w:spacing w:after="40"/>
            </w:pPr>
            <w:r/>
            <w:r>
              <w:rPr>
                <w:b/>
                <w:sz w:val="21"/>
              </w:rPr>
              <w:t>In one line.</w:t>
            </w:r>
            <w:r>
              <w:rPr>
                <w:sz w:val="21"/>
              </w:rPr>
              <w:t xml:space="preserve"> Six steps that show the advice, its arithmetic, its sensitivity, its track record and the language switch.</w:t>
            </w:r>
          </w:p>
        </w:tc>
      </w:tr>
    </w:tbl>
    <w:p>
      <w:pPr>
        <w:spacing w:after="0"/>
      </w:pPr>
    </w:p>
    <w:p>
      <w:pPr>
        <w:keepNext/>
        <w:spacing w:before="120" w:after="40"/>
      </w:pPr>
      <w:r>
        <w:rPr>
          <w:b/>
          <w:color w:val="1F2A44"/>
          <w:sz w:val="19"/>
        </w:rPr>
        <w:t>IN PLAIN WORDS</w:t>
      </w:r>
    </w:p>
    <w:p>
      <w:pPr>
        <w:spacing w:after="80"/>
      </w:pPr>
      <w:r>
        <w:rPr>
          <w:sz w:val="21"/>
        </w:rPr>
        <w:t>The demo follows one farmer: a tomato grower in Kolar with 10 quintals and a small truck (tempo). We ask the system where and when to sell, then ask it to prove itself in four ways.</w:t>
      </w:r>
    </w:p>
    <w:p>
      <w:pPr>
        <w:keepNext/>
        <w:spacing w:before="120" w:after="40"/>
      </w:pPr>
      <w:r>
        <w:rPr>
          <w:b/>
          <w:color w:val="1F2A44"/>
          <w:sz w:val="19"/>
        </w:rPr>
        <w:t>GO DEEPER: THE TECHNICAL CONTENT, EXPLAINED</w:t>
      </w:r>
    </w:p>
    <w:p>
      <w:pPr>
        <w:pStyle w:val="ListBullet"/>
        <w:spacing w:after="60"/>
      </w:pPr>
      <w:r>
        <w:rPr>
          <w:b/>
          <w:sz w:val="21"/>
        </w:rPr>
        <w:t>A1. Best Place and Day to Sell.</w:t>
      </w:r>
      <w:r>
        <w:rPr>
          <w:sz w:val="21"/>
        </w:rPr>
        <w:t xml:space="preserve"> Result: Ramanagara, Wednesday 28 October, 103 km away. Expected net Rs 1,824 per quintal. The </w:t>
      </w:r>
      <w:r>
        <w:rPr>
          <w:b/>
          <w:sz w:val="21"/>
        </w:rPr>
        <w:t>floor</w:t>
      </w:r>
      <w:r>
        <w:rPr>
          <w:sz w:val="21"/>
        </w:rPr>
        <w:t xml:space="preserve"> is Rs 1,316: the amount the farmer can count on about 9 days out of 10. It is Rs 592 above what selling at the nearest mandi (Kolar) would net. Note the farmer is told to go to a mandi 103 km away rather than the nearest one, and the next steps explain why that is worth it.</w:t>
      </w:r>
    </w:p>
    <w:p>
      <w:pPr>
        <w:pStyle w:val="ListBullet"/>
        <w:spacing w:after="60"/>
      </w:pPr>
      <w:r>
        <w:rPr>
          <w:b/>
          <w:sz w:val="21"/>
        </w:rPr>
        <w:t>A2. Why this mandi.</w:t>
      </w:r>
      <w:r>
        <w:rPr>
          <w:sz w:val="21"/>
        </w:rPr>
        <w:t xml:space="preserve"> 2,081 - 83 - 60 - 94 - 20 = 1,824. Read left to right: expected price Rs 2,081; market fee Rs 83 (4 percent); spoilage Rs 60 (one day of waiting at 3 percent on what is left after the fee); transport Rs 94 for 103 km in a tempo; handling Rs 20. The nearest mandi (Kolar) nets only Rs 1,233: its expected price is about Rs 1,305, fee Rs 52, no wait, no transport, handling Rs 20. The extra Rs 776 of price at Ramanagara beats the extra Rs 94 transport and Rs 60 spoilage by a wide margin.</w:t>
      </w:r>
    </w:p>
    <w:p>
      <w:pPr>
        <w:pStyle w:val="ListBullet"/>
        <w:spacing w:after="60"/>
      </w:pPr>
      <w:r>
        <w:rPr>
          <w:b/>
          <w:sz w:val="21"/>
        </w:rPr>
        <w:t>A3. What if transport is Rs 3.00 per quintal-km.</w:t>
      </w:r>
      <w:r>
        <w:rPr>
          <w:sz w:val="21"/>
        </w:rPr>
        <w:t xml:space="preserve"> The normal tempo rate is about Rs 0.70 per quintal-km (worked back from the Rs 94 transport for 103 km); Rs 3.00 is more than four times that. At Rs 3.00 the transport for 103 km becomes about Rs 400 per quintal (3.0 x 1.3 x 103), so net falls to Rs 1,515, </w:t>
      </w:r>
      <w:r>
        <w:rPr>
          <w:b/>
          <w:sz w:val="21"/>
        </w:rPr>
        <w:t>but the advice stays the same</w:t>
      </w:r>
      <w:r>
        <w:rPr>
          <w:sz w:val="21"/>
        </w:rPr>
        <w:t>. Message: the advice is robust to the truck.</w:t>
      </w:r>
    </w:p>
    <w:p>
      <w:pPr>
        <w:pStyle w:val="ListBullet"/>
        <w:spacing w:after="60"/>
      </w:pPr>
      <w:r>
        <w:rPr>
          <w:b/>
          <w:sz w:val="21"/>
        </w:rPr>
        <w:t>A4. What if spoilage is 5 percent a day.</w:t>
      </w:r>
      <w:r>
        <w:rPr>
          <w:sz w:val="21"/>
        </w:rPr>
        <w:t xml:space="preserve"> Waiting a day now costs so much that the advice flips: go to Ramanagara </w:t>
      </w:r>
      <w:r>
        <w:rPr>
          <w:b/>
          <w:sz w:val="21"/>
        </w:rPr>
        <w:t>today</w:t>
      </w:r>
      <w:r>
        <w:rPr>
          <w:sz w:val="21"/>
        </w:rPr>
        <w:t xml:space="preserve"> (no wait), net Rs 1,789. Message: the advice is sensitive to how quickly the crop spoils. The what-if panel shows exactly where it flips (the break-even).</w:t>
      </w:r>
    </w:p>
    <w:p>
      <w:pPr>
        <w:pStyle w:val="ListBullet"/>
        <w:spacing w:after="60"/>
      </w:pPr>
      <w:r>
        <w:rPr>
          <w:b/>
          <w:sz w:val="21"/>
        </w:rPr>
        <w:t>A5. Has this advice worked.</w:t>
      </w:r>
      <w:r>
        <w:rPr>
          <w:sz w:val="21"/>
        </w:rPr>
        <w:t xml:space="preserve"> Replay on days the advice had not seen: better than the nearest mandi on 93 percent of days; the floor held on 84 percent of days against an aim of 90. We say this openly: it is slightly below the aim.</w:t>
      </w:r>
    </w:p>
    <w:p>
      <w:pPr>
        <w:pStyle w:val="ListBullet"/>
        <w:spacing w:after="60"/>
      </w:pPr>
      <w:r>
        <w:rPr>
          <w:b/>
          <w:sz w:val="21"/>
        </w:rPr>
        <w:t>A6. Language switch</w:t>
      </w:r>
      <w:r>
        <w:rPr>
          <w:sz w:val="21"/>
        </w:rPr>
        <w:t xml:space="preserve"> to Kannada and back: every panel switches, which proves the three-language support is real and not just labels.</w:t>
      </w:r>
    </w:p>
    <w:p>
      <w:pPr>
        <w:keepNext/>
        <w:spacing w:before="120" w:after="40"/>
      </w:pPr>
      <w:r>
        <w:rPr>
          <w:b/>
          <w:color w:val="1F2A44"/>
          <w:sz w:val="19"/>
        </w:rPr>
        <w:t>THE NUMBERS ON THIS SLIDE AND WHAT EACH ONE MEANS</w:t>
      </w:r>
    </w:p>
    <w:tbl>
      <w:tblPr>
        <w:tblStyle w:val="TableGrid"/>
        <w:tblW w:type="auto" w:w="0"/>
        <w:jc w:val="center"/>
        <w:tblLayout w:type="fixed"/>
        <w:tblLook w:firstColumn="1" w:firstRow="1" w:lastColumn="0" w:lastRow="0" w:noHBand="0" w:noVBand="1" w:val="04A0"/>
      </w:tblPr>
      <w:tblGrid>
        <w:gridCol w:w="2948"/>
        <w:gridCol w:w="6690"/>
      </w:tblGrid>
      <w:tr>
        <w:tc>
          <w:tcPr>
            <w:tcW w:type="dxa" w:w="2948"/>
            <w:shd w:val="clear" w:color="auto" w:fill="1F4E79"/>
          </w:tcPr>
          <w:p>
            <w:pPr>
              <w:spacing w:after="20"/>
            </w:pPr>
            <w:r>
              <w:rPr>
                <w:b/>
                <w:color w:val="FFFFFF"/>
              </w:rPr>
            </w:r>
            <w:r>
              <w:rPr>
                <w:b/>
                <w:color w:val="FFFFFF"/>
                <w:sz w:val="19"/>
              </w:rPr>
              <w:t>Number</w:t>
            </w:r>
          </w:p>
        </w:tc>
        <w:tc>
          <w:tcPr>
            <w:tcW w:type="dxa" w:w="6690"/>
            <w:shd w:val="clear" w:color="auto" w:fill="1F4E79"/>
          </w:tcPr>
          <w:p>
            <w:pPr>
              <w:spacing w:after="20"/>
            </w:pPr>
            <w:r>
              <w:rPr>
                <w:b/>
                <w:color w:val="FFFFFF"/>
              </w:rPr>
            </w:r>
            <w:r>
              <w:rPr>
                <w:b/>
                <w:color w:val="FFFFFF"/>
                <w:sz w:val="19"/>
              </w:rPr>
              <w:t>What it means</w:t>
            </w:r>
          </w:p>
        </w:tc>
      </w:tr>
      <w:tr>
        <w:tc>
          <w:tcPr>
            <w:tcW w:type="dxa" w:w="2948"/>
          </w:tcPr>
          <w:p>
            <w:pPr>
              <w:spacing w:after="20"/>
            </w:pPr>
            <w:r/>
            <w:r>
              <w:rPr>
                <w:sz w:val="19"/>
              </w:rPr>
              <w:t>Rs 1,824 / Rs 1,316 / Rs 592</w:t>
            </w:r>
          </w:p>
        </w:tc>
        <w:tc>
          <w:tcPr>
            <w:tcW w:type="dxa" w:w="6690"/>
          </w:tcPr>
          <w:p>
            <w:pPr>
              <w:spacing w:after="20"/>
            </w:pPr>
            <w:r/>
            <w:r>
              <w:rPr>
                <w:sz w:val="19"/>
              </w:rPr>
              <w:t>expected net, floor, and gain over nearest mandi.</w:t>
            </w:r>
          </w:p>
        </w:tc>
      </w:tr>
      <w:tr>
        <w:tc>
          <w:tcPr>
            <w:tcW w:type="dxa" w:w="2948"/>
            <w:shd w:val="clear" w:color="auto" w:fill="EEF4F9"/>
          </w:tcPr>
          <w:p>
            <w:pPr>
              <w:spacing w:after="20"/>
            </w:pPr>
            <w:r/>
            <w:r>
              <w:rPr>
                <w:sz w:val="19"/>
              </w:rPr>
              <w:t>Rs 2,081 - 83 - 60 - 94 - 20</w:t>
            </w:r>
          </w:p>
        </w:tc>
        <w:tc>
          <w:tcPr>
            <w:tcW w:type="dxa" w:w="6690"/>
            <w:shd w:val="clear" w:color="auto" w:fill="EEF4F9"/>
          </w:tcPr>
          <w:p>
            <w:pPr>
              <w:spacing w:after="20"/>
            </w:pPr>
            <w:r/>
            <w:r>
              <w:rPr>
                <w:sz w:val="19"/>
              </w:rPr>
              <w:t>price, fee, spoilage, transport, handling.</w:t>
            </w:r>
          </w:p>
        </w:tc>
      </w:tr>
      <w:tr>
        <w:tc>
          <w:tcPr>
            <w:tcW w:type="dxa" w:w="2948"/>
          </w:tcPr>
          <w:p>
            <w:pPr>
              <w:spacing w:after="20"/>
            </w:pPr>
            <w:r/>
            <w:r>
              <w:rPr>
                <w:sz w:val="19"/>
              </w:rPr>
              <w:t>Rs 3.00</w:t>
            </w:r>
          </w:p>
        </w:tc>
        <w:tc>
          <w:tcPr>
            <w:tcW w:type="dxa" w:w="6690"/>
          </w:tcPr>
          <w:p>
            <w:pPr>
              <w:spacing w:after="20"/>
            </w:pPr>
            <w:r/>
            <w:r>
              <w:rPr>
                <w:sz w:val="19"/>
              </w:rPr>
              <w:t>stress value for transport; advice unchanged, net Rs 1,515.</w:t>
            </w:r>
          </w:p>
        </w:tc>
      </w:tr>
      <w:tr>
        <w:tc>
          <w:tcPr>
            <w:tcW w:type="dxa" w:w="2948"/>
            <w:shd w:val="clear" w:color="auto" w:fill="EEF4F9"/>
          </w:tcPr>
          <w:p>
            <w:pPr>
              <w:spacing w:after="20"/>
            </w:pPr>
            <w:r/>
            <w:r>
              <w:rPr>
                <w:sz w:val="19"/>
              </w:rPr>
              <w:t>5 percent spoilage</w:t>
            </w:r>
          </w:p>
        </w:tc>
        <w:tc>
          <w:tcPr>
            <w:tcW w:type="dxa" w:w="6690"/>
            <w:shd w:val="clear" w:color="auto" w:fill="EEF4F9"/>
          </w:tcPr>
          <w:p>
            <w:pPr>
              <w:spacing w:after="20"/>
            </w:pPr>
            <w:r/>
            <w:r>
              <w:rPr>
                <w:sz w:val="19"/>
              </w:rPr>
              <w:t>makes the advice flip to selling today at Rs 1,789.</w:t>
            </w:r>
          </w:p>
        </w:tc>
      </w:tr>
      <w:tr>
        <w:tc>
          <w:tcPr>
            <w:tcW w:type="dxa" w:w="2948"/>
          </w:tcPr>
          <w:p>
            <w:pPr>
              <w:spacing w:after="20"/>
            </w:pPr>
            <w:r/>
            <w:r>
              <w:rPr>
                <w:sz w:val="19"/>
              </w:rPr>
              <w:t>93 percent / 84 percent</w:t>
            </w:r>
          </w:p>
        </w:tc>
        <w:tc>
          <w:tcPr>
            <w:tcW w:type="dxa" w:w="6690"/>
          </w:tcPr>
          <w:p>
            <w:pPr>
              <w:spacing w:after="20"/>
            </w:pPr>
            <w:r/>
            <w:r>
              <w:rPr>
                <w:sz w:val="19"/>
              </w:rPr>
              <w:t>better than nearest on 93 percent of replayed days; floor held 84 percent.</w:t>
            </w:r>
          </w:p>
        </w:tc>
      </w:tr>
    </w:tbl>
    <w:p>
      <w:pPr>
        <w:spacing w:after="40"/>
      </w:pPr>
    </w:p>
    <w:p>
      <w:pPr>
        <w:keepNext/>
        <w:spacing w:before="120" w:after="40"/>
      </w:pPr>
      <w:r>
        <w:rPr>
          <w:b/>
          <w:color w:val="9C3B00"/>
          <w:sz w:val="19"/>
        </w:rPr>
        <w:t>LIMITS AND THINGS TO FIX (SAY THESE YOURSELF)</w:t>
      </w:r>
    </w:p>
    <w:p>
      <w:pPr>
        <w:pStyle w:val="ListBullet"/>
        <w:spacing w:after="60"/>
      </w:pPr>
      <w:r>
        <w:rPr>
          <w:sz w:val="21"/>
        </w:rPr>
        <w:t>Figures are from the data loaded on 29 October 2026 (prices to 26 October). If the app is run with fresher data the numbers will differ; say so if asked.</w:t>
      </w:r>
    </w:p>
    <w:p>
      <w:pPr>
        <w:keepNext/>
        <w:spacing w:before="120" w:after="40"/>
      </w:pPr>
      <w:r>
        <w:rPr>
          <w:b/>
          <w:color w:val="1F2A44"/>
          <w:sz w:val="19"/>
        </w:rPr>
        <w:t>IF ASKED</w:t>
      </w:r>
    </w:p>
    <w:p>
      <w:pPr>
        <w:spacing w:after="20"/>
      </w:pPr>
      <w:r>
        <w:rPr>
          <w:b/>
          <w:sz w:val="21"/>
        </w:rPr>
        <w:t>Q. Is the demo live or recorded?</w:t>
      </w:r>
    </w:p>
    <w:p>
      <w:pPr>
        <w:spacing w:after="100"/>
      </w:pPr>
      <w:r>
        <w:rPr>
          <w:sz w:val="21"/>
        </w:rPr>
        <w:t>Live from the repository. If the network fails, the digest builder has an offline dry-run mode and every screen is also shown as a screenshot on the results slides.</w:t>
      </w:r>
    </w:p>
    <w:p>
      <w:pPr>
        <w:spacing w:after="20"/>
      </w:pPr>
      <w:r>
        <w:rPr>
          <w:b/>
          <w:sz w:val="21"/>
        </w:rPr>
        <w:t>Q. Why is the floor Rs 508 below the expected value?</w:t>
      </w:r>
    </w:p>
    <w:p>
      <w:pPr>
        <w:spacing w:after="100"/>
      </w:pPr>
      <w:r>
        <w:rPr>
          <w:sz w:val="21"/>
        </w:rPr>
        <w:t>Rs 1,824 minus Rs 1,316 is Rs 508. That is the margin learned from past errors so that actual revenue falls below it only about once in ten.</w:t>
      </w:r>
    </w:p>
    <w:p>
      <w:pPr>
        <w:pStyle w:val="Heading1"/>
        <w:spacing w:before="440"/>
      </w:pPr>
      <w:r>
        <w:t>Slide 12 · Live demonstration (2/2): trader desk and Telegram</w:t>
      </w:r>
    </w:p>
    <w:tbl>
      <w:tblPr>
        <w:tblStyle w:val="TableGrid"/>
        <w:tblW w:type="auto" w:w="0"/>
        <w:tblLook w:firstColumn="1" w:firstRow="1" w:lastColumn="0" w:lastRow="0" w:noHBand="0" w:noVBand="1" w:val="04A0"/>
      </w:tblPr>
      <w:tblGrid>
        <w:gridCol w:w="10086"/>
      </w:tblGrid>
      <w:tr>
        <w:tc>
          <w:tcPr>
            <w:tcW w:type="dxa" w:w="10086"/>
            <w:shd w:val="clear" w:color="auto" w:fill="EAF2F8"/>
          </w:tcPr>
          <w:p>
            <w:pPr>
              <w:keepNext/>
              <w:spacing w:after="40"/>
            </w:pPr>
            <w:r/>
            <w:r>
              <w:rPr>
                <w:b/>
                <w:sz w:val="21"/>
              </w:rPr>
              <w:t>In one line.</w:t>
            </w:r>
            <w:r>
              <w:rPr>
                <w:sz w:val="21"/>
              </w:rPr>
              <w:t xml:space="preserve"> Silence tax, the crowd simulator, then the phone: a real message from the real bot.</w:t>
            </w:r>
          </w:p>
        </w:tc>
      </w:tr>
    </w:tbl>
    <w:p>
      <w:pPr>
        <w:spacing w:after="0"/>
      </w:pPr>
    </w:p>
    <w:p>
      <w:pPr>
        <w:keepNext/>
        <w:spacing w:before="120" w:after="40"/>
      </w:pPr>
      <w:r>
        <w:rPr>
          <w:b/>
          <w:color w:val="1F2A44"/>
          <w:sz w:val="19"/>
        </w:rPr>
        <w:t>IN PLAIN WORDS</w:t>
      </w:r>
    </w:p>
    <w:p>
      <w:pPr>
        <w:spacing w:after="80"/>
      </w:pPr>
      <w:r>
        <w:rPr>
          <w:sz w:val="21"/>
        </w:rPr>
        <w:t>The second half moves to the trader's view and then to the farmer's phone. The crowd simulator is the most surprising screen: the same advice that is best for one farmer is bad when 200 follow it.</w:t>
      </w:r>
    </w:p>
    <w:p>
      <w:pPr>
        <w:keepNext/>
        <w:spacing w:before="120" w:after="40"/>
      </w:pPr>
      <w:r>
        <w:rPr>
          <w:b/>
          <w:color w:val="1F2A44"/>
          <w:sz w:val="19"/>
        </w:rPr>
        <w:t>GO DEEPER: THE TECHNICAL CONTENT, EXPLAINED</w:t>
      </w:r>
    </w:p>
    <w:p>
      <w:pPr>
        <w:pStyle w:val="ListBullet"/>
        <w:spacing w:after="60"/>
      </w:pPr>
      <w:r>
        <w:rPr>
          <w:b/>
          <w:sz w:val="21"/>
        </w:rPr>
        <w:t>B1. Silence tax (tomato).</w:t>
      </w:r>
      <w:r>
        <w:rPr>
          <w:sz w:val="21"/>
        </w:rPr>
        <w:t xml:space="preserve"> Kanakapura costs Rs 313 per quintal (16.5 percent of its price) because it is often unexpectedly silent. Chikkaballapur is closed on Thursdays, so the app treats Thursday as a known closed day. Kolar shows Rs 0, but that does </w:t>
      </w:r>
      <w:r>
        <w:rPr>
          <w:b/>
          <w:sz w:val="21"/>
        </w:rPr>
        <w:t>not</w:t>
      </w:r>
      <w:r>
        <w:rPr>
          <w:sz w:val="21"/>
        </w:rPr>
        <w:t xml:space="preserve"> mean Kolar is reliable: its price is low enough that silence costs no money on price. This is why the screen shows surprise silence beside the tax.</w:t>
      </w:r>
    </w:p>
    <w:p>
      <w:pPr>
        <w:pStyle w:val="ListBullet"/>
        <w:spacing w:after="60"/>
      </w:pPr>
      <w:r>
        <w:rPr>
          <w:b/>
          <w:sz w:val="21"/>
        </w:rPr>
        <w:t>B2. Crowd simulator, 200 farmers x 10 quintals.</w:t>
      </w:r>
      <w:r>
        <w:rPr>
          <w:sz w:val="21"/>
        </w:rPr>
        <w:t xml:space="preserve"> A single farmer following the advice nets Rs 1,824. If all 200 follow it, the best yard sees 2,000 extra quintals when it usually receives about 68 a day; its price falls 32.5 percent and each farmer nets only Rs 1,194, which is even worse than everyone going to the nearest mandi (Rs 1,207). A coordinated split, where farmers are told different actions with stated probabilities, nets Rs 1,436, i.e. about Rs 241 per quintal more than everyone following the same advice, Rs 482,705 for the group.</w:t>
      </w:r>
    </w:p>
    <w:p>
      <w:pPr>
        <w:pStyle w:val="ListBullet"/>
        <w:spacing w:after="60"/>
      </w:pPr>
      <w:r>
        <w:rPr>
          <w:b/>
          <w:sz w:val="21"/>
        </w:rPr>
        <w:t>B3. Drag farmers to 1, and flexibility b to 0.</w:t>
      </w:r>
      <w:r>
        <w:rPr>
          <w:sz w:val="21"/>
        </w:rPr>
        <w:t xml:space="preserve"> With one farmer, or with no price response to arrivals (b = 0), all policies are equal. This shows the result depends on a stated assumption, which is the honest way to present a scenario.</w:t>
      </w:r>
    </w:p>
    <w:p>
      <w:pPr>
        <w:pStyle w:val="ListBullet"/>
        <w:spacing w:after="60"/>
      </w:pPr>
      <w:r>
        <w:rPr>
          <w:b/>
          <w:sz w:val="21"/>
        </w:rPr>
        <w:t>C1 to C3, Telegram.</w:t>
      </w:r>
      <w:r>
        <w:rPr>
          <w:sz w:val="21"/>
        </w:rPr>
        <w:t xml:space="preserve"> The bot @MandiAis_BOT answers /today with a dated digest: Ramanagara at Rs 1,824 with floor Rs 1,316 for tomato; potato gets prices only (limited evidence). Typing 'onion chintamani' returns that crop and place. Running send_daily_digest.py is the 7 am job: the phone buzzes and the log line shows 'sent'.</w:t>
      </w:r>
    </w:p>
    <w:p>
      <w:pPr>
        <w:pStyle w:val="ListBullet"/>
        <w:spacing w:after="60"/>
      </w:pPr>
      <w:r>
        <w:rPr>
          <w:b/>
          <w:sz w:val="21"/>
        </w:rPr>
        <w:t>D1. API docs (optional).</w:t>
      </w:r>
      <w:r>
        <w:rPr>
          <w:sz w:val="21"/>
        </w:rPr>
        <w:t xml:space="preserve"> The interactive documentation lists the five insight endpoints and the notify routes, showing the system is a proper service, not a notebook.</w:t>
      </w:r>
    </w:p>
    <w:p>
      <w:pPr>
        <w:keepNext/>
        <w:spacing w:before="120" w:after="40"/>
      </w:pPr>
      <w:r>
        <w:rPr>
          <w:b/>
          <w:color w:val="1F2A44"/>
          <w:sz w:val="19"/>
        </w:rPr>
        <w:t>WHY WE DID IT THIS WAY</w:t>
      </w:r>
    </w:p>
    <w:p>
      <w:pPr>
        <w:pStyle w:val="ListBullet"/>
        <w:spacing w:after="60"/>
      </w:pPr>
      <w:r>
        <w:rPr>
          <w:sz w:val="21"/>
        </w:rPr>
        <w:t>Showing the crowd result first with b at its estimated value and then at zero lets the audience see the assumption doing the work.</w:t>
      </w:r>
    </w:p>
    <w:p>
      <w:pPr>
        <w:keepNext/>
        <w:spacing w:before="120" w:after="40"/>
      </w:pPr>
      <w:r>
        <w:rPr>
          <w:b/>
          <w:color w:val="9C3B00"/>
          <w:sz w:val="19"/>
        </w:rPr>
        <w:t>LIMITS AND THINGS TO FIX (SAY THESE YOURSELF)</w:t>
      </w:r>
    </w:p>
    <w:p>
      <w:pPr>
        <w:pStyle w:val="ListBullet"/>
        <w:spacing w:after="60"/>
      </w:pPr>
      <w:r>
        <w:rPr>
          <w:sz w:val="21"/>
        </w:rPr>
        <w:t>The crowd result is a scenario, not a measurement. The Telegram demo runs from a laptop with data three days old; the message says so.</w:t>
      </w:r>
    </w:p>
    <w:p>
      <w:pPr>
        <w:keepNext/>
        <w:spacing w:before="120" w:after="40"/>
      </w:pPr>
      <w:r>
        <w:rPr>
          <w:b/>
          <w:color w:val="1F2A44"/>
          <w:sz w:val="19"/>
        </w:rPr>
        <w:t>IF ASKED</w:t>
      </w:r>
    </w:p>
    <w:p>
      <w:pPr>
        <w:spacing w:after="20"/>
      </w:pPr>
      <w:r>
        <w:rPr>
          <w:b/>
          <w:sz w:val="21"/>
        </w:rPr>
        <w:t>Q. Why would a farmer ever not follow the best advice?</w:t>
      </w:r>
    </w:p>
    <w:p>
      <w:pPr>
        <w:spacing w:after="100"/>
      </w:pPr>
      <w:r>
        <w:rPr>
          <w:sz w:val="21"/>
        </w:rPr>
        <w:t>They would, individually. The point is that advice given to many people needs coordination, otherwise it destroys its own value. Our coordinated split assigns different actions with stated probabilities.</w:t>
      </w:r>
    </w:p>
    <w:p>
      <w:pPr>
        <w:spacing w:after="20"/>
      </w:pPr>
      <w:r>
        <w:rPr>
          <w:b/>
          <w:sz w:val="21"/>
        </w:rPr>
        <w:t>Q. How do you know b = 0.115?</w:t>
      </w:r>
    </w:p>
    <w:p>
      <w:pPr>
        <w:spacing w:after="100"/>
      </w:pPr>
      <w:r>
        <w:rPr>
          <w:sz w:val="21"/>
        </w:rPr>
        <w:t>It is the within-mandi, within-month association of price with arrivals in the tomato data (standard error 0.023). It is a statistical association, not a proven cause, so we treat it as an adjustable scenario.</w:t>
      </w:r>
    </w:p>
    <w:p>
      <w:pPr>
        <w:pStyle w:val="Heading1"/>
        <w:spacing w:before="440"/>
      </w:pPr>
      <w:r>
        <w:t>Slide 13 · Tools, technology stack and code quality</w:t>
      </w:r>
    </w:p>
    <w:tbl>
      <w:tblPr>
        <w:tblStyle w:val="TableGrid"/>
        <w:tblW w:type="auto" w:w="0"/>
        <w:tblLook w:firstColumn="1" w:firstRow="1" w:lastColumn="0" w:lastRow="0" w:noHBand="0" w:noVBand="1" w:val="04A0"/>
      </w:tblPr>
      <w:tblGrid>
        <w:gridCol w:w="10086"/>
      </w:tblGrid>
      <w:tr>
        <w:tc>
          <w:tcPr>
            <w:tcW w:type="dxa" w:w="10086"/>
            <w:shd w:val="clear" w:color="auto" w:fill="EAF2F8"/>
          </w:tcPr>
          <w:p>
            <w:pPr>
              <w:keepNext/>
              <w:spacing w:after="40"/>
            </w:pPr>
            <w:r/>
            <w:r>
              <w:rPr>
                <w:b/>
                <w:sz w:val="21"/>
              </w:rPr>
              <w:t>In one line.</w:t>
            </w:r>
            <w:r>
              <w:rPr>
                <w:sz w:val="21"/>
              </w:rPr>
              <w:t xml:space="preserve"> What we built it with, why each tool, and how we know it works.</w:t>
            </w:r>
          </w:p>
        </w:tc>
      </w:tr>
    </w:tbl>
    <w:p>
      <w:pPr>
        <w:spacing w:after="0"/>
      </w:pPr>
    </w:p>
    <w:p>
      <w:pPr>
        <w:keepNext/>
        <w:spacing w:before="120" w:after="40"/>
      </w:pPr>
      <w:r>
        <w:rPr>
          <w:b/>
          <w:color w:val="1F2A44"/>
          <w:sz w:val="19"/>
        </w:rPr>
        <w:t>IN PLAIN WORDS</w:t>
      </w:r>
    </w:p>
    <w:p>
      <w:pPr>
        <w:spacing w:after="80"/>
      </w:pPr>
      <w:r>
        <w:rPr>
          <w:sz w:val="21"/>
        </w:rPr>
        <w:t>The stack is a standard modern one: Python for data and models, FastAPI for the service, Next.js for the web app, Telegram for messages. Every version is pinned, so the same code gives the same numbers on any machine.</w:t>
      </w:r>
    </w:p>
    <w:p>
      <w:pPr>
        <w:keepNext/>
        <w:spacing w:before="120" w:after="40"/>
      </w:pPr>
      <w:r>
        <w:rPr>
          <w:b/>
          <w:color w:val="1F2A44"/>
          <w:sz w:val="19"/>
        </w:rPr>
        <w:t>GO DEEPER: THE TECHNICAL CONTENT, EXPLAINED</w:t>
      </w:r>
    </w:p>
    <w:p>
      <w:pPr>
        <w:pStyle w:val="ListBullet"/>
        <w:spacing w:after="60"/>
      </w:pPr>
      <w:r>
        <w:rPr>
          <w:b/>
          <w:sz w:val="21"/>
        </w:rPr>
        <w:t>Data and statistics.</w:t>
      </w:r>
      <w:r>
        <w:rPr>
          <w:sz w:val="21"/>
        </w:rPr>
        <w:t xml:space="preserve"> NumPy and pandas hold the panel and do the arithmetic; SciPy and statsmodels supply statistical tests (for example Newey-West). The versions are pinned because NumPy 2 broke pandas once (risk R4).</w:t>
      </w:r>
    </w:p>
    <w:p>
      <w:pPr>
        <w:pStyle w:val="ListBullet"/>
        <w:spacing w:after="60"/>
      </w:pPr>
      <w:r>
        <w:rPr>
          <w:b/>
          <w:sz w:val="21"/>
        </w:rPr>
        <w:t>Learning.</w:t>
      </w:r>
      <w:r>
        <w:rPr>
          <w:sz w:val="21"/>
        </w:rPr>
        <w:t xml:space="preserve"> LightGBM and XGBoost are gradient-boosted decision trees, the strongest standard method for table-shaped data (reference 19 shows trees beat deep networks on typical tabular data). scikit-learn provides utilities and linear stacking. Optuna searches for good settings automatically (TPE, a smart trial-and-error method). PyTorch is used for the neural model in a separate research environment.</w:t>
      </w:r>
    </w:p>
    <w:p>
      <w:pPr>
        <w:pStyle w:val="ListBullet"/>
        <w:spacing w:after="60"/>
      </w:pPr>
      <w:r>
        <w:rPr>
          <w:b/>
          <w:sz w:val="21"/>
        </w:rPr>
        <w:t>Backend.</w:t>
      </w:r>
      <w:r>
        <w:rPr>
          <w:sz w:val="21"/>
        </w:rPr>
        <w:t xml:space="preserve"> FastAPI provides typed, validated web endpoints and automatically generated API documentation; Uvicorn runs it; Pydantic checks that requests and responses have the right shape, so a malformed request is rejected before it reaches a model.</w:t>
      </w:r>
    </w:p>
    <w:p>
      <w:pPr>
        <w:pStyle w:val="ListBullet"/>
        <w:spacing w:after="60"/>
      </w:pPr>
      <w:r>
        <w:rPr>
          <w:b/>
          <w:sz w:val="21"/>
        </w:rPr>
        <w:t>Frontend.</w:t>
      </w:r>
      <w:r>
        <w:rPr>
          <w:sz w:val="21"/>
        </w:rPr>
        <w:t xml:space="preserve"> Next.js with React and TypeScript renders pages on the server, so they load fast even on weak mobile connections. Tailwind handles styling.</w:t>
      </w:r>
    </w:p>
    <w:p>
      <w:pPr>
        <w:pStyle w:val="ListBullet"/>
        <w:spacing w:after="60"/>
      </w:pPr>
      <w:r>
        <w:rPr>
          <w:b/>
          <w:sz w:val="21"/>
        </w:rPr>
        <w:t>Language layer.</w:t>
      </w:r>
      <w:r>
        <w:rPr>
          <w:sz w:val="21"/>
        </w:rPr>
        <w:t xml:space="preserve"> gpt-oss-120b writes the explanations and a Qwen model judges them, both through Groq. The judge is from a different model family on purpose, so the writer does not grade its own work. A Claude provider can be plugged in optionally. If the service fails, a deterministic writer takes over.</w:t>
      </w:r>
    </w:p>
    <w:p>
      <w:pPr>
        <w:pStyle w:val="ListBullet"/>
        <w:spacing w:after="60"/>
      </w:pPr>
      <w:r>
        <w:rPr>
          <w:b/>
          <w:sz w:val="21"/>
        </w:rPr>
        <w:t>Quality.</w:t>
      </w:r>
      <w:r>
        <w:rPr>
          <w:sz w:val="21"/>
        </w:rPr>
        <w:t xml:space="preserve"> pytest and vitest run the tests; GitHub Actions runs them on every push; Docker and a Render file describe deployment (not verified live).</w:t>
      </w:r>
    </w:p>
    <w:p>
      <w:pPr>
        <w:pStyle w:val="ListBullet"/>
        <w:spacing w:after="60"/>
      </w:pPr>
      <w:r>
        <w:rPr>
          <w:b/>
          <w:sz w:val="21"/>
        </w:rPr>
        <w:t>Code-quality evidence.</w:t>
      </w:r>
      <w:r>
        <w:rPr>
          <w:sz w:val="21"/>
        </w:rPr>
        <w:t xml:space="preserve"> 69 Git commits; README; requirements.lock; docs for architecture and tool choices; CI workflow; 669 backend tests and 11 web tests; a 60-check smoke test that exercises every endpoint and page; a fresh-clone check that the project works from a clean copy.</w:t>
      </w:r>
    </w:p>
    <w:p>
      <w:pPr>
        <w:pStyle w:val="ListBullet"/>
        <w:spacing w:after="60"/>
      </w:pPr>
      <w:r>
        <w:rPr>
          <w:b/>
          <w:sz w:val="21"/>
        </w:rPr>
        <w:t>Reproducible.</w:t>
      </w:r>
      <w:r>
        <w:rPr>
          <w:sz w:val="21"/>
        </w:rPr>
        <w:t xml:space="preserve"> pipeline.py regenerates every artefact, and the thesis tables are generated from those artefacts, not typed.</w:t>
      </w:r>
    </w:p>
    <w:p>
      <w:pPr>
        <w:keepNext/>
        <w:spacing w:before="120" w:after="40"/>
      </w:pPr>
      <w:r>
        <w:rPr>
          <w:b/>
          <w:color w:val="1F2A44"/>
          <w:sz w:val="19"/>
        </w:rPr>
        <w:t>WHY WE DID IT THIS WAY</w:t>
      </w:r>
    </w:p>
    <w:p>
      <w:pPr>
        <w:pStyle w:val="ListBullet"/>
        <w:spacing w:after="60"/>
      </w:pPr>
      <w:r>
        <w:rPr>
          <w:sz w:val="21"/>
        </w:rPr>
        <w:t>Pinned versions plus one-command regeneration make the results repeatable; the smoke test and fresh-clone check catch the exact failures we hit (stale server code, missing store).</w:t>
      </w:r>
    </w:p>
    <w:p>
      <w:pPr>
        <w:keepNext/>
        <w:spacing w:before="120" w:after="40"/>
      </w:pPr>
      <w:r>
        <w:rPr>
          <w:b/>
          <w:color w:val="9C3B00"/>
          <w:sz w:val="19"/>
        </w:rPr>
        <w:t>LIMITS AND THINGS TO FIX (SAY THESE YOURSELF)</w:t>
      </w:r>
    </w:p>
    <w:p>
      <w:pPr>
        <w:pStyle w:val="ListBullet"/>
        <w:spacing w:after="60"/>
      </w:pPr>
      <w:r>
        <w:rPr>
          <w:sz w:val="21"/>
        </w:rPr>
        <w:t>Deployment is described by configuration files but not verified live.</w:t>
      </w:r>
    </w:p>
    <w:p>
      <w:pPr>
        <w:keepNext/>
        <w:spacing w:before="120" w:after="40"/>
      </w:pPr>
      <w:r>
        <w:rPr>
          <w:b/>
          <w:color w:val="1F2A44"/>
          <w:sz w:val="19"/>
        </w:rPr>
        <w:t>IF ASKED</w:t>
      </w:r>
    </w:p>
    <w:p>
      <w:pPr>
        <w:spacing w:after="20"/>
      </w:pPr>
      <w:r>
        <w:rPr>
          <w:b/>
          <w:sz w:val="21"/>
        </w:rPr>
        <w:t>Q. Why gradient boosting and not deep learning?</w:t>
      </w:r>
    </w:p>
    <w:p>
      <w:pPr>
        <w:spacing w:after="100"/>
      </w:pPr>
      <w:r>
        <w:rPr>
          <w:sz w:val="21"/>
        </w:rPr>
        <w:t>On table-shaped data of this size, trees usually win and are cheaper to train, run and explain. We tested a neural model too and it made equal decisions; we served the cheaper one.</w:t>
      </w:r>
    </w:p>
    <w:p>
      <w:pPr>
        <w:spacing w:after="20"/>
      </w:pPr>
      <w:r>
        <w:rPr>
          <w:b/>
          <w:sz w:val="21"/>
        </w:rPr>
        <w:t>Q. What does a smoke test do?</w:t>
      </w:r>
    </w:p>
    <w:p>
      <w:pPr>
        <w:spacing w:after="100"/>
      </w:pPr>
      <w:r>
        <w:rPr>
          <w:sz w:val="21"/>
        </w:rPr>
        <w:t>It starts the system and calls every endpoint and page once, so any broken route shows up immediately; 60 checks.</w:t>
      </w:r>
    </w:p>
    <w:p>
      <w:pPr>
        <w:pStyle w:val="Heading1"/>
        <w:spacing w:before="440"/>
      </w:pPr>
      <w:r>
        <w:t>Slide 14 · Experimental setup and evaluation metrics</w:t>
      </w:r>
    </w:p>
    <w:tbl>
      <w:tblPr>
        <w:tblStyle w:val="TableGrid"/>
        <w:tblW w:type="auto" w:w="0"/>
        <w:tblLook w:firstColumn="1" w:firstRow="1" w:lastColumn="0" w:lastRow="0" w:noHBand="0" w:noVBand="1" w:val="04A0"/>
      </w:tblPr>
      <w:tblGrid>
        <w:gridCol w:w="10086"/>
      </w:tblGrid>
      <w:tr>
        <w:tc>
          <w:tcPr>
            <w:tcW w:type="dxa" w:w="10086"/>
            <w:shd w:val="clear" w:color="auto" w:fill="EAF2F8"/>
          </w:tcPr>
          <w:p>
            <w:pPr>
              <w:keepNext/>
              <w:spacing w:after="40"/>
            </w:pPr>
            <w:r/>
            <w:r>
              <w:rPr>
                <w:b/>
                <w:sz w:val="21"/>
              </w:rPr>
              <w:t>In one line.</w:t>
            </w:r>
            <w:r>
              <w:rPr>
                <w:sz w:val="21"/>
              </w:rPr>
              <w:t xml:space="preserve"> How the experiments were run so that no test result can have seen the future, and how every claim is measured.</w:t>
            </w:r>
          </w:p>
        </w:tc>
      </w:tr>
    </w:tbl>
    <w:p>
      <w:pPr>
        <w:spacing w:after="0"/>
      </w:pPr>
    </w:p>
    <w:p>
      <w:pPr>
        <w:keepNext/>
        <w:spacing w:before="120" w:after="40"/>
      </w:pPr>
      <w:r>
        <w:rPr>
          <w:b/>
          <w:color w:val="1F2A44"/>
          <w:sz w:val="19"/>
        </w:rPr>
        <w:t>IN PLAIN WORDS</w:t>
      </w:r>
    </w:p>
    <w:p>
      <w:pPr>
        <w:spacing w:after="80"/>
      </w:pPr>
      <w:r>
        <w:rPr>
          <w:b/>
          <w:sz w:val="21"/>
        </w:rPr>
        <w:t>The rule: only the past may be used to predict the future.</w:t>
      </w:r>
      <w:r>
        <w:rPr>
          <w:sz w:val="21"/>
        </w:rPr>
        <w:t xml:space="preserve"> We cut the timeline into five test blocks from 2024 first half to October 2026. For each block, the model is trained only on days before it, then tested on that block. This is called walk-forward testing. It mimics real life, where you never have tomorrow's data.</w:t>
      </w:r>
    </w:p>
    <w:p>
      <w:pPr>
        <w:spacing w:after="80"/>
      </w:pPr>
      <w:r>
        <w:rPr>
          <w:b/>
          <w:sz w:val="21"/>
        </w:rPr>
        <w:t>Nested</w:t>
      </w:r>
      <w:r>
        <w:rPr>
          <w:sz w:val="21"/>
        </w:rPr>
        <w:t xml:space="preserve"> means that inside each training period we repeat the same trick to choose settings (such as tree depth) without ever touching the real test days. Settings are searched by Optuna: 20 trials for neural models, 25 for boosting, the same for every method so no method gets an unfair advantage.</w:t>
      </w:r>
    </w:p>
    <w:p>
      <w:pPr>
        <w:keepNext/>
        <w:spacing w:before="120" w:after="40"/>
      </w:pPr>
      <w:r>
        <w:rPr>
          <w:b/>
          <w:color w:val="1F2A44"/>
          <w:sz w:val="19"/>
        </w:rPr>
        <w:t>GO DEEPER: THE TECHNICAL CONTENT, EXPLAINED</w:t>
      </w:r>
    </w:p>
    <w:p>
      <w:pPr>
        <w:pStyle w:val="ListBullet"/>
        <w:spacing w:after="60"/>
      </w:pPr>
      <w:r>
        <w:rPr>
          <w:b/>
          <w:sz w:val="21"/>
        </w:rPr>
        <w:t>The K+2 day gap.</w:t>
      </w:r>
      <w:r>
        <w:rPr>
          <w:sz w:val="21"/>
        </w:rPr>
        <w:t xml:space="preserve"> A hold of up to 3 days means a decision on day t depends on prices up to day t+3, so a training example near the end of the training window would have a target that overlaps the first days of the test block. Leaving a gap of K+2 days before every validation or test block removes that overlap, so no four-day target is shared between training and test.</w:t>
      </w:r>
    </w:p>
    <w:p>
      <w:pPr>
        <w:pStyle w:val="ListBullet"/>
        <w:spacing w:after="60"/>
      </w:pPr>
      <w:r>
        <w:rPr>
          <w:b/>
          <w:sz w:val="21"/>
        </w:rPr>
        <w:t>Metrics, one by one.</w:t>
      </w:r>
      <w:r>
        <w:rPr>
          <w:sz w:val="21"/>
        </w:rPr>
        <w:t xml:space="preserve"> (1) Realised revenue: average net revenue per quintal actually received if you follow the method, over test days and five farmer origin points. (2) Regret: oracle revenue minus the method's revenue; lower is better. (3) Share of oracle gap closed: (method - nearest mandi) / (oracle - nearest mandi). For tomato: (2,156 - 1,600) / (2,570 - 1,600) = 0.57. (4) Silent-market trips: share of recommendations that sent the farmer to a mandi that was silent that day. (5) Floor violation: share of test days on which realised revenue fell below the stated floor, compared with the nominal level. (6) Forecast skill: improvement over the 'no change' forecast, in percent.</w:t>
      </w:r>
    </w:p>
    <w:p>
      <w:pPr>
        <w:pStyle w:val="ListBullet"/>
        <w:spacing w:after="60"/>
      </w:pPr>
      <w:r>
        <w:rPr>
          <w:b/>
          <w:sz w:val="21"/>
        </w:rPr>
        <w:t>Baselines (all retrained or recomputed on the same split).</w:t>
      </w:r>
      <w:r>
        <w:rPr>
          <w:sz w:val="21"/>
        </w:rPr>
        <w:t xml:space="preserve"> Random walk with transport costs (use yesterday's prices). LightGBM and XGBoost trained on observed prices (the standard predict-then-optimise approach). Nearest mandi, sell today (what many farmers do). Highest price yesterday (what a farmer reading the portal would do). Best seven-day mean. Farm gate. We also train LightGBM on realised outcomes so that we can separate a better label from a better learner.</w:t>
      </w:r>
    </w:p>
    <w:p>
      <w:pPr>
        <w:pStyle w:val="ListBullet"/>
        <w:spacing w:after="60"/>
      </w:pPr>
      <w:r>
        <w:rPr>
          <w:b/>
          <w:sz w:val="21"/>
        </w:rPr>
        <w:t>Inference tools in plain words.</w:t>
      </w:r>
      <w:r>
        <w:rPr>
          <w:sz w:val="21"/>
        </w:rPr>
        <w:t xml:space="preserve"> Moving-block bootstrap, block 14: to see how much a result could wobble by chance, we re-sample the test days in chunks of 14 consecutive days (not single days, because adjacent days are related), many times. Newey-West Diebold-Mariano test: a standard test of whether two methods differ in accuracy, corrected for the fact that errors on neighbouring days are related. Holm correction: when you run many comparisons, some look significant by luck; Holm tightens the threshold in a principled way across all pre-specified comparisons. Model confidence set: the list of methods that cannot be statistically separated from the best.</w:t>
      </w:r>
    </w:p>
    <w:p>
      <w:pPr>
        <w:pStyle w:val="ListBullet"/>
        <w:spacing w:after="60"/>
      </w:pPr>
      <w:r>
        <w:rPr>
          <w:b/>
          <w:sz w:val="21"/>
        </w:rPr>
        <w:t>Pre-specified</w:t>
      </w:r>
      <w:r>
        <w:rPr>
          <w:sz w:val="21"/>
        </w:rPr>
        <w:t xml:space="preserve"> means the model ladder (which models in which order), the 12 paired comparisons, the silence tests and the leakage protocol were written down before looking at tuned results. This stops us from picking the comparisons that happen to look good.</w:t>
      </w:r>
    </w:p>
    <w:p>
      <w:pPr>
        <w:pStyle w:val="ListBullet"/>
        <w:spacing w:after="60"/>
      </w:pPr>
      <w:r>
        <w:rPr>
          <w:b/>
          <w:sz w:val="21"/>
        </w:rPr>
        <w:t>The dataset table.</w:t>
      </w:r>
      <w:r>
        <w:rPr>
          <w:sz w:val="21"/>
        </w:rPr>
        <w:t xml:space="preserve"> Per crop: mandi-days (filled cells), number of mandis, 'eligible' mandis (at least 700 reported days), scored test days. Tomato 17,582 mandi-days, 14 mandis, 12 eligible, 963 test days; onion 5,343, 11, 4, 511; potato 5,000, 12, 3, 569; ginger 6,423, 10, 3, 776. Garlic 2,473 mandi-days, 7 mandis but only 1 eligible: refused.</w:t>
      </w:r>
    </w:p>
    <w:p>
      <w:pPr>
        <w:pStyle w:val="ListBullet"/>
        <w:spacing w:after="60"/>
      </w:pPr>
      <w:r>
        <w:rPr>
          <w:b/>
          <w:sz w:val="21"/>
        </w:rPr>
        <w:t>Hardware.</w:t>
      </w:r>
      <w:r>
        <w:rPr>
          <w:sz w:val="21"/>
        </w:rPr>
        <w:t xml:space="preserve"> Core i9-13900HX, 31.7 GB RAM, RTX 4060: an ordinary high-end laptop. Fixed random seeds are recorded.</w:t>
      </w:r>
    </w:p>
    <w:p>
      <w:pPr>
        <w:keepNext/>
        <w:spacing w:before="120" w:after="40"/>
      </w:pPr>
      <w:r>
        <w:rPr>
          <w:b/>
          <w:color w:val="1F2A44"/>
          <w:sz w:val="19"/>
        </w:rPr>
        <w:t>WHY WE DID IT THIS WAY</w:t>
      </w:r>
    </w:p>
    <w:p>
      <w:pPr>
        <w:pStyle w:val="ListBullet"/>
        <w:spacing w:after="60"/>
      </w:pPr>
      <w:r>
        <w:rPr>
          <w:sz w:val="21"/>
        </w:rPr>
        <w:t>Walk-forward with a gap, pre-specification and an equal tuning budget are what make the comparisons fair. Each is a defence against a specific way results can be inflated.</w:t>
      </w:r>
    </w:p>
    <w:p>
      <w:pPr>
        <w:keepNext/>
        <w:spacing w:before="120" w:after="40"/>
      </w:pPr>
      <w:r>
        <w:rPr>
          <w:b/>
          <w:color w:val="9C3B00"/>
          <w:sz w:val="19"/>
        </w:rPr>
        <w:t>LIMITS AND THINGS TO FIX (SAY THESE YOURSELF)</w:t>
      </w:r>
    </w:p>
    <w:p>
      <w:pPr>
        <w:pStyle w:val="ListBullet"/>
        <w:spacing w:after="60"/>
      </w:pPr>
      <w:r>
        <w:rPr>
          <w:sz w:val="21"/>
        </w:rPr>
        <w:t>Only 5.8 years of data and one region; a silent day is treated as no sale at a discounted fallback; offline only.</w:t>
      </w:r>
    </w:p>
    <w:p>
      <w:pPr>
        <w:keepNext/>
        <w:spacing w:before="120" w:after="40"/>
      </w:pPr>
      <w:r>
        <w:rPr>
          <w:b/>
          <w:color w:val="1F2A44"/>
          <w:sz w:val="19"/>
        </w:rPr>
        <w:t>IF ASKED</w:t>
      </w:r>
    </w:p>
    <w:p>
      <w:pPr>
        <w:spacing w:after="20"/>
      </w:pPr>
      <w:r>
        <w:rPr>
          <w:b/>
          <w:sz w:val="21"/>
        </w:rPr>
        <w:t>Q. What is 'oracle'?</w:t>
      </w:r>
    </w:p>
    <w:p>
      <w:pPr>
        <w:spacing w:after="100"/>
      </w:pPr>
      <w:r>
        <w:rPr>
          <w:sz w:val="21"/>
        </w:rPr>
        <w:t>A seller who knows the future prices and picks the best action each day. It is the unreachable ceiling that makes 'gap closed' interpretable.</w:t>
      </w:r>
    </w:p>
    <w:p>
      <w:pPr>
        <w:spacing w:after="20"/>
      </w:pPr>
      <w:r>
        <w:rPr>
          <w:b/>
          <w:sz w:val="21"/>
        </w:rPr>
        <w:t>Q. Why 12 comparisons, and what is Holm for?</w:t>
      </w:r>
    </w:p>
    <w:p>
      <w:pPr>
        <w:spacing w:after="100"/>
      </w:pPr>
      <w:r>
        <w:rPr>
          <w:sz w:val="21"/>
        </w:rPr>
        <w:t>Comparisons were fixed in advance. When you test many, a few will look significant by chance; Holm adjusts the p-values to account for that.</w:t>
      </w:r>
    </w:p>
    <w:p>
      <w:pPr>
        <w:spacing w:after="20"/>
      </w:pPr>
      <w:r>
        <w:rPr>
          <w:b/>
          <w:sz w:val="21"/>
        </w:rPr>
        <w:t>Q. Why 14-day blocks?</w:t>
      </w:r>
    </w:p>
    <w:p>
      <w:pPr>
        <w:spacing w:after="100"/>
      </w:pPr>
      <w:r>
        <w:rPr>
          <w:sz w:val="21"/>
        </w:rPr>
        <w:t>Prices on neighbouring days are strongly related; blocks of 14 days keep that relation intact when re-sampling, so the uncertainty is not understated.</w:t>
      </w:r>
    </w:p>
    <w:p>
      <w:pPr>
        <w:pStyle w:val="Heading1"/>
        <w:spacing w:before="440"/>
      </w:pPr>
      <w:r>
        <w:t>Slide 15 · Results and validation: decision quality</w:t>
      </w:r>
    </w:p>
    <w:tbl>
      <w:tblPr>
        <w:tblStyle w:val="TableGrid"/>
        <w:tblW w:type="auto" w:w="0"/>
        <w:tblLook w:firstColumn="1" w:firstRow="1" w:lastColumn="0" w:lastRow="0" w:noHBand="0" w:noVBand="1" w:val="04A0"/>
      </w:tblPr>
      <w:tblGrid>
        <w:gridCol w:w="10086"/>
      </w:tblGrid>
      <w:tr>
        <w:tc>
          <w:tcPr>
            <w:tcW w:type="dxa" w:w="10086"/>
            <w:shd w:val="clear" w:color="auto" w:fill="EAF2F8"/>
          </w:tcPr>
          <w:p>
            <w:pPr>
              <w:keepNext/>
              <w:spacing w:after="40"/>
            </w:pPr>
            <w:r/>
            <w:r>
              <w:rPr>
                <w:b/>
                <w:sz w:val="21"/>
              </w:rPr>
              <w:t>In one line.</w:t>
            </w:r>
            <w:r>
              <w:rPr>
                <w:sz w:val="21"/>
              </w:rPr>
              <w:t xml:space="preserve"> Models trained on what the farmer receives earn the most in every crop, and the reason is that they avoid silent mandis.</w:t>
            </w:r>
          </w:p>
        </w:tc>
      </w:tr>
    </w:tbl>
    <w:p>
      <w:pPr>
        <w:spacing w:after="0"/>
      </w:pPr>
    </w:p>
    <w:p>
      <w:pPr>
        <w:keepNext/>
        <w:spacing w:before="120" w:after="40"/>
      </w:pPr>
      <w:r>
        <w:rPr>
          <w:b/>
          <w:color w:val="1F2A44"/>
          <w:sz w:val="19"/>
        </w:rPr>
        <w:t>IN PLAIN WORDS</w:t>
      </w:r>
    </w:p>
    <w:p>
      <w:pPr>
        <w:spacing w:after="80"/>
      </w:pPr>
      <w:r>
        <w:rPr>
          <w:sz w:val="21"/>
        </w:rPr>
        <w:t>For tomato, over 963 test days: sending the farmer to the nearest mandi earns Rs 1,600 per quintal; our model trained on realised revenue earns Rs 2,156; the hindsight oracle earns Rs 2,570. So we capture most of the available improvement: Rs 556 more than nearest mandi.</w:t>
      </w:r>
    </w:p>
    <w:p>
      <w:pPr>
        <w:spacing w:after="80"/>
      </w:pPr>
      <w:r>
        <w:rPr>
          <w:b/>
          <w:sz w:val="21"/>
        </w:rPr>
        <w:t>Why does it win?</w:t>
      </w:r>
      <w:r>
        <w:rPr>
          <w:sz w:val="21"/>
        </w:rPr>
        <w:t xml:space="preserve"> Models trained on observed prices recommend a silent mandi 12 to 43 percent of the time, because on silent days there is no price row to learn from, so the model never learns that silence exists. Models trained on realised revenue learn it from the label (silent days carry the lower fallback revenue) and cut such trips to 5 to 21 percent.</w:t>
      </w:r>
    </w:p>
    <w:p>
      <w:pPr>
        <w:keepNext/>
        <w:spacing w:before="120" w:after="40"/>
      </w:pPr>
      <w:r>
        <w:rPr>
          <w:b/>
          <w:color w:val="1F2A44"/>
          <w:sz w:val="19"/>
        </w:rPr>
        <w:t>GO DEEPER: THE TECHNICAL CONTENT, EXPLAINED</w:t>
      </w:r>
    </w:p>
    <w:p>
      <w:pPr>
        <w:pStyle w:val="ListBullet"/>
        <w:spacing w:after="60"/>
      </w:pPr>
      <w:r>
        <w:rPr>
          <w:b/>
          <w:sz w:val="21"/>
        </w:rPr>
        <w:t>Reading the three big numbers.</w:t>
      </w:r>
      <w:r>
        <w:rPr>
          <w:sz w:val="21"/>
        </w:rPr>
        <w:t xml:space="preserve"> 'Rs 2,156: tomato, realised-label model (oracle 2,570)'; '+Rs 556 over nearest mandi'; 'Holm p &lt; 0.002: labels effect in all four crops' (the lowest-evidence crop, potato, has p = 0.002).</w:t>
      </w:r>
    </w:p>
    <w:p>
      <w:pPr>
        <w:pStyle w:val="ListBullet"/>
        <w:spacing w:after="60"/>
      </w:pPr>
      <w:r>
        <w:rPr>
          <w:b/>
          <w:sz w:val="21"/>
        </w:rPr>
        <w:t>Ordering seen in every crop.</w:t>
      </w:r>
      <w:r>
        <w:rPr>
          <w:sz w:val="21"/>
        </w:rPr>
        <w:t xml:space="preserve"> Nearest mandi worst; then highest price yesterday, the random walk and the boosted model on observed prices, which are close to each other; then the two models trained on realised outcomes (LightGBM and the neural SPO+ model) best. For tomato the highest price yesterday earns Rs 2,021.</w:t>
      </w:r>
    </w:p>
    <w:p>
      <w:pPr>
        <w:pStyle w:val="ListBullet"/>
        <w:spacing w:after="60"/>
      </w:pPr>
      <w:r>
        <w:rPr>
          <w:b/>
          <w:sz w:val="21"/>
        </w:rPr>
        <w:t>Mechanism.</w:t>
      </w:r>
      <w:r>
        <w:rPr>
          <w:sz w:val="21"/>
        </w:rPr>
        <w:t xml:space="preserve"> A model trained on the posted price sees only the days the mandi reported. Every row it learns from is an open mandi. It therefore overestimates the price at unreliable mandis and recommends them. Training on realised revenue, where silent days appear with their lower fallback value, teaches it to discount unreliable mandis. The slide's second line is this mechanism in one sentence.</w:t>
      </w:r>
    </w:p>
    <w:p>
      <w:pPr>
        <w:keepNext/>
        <w:spacing w:before="120" w:after="40"/>
      </w:pPr>
      <w:r>
        <w:rPr>
          <w:b/>
          <w:color w:val="1F2A44"/>
          <w:sz w:val="19"/>
        </w:rPr>
        <w:t>THE NUMBERS ON THIS SLIDE AND WHAT EACH ONE MEANS</w:t>
      </w:r>
    </w:p>
    <w:tbl>
      <w:tblPr>
        <w:tblStyle w:val="TableGrid"/>
        <w:tblW w:type="auto" w:w="0"/>
        <w:jc w:val="center"/>
        <w:tblLayout w:type="fixed"/>
        <w:tblLook w:firstColumn="1" w:firstRow="1" w:lastColumn="0" w:lastRow="0" w:noHBand="0" w:noVBand="1" w:val="04A0"/>
      </w:tblPr>
      <w:tblGrid>
        <w:gridCol w:w="2948"/>
        <w:gridCol w:w="6690"/>
      </w:tblGrid>
      <w:tr>
        <w:tc>
          <w:tcPr>
            <w:tcW w:type="dxa" w:w="2948"/>
            <w:shd w:val="clear" w:color="auto" w:fill="1F4E79"/>
          </w:tcPr>
          <w:p>
            <w:pPr>
              <w:spacing w:after="20"/>
            </w:pPr>
            <w:r>
              <w:rPr>
                <w:b/>
                <w:color w:val="FFFFFF"/>
              </w:rPr>
            </w:r>
            <w:r>
              <w:rPr>
                <w:b/>
                <w:color w:val="FFFFFF"/>
                <w:sz w:val="19"/>
              </w:rPr>
              <w:t>Number</w:t>
            </w:r>
          </w:p>
        </w:tc>
        <w:tc>
          <w:tcPr>
            <w:tcW w:type="dxa" w:w="6690"/>
            <w:shd w:val="clear" w:color="auto" w:fill="1F4E79"/>
          </w:tcPr>
          <w:p>
            <w:pPr>
              <w:spacing w:after="20"/>
            </w:pPr>
            <w:r>
              <w:rPr>
                <w:b/>
                <w:color w:val="FFFFFF"/>
              </w:rPr>
            </w:r>
            <w:r>
              <w:rPr>
                <w:b/>
                <w:color w:val="FFFFFF"/>
                <w:sz w:val="19"/>
              </w:rPr>
              <w:t>What it means</w:t>
            </w:r>
          </w:p>
        </w:tc>
      </w:tr>
      <w:tr>
        <w:tc>
          <w:tcPr>
            <w:tcW w:type="dxa" w:w="2948"/>
          </w:tcPr>
          <w:p>
            <w:pPr>
              <w:spacing w:after="20"/>
            </w:pPr>
            <w:r/>
            <w:r>
              <w:rPr>
                <w:sz w:val="19"/>
              </w:rPr>
              <w:t>Rs 1,600 / 2,021 / 2,156 / 2,570</w:t>
            </w:r>
          </w:p>
        </w:tc>
        <w:tc>
          <w:tcPr>
            <w:tcW w:type="dxa" w:w="6690"/>
          </w:tcPr>
          <w:p>
            <w:pPr>
              <w:spacing w:after="20"/>
            </w:pPr>
            <w:r/>
            <w:r>
              <w:rPr>
                <w:sz w:val="19"/>
              </w:rPr>
              <w:t>tomato: nearest mandi / highest price yesterday / ours / oracle.</w:t>
            </w:r>
          </w:p>
        </w:tc>
      </w:tr>
      <w:tr>
        <w:tc>
          <w:tcPr>
            <w:tcW w:type="dxa" w:w="2948"/>
            <w:shd w:val="clear" w:color="auto" w:fill="EEF4F9"/>
          </w:tcPr>
          <w:p>
            <w:pPr>
              <w:spacing w:after="20"/>
            </w:pPr>
            <w:r/>
            <w:r>
              <w:rPr>
                <w:sz w:val="19"/>
              </w:rPr>
              <w:t>12 to 43 percent vs 5 to 21 percent</w:t>
            </w:r>
          </w:p>
        </w:tc>
        <w:tc>
          <w:tcPr>
            <w:tcW w:type="dxa" w:w="6690"/>
            <w:shd w:val="clear" w:color="auto" w:fill="EEF4F9"/>
          </w:tcPr>
          <w:p>
            <w:pPr>
              <w:spacing w:after="20"/>
            </w:pPr>
            <w:r/>
            <w:r>
              <w:rPr>
                <w:sz w:val="19"/>
              </w:rPr>
              <w:t>silent-market recommendation share: observed-price models vs realised-label models.</w:t>
            </w:r>
          </w:p>
        </w:tc>
      </w:tr>
      <w:tr>
        <w:tc>
          <w:tcPr>
            <w:tcW w:type="dxa" w:w="2948"/>
          </w:tcPr>
          <w:p>
            <w:pPr>
              <w:spacing w:after="20"/>
            </w:pPr>
            <w:r/>
            <w:r>
              <w:rPr>
                <w:sz w:val="19"/>
              </w:rPr>
              <w:t>963 days</w:t>
            </w:r>
          </w:p>
        </w:tc>
        <w:tc>
          <w:tcPr>
            <w:tcW w:type="dxa" w:w="6690"/>
          </w:tcPr>
          <w:p>
            <w:pPr>
              <w:spacing w:after="20"/>
            </w:pPr>
            <w:r/>
            <w:r>
              <w:rPr>
                <w:sz w:val="19"/>
              </w:rPr>
              <w:t>scored test days for tomato (511 onion, 569 potato, 776 ginger).</w:t>
            </w:r>
          </w:p>
        </w:tc>
      </w:tr>
    </w:tbl>
    <w:p>
      <w:pPr>
        <w:spacing w:after="40"/>
      </w:pPr>
    </w:p>
    <w:p>
      <w:pPr>
        <w:keepNext/>
        <w:spacing w:before="120" w:after="40"/>
      </w:pPr>
      <w:r>
        <w:rPr>
          <w:b/>
          <w:color w:val="9C3B00"/>
          <w:sz w:val="19"/>
        </w:rPr>
        <w:t>LIMITS AND THINGS TO FIX (SAY THESE YOURSELF)</w:t>
      </w:r>
    </w:p>
    <w:p>
      <w:pPr>
        <w:pStyle w:val="ListBullet"/>
        <w:spacing w:after="60"/>
      </w:pPr>
      <w:r>
        <w:rPr>
          <w:sz w:val="21"/>
        </w:rPr>
        <w:t>One region and one data source; revenue parameters are assumptions (varied in a sensitivity sweep: across 10 settings the realised-label models close 9 to 36 percent of the gap relative to highest price yesterday while observed-price models stay between -8 and +2 percent).</w:t>
      </w:r>
    </w:p>
    <w:p>
      <w:pPr>
        <w:keepNext/>
        <w:spacing w:before="120" w:after="40"/>
      </w:pPr>
      <w:r>
        <w:rPr>
          <w:b/>
          <w:color w:val="1F2A44"/>
          <w:sz w:val="19"/>
        </w:rPr>
        <w:t>IF ASKED</w:t>
      </w:r>
    </w:p>
    <w:p>
      <w:pPr>
        <w:spacing w:after="20"/>
      </w:pPr>
      <w:r>
        <w:rPr>
          <w:b/>
          <w:sz w:val="21"/>
        </w:rPr>
        <w:t>Q. Is Rs 556 a lot?</w:t>
      </w:r>
    </w:p>
    <w:p>
      <w:pPr>
        <w:spacing w:after="100"/>
      </w:pPr>
      <w:r>
        <w:rPr>
          <w:sz w:val="21"/>
        </w:rPr>
        <w:t>It is 35 percent more than the nearest-mandi revenue (556 / 1,600) and 57 percent of the whole possible improvement to the oracle.</w:t>
      </w:r>
    </w:p>
    <w:p>
      <w:pPr>
        <w:spacing w:after="20"/>
      </w:pPr>
      <w:r>
        <w:rPr>
          <w:b/>
          <w:sz w:val="21"/>
        </w:rPr>
        <w:t>Q. Why not 100 percent of the gap?</w:t>
      </w:r>
    </w:p>
    <w:p>
      <w:pPr>
        <w:spacing w:after="100"/>
      </w:pPr>
      <w:r>
        <w:rPr>
          <w:sz w:val="21"/>
        </w:rPr>
        <w:t>Nobody can see the future; the oracle is only a ceiling.</w:t>
      </w:r>
    </w:p>
    <w:p>
      <w:pPr>
        <w:pStyle w:val="Heading1"/>
        <w:spacing w:before="440"/>
      </w:pPr>
      <w:r>
        <w:t>Slide 16 · Statistical validation: what actually improved decisions</w:t>
      </w:r>
    </w:p>
    <w:tbl>
      <w:tblPr>
        <w:tblStyle w:val="TableGrid"/>
        <w:tblW w:type="auto" w:w="0"/>
        <w:tblLook w:firstColumn="1" w:firstRow="1" w:lastColumn="0" w:lastRow="0" w:noHBand="0" w:noVBand="1" w:val="04A0"/>
      </w:tblPr>
      <w:tblGrid>
        <w:gridCol w:w="10086"/>
      </w:tblGrid>
      <w:tr>
        <w:tc>
          <w:tcPr>
            <w:tcW w:type="dxa" w:w="10086"/>
            <w:shd w:val="clear" w:color="auto" w:fill="EAF2F8"/>
          </w:tcPr>
          <w:p>
            <w:pPr>
              <w:keepNext/>
              <w:spacing w:after="40"/>
            </w:pPr>
            <w:r/>
            <w:r>
              <w:rPr>
                <w:b/>
                <w:sz w:val="21"/>
              </w:rPr>
              <w:t>In one line.</w:t>
            </w:r>
            <w:r>
              <w:rPr>
                <w:sz w:val="21"/>
              </w:rPr>
              <w:t xml:space="preserve"> Two separate ideas were tested; only the first (better labels) is a reliable improvement.</w:t>
            </w:r>
          </w:p>
        </w:tc>
      </w:tr>
    </w:tbl>
    <w:p>
      <w:pPr>
        <w:spacing w:after="0"/>
      </w:pPr>
    </w:p>
    <w:p>
      <w:pPr>
        <w:keepNext/>
        <w:spacing w:before="120" w:after="40"/>
      </w:pPr>
      <w:r>
        <w:rPr>
          <w:b/>
          <w:color w:val="1F2A44"/>
          <w:sz w:val="19"/>
        </w:rPr>
        <w:t>IN PLAIN WORDS</w:t>
      </w:r>
    </w:p>
    <w:p>
      <w:pPr>
        <w:spacing w:after="80"/>
      </w:pPr>
      <w:r>
        <w:rPr>
          <w:sz w:val="21"/>
        </w:rPr>
        <w:t xml:space="preserve">A change could help for two different reasons and we tested them one at a time. </w:t>
      </w:r>
      <w:r>
        <w:rPr>
          <w:b/>
          <w:sz w:val="21"/>
        </w:rPr>
        <w:t>Idea 1: change the label</w:t>
      </w:r>
      <w:r>
        <w:rPr>
          <w:sz w:val="21"/>
        </w:rPr>
        <w:t xml:space="preserve"> from the observed price to realised revenue (same learner). </w:t>
      </w:r>
      <w:r>
        <w:rPr>
          <w:b/>
          <w:sz w:val="21"/>
        </w:rPr>
        <w:t>Idea 2: change the loss</w:t>
      </w:r>
      <w:r>
        <w:rPr>
          <w:sz w:val="21"/>
        </w:rPr>
        <w:t xml:space="preserve"> from squared error to SPO+ (same labels). The table shows how much the regret changes, in rupees per quintal; negative means better.</w:t>
      </w:r>
    </w:p>
    <w:p>
      <w:pPr>
        <w:spacing w:after="80"/>
      </w:pPr>
      <w:r>
        <w:rPr>
          <w:sz w:val="21"/>
        </w:rPr>
        <w:t xml:space="preserve">Result: Idea 1 helps in all four crops with very strong evidence. Idea 2 gives small changes whose intervals include zero, so it is not reliable. In plain words: </w:t>
      </w:r>
      <w:r>
        <w:rPr>
          <w:b/>
          <w:sz w:val="21"/>
        </w:rPr>
        <w:t>the gain comes from teaching the model what the farmer actually gets, not from fancy training mathematics.</w:t>
      </w:r>
    </w:p>
    <w:p>
      <w:pPr>
        <w:keepNext/>
        <w:spacing w:before="120" w:after="40"/>
      </w:pPr>
      <w:r>
        <w:rPr>
          <w:b/>
          <w:color w:val="1F2A44"/>
          <w:sz w:val="19"/>
        </w:rPr>
        <w:t>GO DEEPER: THE TECHNICAL CONTENT, EXPLAINED</w:t>
      </w:r>
    </w:p>
    <w:p>
      <w:pPr>
        <w:pStyle w:val="ListBullet"/>
        <w:spacing w:after="60"/>
      </w:pPr>
      <w:r>
        <w:rPr>
          <w:b/>
          <w:sz w:val="21"/>
        </w:rPr>
        <w:t>How to read a row.</w:t>
      </w:r>
      <w:r>
        <w:rPr>
          <w:sz w:val="21"/>
        </w:rPr>
        <w:t xml:space="preserve"> Tomato, labels: -140 [-181, -102], Holm p &lt; 0.0001. On average the regret falls by Rs 140 per quintal. The bracket is the 95 percent confidence interval: the true effect is very likely between -181 and -102. Since the whole interval is below zero, the improvement is real. Holm p tells you it is not a fluke even after correcting for the many comparisons we ran.</w:t>
      </w:r>
    </w:p>
    <w:p>
      <w:pPr>
        <w:pStyle w:val="ListBullet"/>
        <w:spacing w:after="60"/>
      </w:pPr>
      <w:r>
        <w:rPr>
          <w:b/>
          <w:sz w:val="21"/>
        </w:rPr>
        <w:t>Tomato, SPO+ vs squared error:</w:t>
      </w:r>
      <w:r>
        <w:rPr>
          <w:sz w:val="21"/>
        </w:rPr>
        <w:t xml:space="preserve"> -25 [-53, +3], Holm p = 0.51. The point estimate is an improvement of 25 rupees, but the interval runs from -53 to +3, which includes zero, and the adjusted p-value of 0.51 means such a result could easily happen by chance. So we cannot claim an improvement. Potato even shows +1 (no change). Ginger shows -66 but with a very wide interval [-180, +30].</w:t>
      </w:r>
    </w:p>
    <w:p>
      <w:pPr>
        <w:pStyle w:val="ListBullet"/>
        <w:spacing w:after="60"/>
      </w:pPr>
      <w:r>
        <w:rPr>
          <w:b/>
          <w:sz w:val="21"/>
        </w:rPr>
        <w:t>Model confidence set.</w:t>
      </w:r>
      <w:r>
        <w:rPr>
          <w:sz w:val="21"/>
        </w:rPr>
        <w:t xml:space="preserve"> This procedure keeps every model that cannot be statistically distinguished from the best one. Only models trained on realised outcomes survive in every crop; </w:t>
      </w:r>
      <w:r>
        <w:rPr>
          <w:b/>
          <w:sz w:val="21"/>
        </w:rPr>
        <w:t>no observed-price model survives in any crop</w:t>
      </w:r>
      <w:r>
        <w:rPr>
          <w:sz w:val="21"/>
        </w:rPr>
        <w:t>. Tomato keeps 7 specifications, the others 3. Being kicked out of the set means significantly worse than the best.</w:t>
      </w:r>
    </w:p>
    <w:p>
      <w:pPr>
        <w:pStyle w:val="ListBullet"/>
        <w:spacing w:after="60"/>
      </w:pPr>
      <w:r>
        <w:rPr>
          <w:b/>
          <w:sz w:val="21"/>
        </w:rPr>
        <w:t>Why we present it this way.</w:t>
      </w:r>
      <w:r>
        <w:rPr>
          <w:sz w:val="21"/>
        </w:rPr>
        <w:t xml:space="preserve"> The expected hypothesis from the literature was that SPO+ would help. We report that in this problem it did not, consistent with the large benchmark by Mandi and co-authors showing that its benefit depends on the problem.</w:t>
      </w:r>
    </w:p>
    <w:p>
      <w:pPr>
        <w:keepNext/>
        <w:spacing w:before="120" w:after="40"/>
      </w:pPr>
      <w:r>
        <w:rPr>
          <w:b/>
          <w:color w:val="1F2A44"/>
          <w:sz w:val="19"/>
        </w:rPr>
        <w:t>THE NUMBERS ON THIS SLIDE AND WHAT EACH ONE MEANS</w:t>
      </w:r>
    </w:p>
    <w:tbl>
      <w:tblPr>
        <w:tblStyle w:val="TableGrid"/>
        <w:tblW w:type="auto" w:w="0"/>
        <w:jc w:val="center"/>
        <w:tblLayout w:type="fixed"/>
        <w:tblLook w:firstColumn="1" w:firstRow="1" w:lastColumn="0" w:lastRow="0" w:noHBand="0" w:noVBand="1" w:val="04A0"/>
      </w:tblPr>
      <w:tblGrid>
        <w:gridCol w:w="2948"/>
        <w:gridCol w:w="6690"/>
      </w:tblGrid>
      <w:tr>
        <w:tc>
          <w:tcPr>
            <w:tcW w:type="dxa" w:w="2948"/>
            <w:shd w:val="clear" w:color="auto" w:fill="1F4E79"/>
          </w:tcPr>
          <w:p>
            <w:pPr>
              <w:spacing w:after="20"/>
            </w:pPr>
            <w:r>
              <w:rPr>
                <w:b/>
                <w:color w:val="FFFFFF"/>
              </w:rPr>
            </w:r>
            <w:r>
              <w:rPr>
                <w:b/>
                <w:color w:val="FFFFFF"/>
                <w:sz w:val="19"/>
              </w:rPr>
              <w:t>Number</w:t>
            </w:r>
          </w:p>
        </w:tc>
        <w:tc>
          <w:tcPr>
            <w:tcW w:type="dxa" w:w="6690"/>
            <w:shd w:val="clear" w:color="auto" w:fill="1F4E79"/>
          </w:tcPr>
          <w:p>
            <w:pPr>
              <w:spacing w:after="20"/>
            </w:pPr>
            <w:r>
              <w:rPr>
                <w:b/>
                <w:color w:val="FFFFFF"/>
              </w:rPr>
            </w:r>
            <w:r>
              <w:rPr>
                <w:b/>
                <w:color w:val="FFFFFF"/>
                <w:sz w:val="19"/>
              </w:rPr>
              <w:t>What it means</w:t>
            </w:r>
          </w:p>
        </w:tc>
      </w:tr>
      <w:tr>
        <w:tc>
          <w:tcPr>
            <w:tcW w:type="dxa" w:w="2948"/>
          </w:tcPr>
          <w:p>
            <w:pPr>
              <w:spacing w:after="20"/>
            </w:pPr>
            <w:r/>
            <w:r>
              <w:rPr>
                <w:sz w:val="19"/>
              </w:rPr>
              <w:t>-87 to -157 Rs/q</w:t>
            </w:r>
          </w:p>
        </w:tc>
        <w:tc>
          <w:tcPr>
            <w:tcW w:type="dxa" w:w="6690"/>
          </w:tcPr>
          <w:p>
            <w:pPr>
              <w:spacing w:after="20"/>
            </w:pPr>
            <w:r/>
            <w:r>
              <w:rPr>
                <w:sz w:val="19"/>
              </w:rPr>
              <w:t>labels effect on regret, potato to onion.</w:t>
            </w:r>
          </w:p>
        </w:tc>
      </w:tr>
      <w:tr>
        <w:tc>
          <w:tcPr>
            <w:tcW w:type="dxa" w:w="2948"/>
            <w:shd w:val="clear" w:color="auto" w:fill="EEF4F9"/>
          </w:tcPr>
          <w:p>
            <w:pPr>
              <w:spacing w:after="20"/>
            </w:pPr>
            <w:r/>
            <w:r>
              <w:rPr>
                <w:sz w:val="19"/>
              </w:rPr>
              <w:t>-66 to +1 Rs/q</w:t>
            </w:r>
          </w:p>
        </w:tc>
        <w:tc>
          <w:tcPr>
            <w:tcW w:type="dxa" w:w="6690"/>
            <w:shd w:val="clear" w:color="auto" w:fill="EEF4F9"/>
          </w:tcPr>
          <w:p>
            <w:pPr>
              <w:spacing w:after="20"/>
            </w:pPr>
            <w:r/>
            <w:r>
              <w:rPr>
                <w:sz w:val="19"/>
              </w:rPr>
              <w:t>range of SPO+ effects, none reliably different from zero (Holm p 0.17 to 0.95).</w:t>
            </w:r>
          </w:p>
        </w:tc>
      </w:tr>
      <w:tr>
        <w:tc>
          <w:tcPr>
            <w:tcW w:type="dxa" w:w="2948"/>
          </w:tcPr>
          <w:p>
            <w:pPr>
              <w:spacing w:after="20"/>
            </w:pPr>
            <w:r/>
            <w:r>
              <w:rPr>
                <w:sz w:val="19"/>
              </w:rPr>
              <w:t>7 and 3</w:t>
            </w:r>
          </w:p>
        </w:tc>
        <w:tc>
          <w:tcPr>
            <w:tcW w:type="dxa" w:w="6690"/>
          </w:tcPr>
          <w:p>
            <w:pPr>
              <w:spacing w:after="20"/>
            </w:pPr>
            <w:r/>
            <w:r>
              <w:rPr>
                <w:sz w:val="19"/>
              </w:rPr>
              <w:t>specifications kept in the model confidence set: tomato, and the other crops.</w:t>
            </w:r>
          </w:p>
        </w:tc>
      </w:tr>
    </w:tbl>
    <w:p>
      <w:pPr>
        <w:spacing w:after="40"/>
      </w:pPr>
    </w:p>
    <w:p>
      <w:pPr>
        <w:keepNext/>
        <w:spacing w:before="120" w:after="40"/>
      </w:pPr>
      <w:r>
        <w:rPr>
          <w:b/>
          <w:color w:val="9C3B00"/>
          <w:sz w:val="19"/>
        </w:rPr>
        <w:t>LIMITS AND THINGS TO FIX (SAY THESE YOURSELF)</w:t>
      </w:r>
    </w:p>
    <w:p>
      <w:pPr>
        <w:pStyle w:val="ListBullet"/>
        <w:spacing w:after="60"/>
      </w:pPr>
      <w:r>
        <w:rPr>
          <w:sz w:val="21"/>
        </w:rPr>
        <w:t>One region, one source, 5.8 years; revenue parameters are scenarios; a silent day is treated as no sale at a discounted fallback; offline only.</w:t>
      </w:r>
    </w:p>
    <w:p>
      <w:pPr>
        <w:keepNext/>
        <w:spacing w:before="120" w:after="40"/>
      </w:pPr>
      <w:r>
        <w:rPr>
          <w:b/>
          <w:color w:val="1F2A44"/>
          <w:sz w:val="19"/>
        </w:rPr>
        <w:t>IF ASKED</w:t>
      </w:r>
    </w:p>
    <w:p>
      <w:pPr>
        <w:spacing w:after="20"/>
      </w:pPr>
      <w:r>
        <w:rPr>
          <w:b/>
          <w:sz w:val="21"/>
        </w:rPr>
        <w:t>Q. If SPO+ is 'decision-focused', why did it not help?</w:t>
      </w:r>
    </w:p>
    <w:p>
      <w:pPr>
        <w:spacing w:after="100"/>
      </w:pPr>
      <w:r>
        <w:rPr>
          <w:sz w:val="21"/>
        </w:rPr>
        <w:t>Possibly because once the labels already contain the decision-relevant information, the loss adds little; and the theory behind SPO+ assumes a particular structure. We simply report that on this data it did not help.</w:t>
      </w:r>
    </w:p>
    <w:p>
      <w:pPr>
        <w:spacing w:after="20"/>
      </w:pPr>
      <w:r>
        <w:rPr>
          <w:b/>
          <w:sz w:val="21"/>
        </w:rPr>
        <w:t>Q. What is a confidence interval in one sentence?</w:t>
      </w:r>
    </w:p>
    <w:p>
      <w:pPr>
        <w:spacing w:after="100"/>
      </w:pPr>
      <w:r>
        <w:rPr>
          <w:sz w:val="21"/>
        </w:rPr>
        <w:t>A range that, if we repeated the study many times, would contain the true value 95 times out of 100.</w:t>
      </w:r>
    </w:p>
    <w:p>
      <w:pPr>
        <w:spacing w:after="20"/>
      </w:pPr>
      <w:r>
        <w:rPr>
          <w:b/>
          <w:sz w:val="21"/>
        </w:rPr>
        <w:t>Q. What is Holm in one sentence?</w:t>
      </w:r>
    </w:p>
    <w:p>
      <w:pPr>
        <w:spacing w:after="100"/>
      </w:pPr>
      <w:r>
        <w:rPr>
          <w:sz w:val="21"/>
        </w:rPr>
        <w:t>A correction that makes it harder to call something significant when we have run many tests, so that we are not fooled by luck.</w:t>
      </w:r>
    </w:p>
    <w:p>
      <w:pPr>
        <w:pStyle w:val="Heading1"/>
        <w:spacing w:before="440"/>
      </w:pPr>
      <w:r>
        <w:t>Slide 17 · Verified floors and served-engine back-test</w:t>
      </w:r>
    </w:p>
    <w:tbl>
      <w:tblPr>
        <w:tblStyle w:val="TableGrid"/>
        <w:tblW w:type="auto" w:w="0"/>
        <w:tblLook w:firstColumn="1" w:firstRow="1" w:lastColumn="0" w:lastRow="0" w:noHBand="0" w:noVBand="1" w:val="04A0"/>
      </w:tblPr>
      <w:tblGrid>
        <w:gridCol w:w="10086"/>
      </w:tblGrid>
      <w:tr>
        <w:tc>
          <w:tcPr>
            <w:tcW w:type="dxa" w:w="10086"/>
            <w:shd w:val="clear" w:color="auto" w:fill="EAF2F8"/>
          </w:tcPr>
          <w:p>
            <w:pPr>
              <w:keepNext/>
              <w:spacing w:after="40"/>
            </w:pPr>
            <w:r/>
            <w:r>
              <w:rPr>
                <w:b/>
                <w:sz w:val="21"/>
              </w:rPr>
              <w:t>In one line.</w:t>
            </w:r>
            <w:r>
              <w:rPr>
                <w:sz w:val="21"/>
              </w:rPr>
              <w:t xml:space="preserve"> The floors hold close to their promised rate, and the engines that the app actually serves beat the best simple rule in three of four crops.</w:t>
            </w:r>
          </w:p>
        </w:tc>
      </w:tr>
    </w:tbl>
    <w:p>
      <w:pPr>
        <w:spacing w:after="0"/>
      </w:pPr>
    </w:p>
    <w:p>
      <w:pPr>
        <w:keepNext/>
        <w:spacing w:before="120" w:after="40"/>
      </w:pPr>
      <w:r>
        <w:rPr>
          <w:b/>
          <w:color w:val="1F2A44"/>
          <w:sz w:val="19"/>
        </w:rPr>
        <w:t>IN PLAIN WORDS</w:t>
      </w:r>
    </w:p>
    <w:p>
      <w:pPr>
        <w:spacing w:after="80"/>
      </w:pPr>
      <w:r>
        <w:rPr>
          <w:b/>
          <w:sz w:val="21"/>
        </w:rPr>
        <w:t>Left table: do the floors keep their promise?</w:t>
      </w:r>
      <w:r>
        <w:rPr>
          <w:sz w:val="21"/>
        </w:rPr>
        <w:t xml:space="preserve"> A floor is violated on a day if the farmer's actual revenue turns out lower than it. If we set the floor for a 10 percent miss rate, about 10 percent of days should be violations. The table shows the real rates for five ways of making a floor.</w:t>
      </w:r>
    </w:p>
    <w:p>
      <w:pPr>
        <w:spacing w:after="80"/>
      </w:pPr>
      <w:r>
        <w:rPr>
          <w:b/>
          <w:sz w:val="21"/>
        </w:rPr>
        <w:t>Right table: do the served engines actually beat simple rules?</w:t>
      </w:r>
      <w:r>
        <w:rPr>
          <w:sz w:val="21"/>
        </w:rPr>
        <w:t xml:space="preserve"> We replayed the engines the app uses over the last 330 days, using on each day only information available then. The gain is how many rupees per quintal more than the strongest simple rule (the highest price yesterday) and than going to the nearest mandi.</w:t>
      </w:r>
    </w:p>
    <w:p>
      <w:pPr>
        <w:keepNext/>
        <w:spacing w:before="120" w:after="40"/>
      </w:pPr>
      <w:r>
        <w:rPr>
          <w:b/>
          <w:color w:val="1F2A44"/>
          <w:sz w:val="19"/>
        </w:rPr>
        <w:t>GO DEEPER: THE TECHNICAL CONTENT, EXPLAINED</w:t>
      </w:r>
    </w:p>
    <w:p>
      <w:pPr>
        <w:pStyle w:val="ListBullet"/>
        <w:spacing w:after="60"/>
      </w:pPr>
      <w:r>
        <w:rPr>
          <w:b/>
          <w:sz w:val="21"/>
        </w:rPr>
        <w:t>Columns of the left table.</w:t>
      </w:r>
      <w:r>
        <w:rPr>
          <w:sz w:val="21"/>
        </w:rPr>
        <w:t xml:space="preserve"> Adaptive 5, 10, 20 percent: our adaptive floor aimed at that miss rate. Static 10 percent: a floor from one fixed conformal margin that does not adapt. Naive Gaussian: the textbook floor that assumes errors are bell-shaped (mean minus 1.28 standard deviations for 10 percent).</w:t>
      </w:r>
    </w:p>
    <w:p>
      <w:pPr>
        <w:pStyle w:val="ListBullet"/>
        <w:spacing w:after="60"/>
      </w:pPr>
      <w:r>
        <w:rPr>
          <w:b/>
          <w:sz w:val="21"/>
        </w:rPr>
        <w:t>What the numbers show.</w:t>
      </w:r>
      <w:r>
        <w:rPr>
          <w:sz w:val="21"/>
        </w:rPr>
        <w:t xml:space="preserve"> At the 10 percent setting our adaptive floors were violated on 9.0 (tomato), 6.3 (onion), 6.9 (potato) and 10.5 (ginger) percent of days: close to the target and never wildly off. At 5 percent: 3.0, 1.6, 2.5, 4.3. At 20 percent: 21.3, 15.5, 17.7, 20.4. The static version is cautious (4.0 to 8.9 percent at the 10 percent setting), safe but unnecessarily low. The naive Gaussian floor is broken on 26 to 35 percent of days in three crops against a 10 percent target (27.4, 34.5, 25.8), meaning it promises something it cannot deliver; it looks fine for ginger (11.9) only by coincidence.</w:t>
      </w:r>
    </w:p>
    <w:p>
      <w:pPr>
        <w:pStyle w:val="ListBullet"/>
        <w:spacing w:after="60"/>
      </w:pPr>
      <w:r>
        <w:rPr>
          <w:b/>
          <w:sz w:val="21"/>
        </w:rPr>
        <w:t>Objective 4 reading.</w:t>
      </w:r>
      <w:r>
        <w:rPr>
          <w:sz w:val="21"/>
        </w:rPr>
        <w:t xml:space="preserve"> The aim was within two points of 10 percent. Tomato (9.0) and ginger (10.5) are inside; onion and potato are lower, i.e. conservative.</w:t>
      </w:r>
    </w:p>
    <w:p>
      <w:pPr>
        <w:pStyle w:val="ListBullet"/>
        <w:spacing w:after="60"/>
      </w:pPr>
      <w:r>
        <w:rPr>
          <w:b/>
          <w:sz w:val="21"/>
        </w:rPr>
        <w:t>The back-test table.</w:t>
      </w:r>
      <w:r>
        <w:rPr>
          <w:sz w:val="21"/>
        </w:rPr>
        <w:t xml:space="preserve"> Tomato: our advice beat the highest price yesterday by Rs 170 per quintal, 95 percent interval [+104, +255] (excludes zero, strong); and beat the nearest mandi by Rs 571. The advice closes 62 percent of the gap between nearest mandi and oracle. Onion: +60 [+16, +119] strong, gap closed 46 percent. Potato: +15 [-38, +60], interval includes zero, only 11 percent of the gap: </w:t>
      </w:r>
      <w:r>
        <w:rPr>
          <w:b/>
          <w:sz w:val="21"/>
        </w:rPr>
        <w:t>limited evidence</w:t>
      </w:r>
      <w:r>
        <w:rPr>
          <w:sz w:val="21"/>
        </w:rPr>
        <w:t>, and the app labels potato advice as limited. Ginger: +202 [+25, +429], gap closed 67 percent, strong but with a wide interval (few days, big swings).</w:t>
      </w:r>
    </w:p>
    <w:p>
      <w:pPr>
        <w:pStyle w:val="ListBullet"/>
        <w:spacing w:after="60"/>
      </w:pPr>
      <w:r>
        <w:rPr>
          <w:b/>
          <w:sz w:val="21"/>
        </w:rPr>
        <w:t>Do not confuse with slide 25.</w:t>
      </w:r>
      <w:r>
        <w:rPr>
          <w:sz w:val="21"/>
        </w:rPr>
        <w:t xml:space="preserve"> Slide 25's 'gap closed' (0.57 for tomato) is from the research evaluation over 963 test days across five blocks. Slide 17's 62 percent is the served engine over the last 330 days. Different windows and different models, hence slightly different numbers.</w:t>
      </w:r>
    </w:p>
    <w:p>
      <w:pPr>
        <w:keepNext/>
        <w:spacing w:before="120" w:after="40"/>
      </w:pPr>
      <w:r>
        <w:rPr>
          <w:b/>
          <w:color w:val="1F2A44"/>
          <w:sz w:val="19"/>
        </w:rPr>
        <w:t>WHY WE DID IT THIS WAY</w:t>
      </w:r>
    </w:p>
    <w:p>
      <w:pPr>
        <w:pStyle w:val="ListBullet"/>
        <w:spacing w:after="60"/>
      </w:pPr>
      <w:r>
        <w:rPr>
          <w:sz w:val="21"/>
        </w:rPr>
        <w:t>The evidence tier (strong or limited) is a safeguard: the app only gives advice for a crop when the back-test supports it, and tells the farmer when it does not.</w:t>
      </w:r>
    </w:p>
    <w:p>
      <w:pPr>
        <w:keepNext/>
        <w:spacing w:before="120" w:after="40"/>
      </w:pPr>
      <w:r>
        <w:rPr>
          <w:b/>
          <w:color w:val="9C3B00"/>
          <w:sz w:val="19"/>
        </w:rPr>
        <w:t>LIMITS AND THINGS TO FIX (SAY THESE YOURSELF)</w:t>
      </w:r>
    </w:p>
    <w:p>
      <w:pPr>
        <w:pStyle w:val="ListBullet"/>
        <w:spacing w:after="60"/>
      </w:pPr>
      <w:r>
        <w:rPr>
          <w:sz w:val="21"/>
        </w:rPr>
        <w:t>Floors are close, not exact; the strictest replay on slide 19 gives lower hold rates. Potato advice cannot be distinguished from the best heuristic.</w:t>
      </w:r>
    </w:p>
    <w:p>
      <w:pPr>
        <w:keepNext/>
        <w:spacing w:before="120" w:after="40"/>
      </w:pPr>
      <w:r>
        <w:rPr>
          <w:b/>
          <w:color w:val="1F2A44"/>
          <w:sz w:val="19"/>
        </w:rPr>
        <w:t>IF ASKED</w:t>
      </w:r>
    </w:p>
    <w:p>
      <w:pPr>
        <w:spacing w:after="20"/>
      </w:pPr>
      <w:r>
        <w:rPr>
          <w:b/>
          <w:sz w:val="21"/>
        </w:rPr>
        <w:t>Q. Why are onion and potato floors so low (6 to 7 percent) at a 10 percent target?</w:t>
      </w:r>
    </w:p>
    <w:p>
      <w:pPr>
        <w:spacing w:after="100"/>
      </w:pPr>
      <w:r>
        <w:rPr>
          <w:sz w:val="21"/>
        </w:rPr>
        <w:t>The adaptive rule was conservative on those crops: it leaves more room than needed. That is safe for the farmer but not as sharp as promised.</w:t>
      </w:r>
    </w:p>
    <w:p>
      <w:pPr>
        <w:spacing w:after="20"/>
      </w:pPr>
      <w:r>
        <w:rPr>
          <w:b/>
          <w:sz w:val="21"/>
        </w:rPr>
        <w:t>Q. Why is the naive Gaussian floor so bad?</w:t>
      </w:r>
    </w:p>
    <w:p>
      <w:pPr>
        <w:spacing w:after="100"/>
      </w:pPr>
      <w:r>
        <w:rPr>
          <w:sz w:val="21"/>
        </w:rPr>
        <w:t>Price errors have heavy tails and change over time; assuming a bell curve underestimates bad days.</w:t>
      </w:r>
    </w:p>
    <w:p>
      <w:pPr>
        <w:pStyle w:val="Heading1"/>
        <w:spacing w:before="440"/>
      </w:pPr>
      <w:r>
        <w:t>Slide 18 · Explaining the advice: why this mandi, what if</w:t>
      </w:r>
    </w:p>
    <w:tbl>
      <w:tblPr>
        <w:tblStyle w:val="TableGrid"/>
        <w:tblW w:type="auto" w:w="0"/>
        <w:tblLook w:firstColumn="1" w:firstRow="1" w:lastColumn="0" w:lastRow="0" w:noHBand="0" w:noVBand="1" w:val="04A0"/>
      </w:tblPr>
      <w:tblGrid>
        <w:gridCol w:w="10086"/>
      </w:tblGrid>
      <w:tr>
        <w:tc>
          <w:tcPr>
            <w:tcW w:type="dxa" w:w="10086"/>
            <w:shd w:val="clear" w:color="auto" w:fill="EAF2F8"/>
          </w:tcPr>
          <w:p>
            <w:pPr>
              <w:keepNext/>
              <w:spacing w:after="40"/>
            </w:pPr>
            <w:r/>
            <w:r>
              <w:rPr>
                <w:b/>
                <w:sz w:val="21"/>
              </w:rPr>
              <w:t>In one line.</w:t>
            </w:r>
            <w:r>
              <w:rPr>
                <w:sz w:val="21"/>
              </w:rPr>
              <w:t xml:space="preserve"> The arithmetic behind the recommendation and where it breaks.</w:t>
            </w:r>
          </w:p>
        </w:tc>
      </w:tr>
    </w:tbl>
    <w:p>
      <w:pPr>
        <w:spacing w:after="0"/>
      </w:pPr>
    </w:p>
    <w:p>
      <w:pPr>
        <w:keepNext/>
        <w:spacing w:before="120" w:after="40"/>
      </w:pPr>
      <w:r>
        <w:rPr>
          <w:b/>
          <w:color w:val="1F2A44"/>
          <w:sz w:val="19"/>
        </w:rPr>
        <w:t>IN PLAIN WORDS</w:t>
      </w:r>
    </w:p>
    <w:p>
      <w:pPr>
        <w:spacing w:after="80"/>
      </w:pPr>
      <w:r>
        <w:rPr>
          <w:sz w:val="21"/>
        </w:rPr>
        <w:t>This is the demo's Why-this-mandi and What-if screens, written as sentences. The advice (Ramanagara, tomorrow) wins because its expected price is Rs 776 higher than the nearest mandi (Kolar), and that gain is larger than the Rs 94 of extra transport and Rs 60 of spoilage. It is robust to the truck cost and sensitive to shelf life.</w:t>
      </w:r>
    </w:p>
    <w:p>
      <w:pPr>
        <w:keepNext/>
        <w:spacing w:before="120" w:after="40"/>
      </w:pPr>
      <w:r>
        <w:rPr>
          <w:b/>
          <w:color w:val="1F2A44"/>
          <w:sz w:val="19"/>
        </w:rPr>
        <w:t>GO DEEPER: THE TECHNICAL CONTENT, EXPLAINED</w:t>
      </w:r>
    </w:p>
    <w:p>
      <w:pPr>
        <w:pStyle w:val="ListBullet"/>
        <w:spacing w:after="60"/>
      </w:pPr>
      <w:r>
        <w:rPr>
          <w:b/>
          <w:sz w:val="21"/>
        </w:rPr>
        <w:t>Parts add up:</w:t>
      </w:r>
      <w:r>
        <w:rPr>
          <w:sz w:val="21"/>
        </w:rPr>
        <w:t xml:space="preserve"> 2,081 - 83 - 60 - 94 - 20 = 1,824. The nearest mandi keeps Rs 1,232 (Rs 1,233 on the demo slide; rounding). Advantage: 1,824 - 1,232 = Rs 592.</w:t>
      </w:r>
    </w:p>
    <w:p>
      <w:pPr>
        <w:pStyle w:val="ListBullet"/>
        <w:spacing w:after="60"/>
      </w:pPr>
      <w:r>
        <w:rPr>
          <w:b/>
          <w:sz w:val="21"/>
        </w:rPr>
        <w:t>Why it wins:</w:t>
      </w:r>
      <w:r>
        <w:rPr>
          <w:sz w:val="21"/>
        </w:rPr>
        <w:t xml:space="preserve"> 776 (extra price) - 94 (extra transport) - 60 (spoilage) - 32 (extra fee, 4 percent of 776 is about 31) leaves the remaining advantage close to 592. In words: you gain 776 in price and give back about 185 in costs.</w:t>
      </w:r>
    </w:p>
    <w:p>
      <w:pPr>
        <w:pStyle w:val="ListBullet"/>
        <w:spacing w:after="60"/>
      </w:pPr>
      <w:r>
        <w:rPr>
          <w:b/>
          <w:sz w:val="21"/>
        </w:rPr>
        <w:t>Robust to the truck:</w:t>
      </w:r>
      <w:r>
        <w:rPr>
          <w:sz w:val="21"/>
        </w:rPr>
        <w:t xml:space="preserve"> at the extreme transport of Rs 3.00 per quintal-km the net is Rs 1,515 and the advice is unchanged: even at that cost the farmer is better off.</w:t>
      </w:r>
    </w:p>
    <w:p>
      <w:pPr>
        <w:pStyle w:val="ListBullet"/>
        <w:spacing w:after="60"/>
      </w:pPr>
      <w:r>
        <w:rPr>
          <w:b/>
          <w:sz w:val="21"/>
        </w:rPr>
        <w:t>Sensitive to shelf life:</w:t>
      </w:r>
      <w:r>
        <w:rPr>
          <w:sz w:val="21"/>
        </w:rPr>
        <w:t xml:space="preserve"> at 5.0 percent spoilage a day, or if the farmer cannot wait at all, the advice becomes Ramanagara </w:t>
      </w:r>
      <w:r>
        <w:rPr>
          <w:b/>
          <w:sz w:val="21"/>
        </w:rPr>
        <w:t>today</w:t>
      </w:r>
      <w:r>
        <w:rPr>
          <w:sz w:val="21"/>
        </w:rPr>
        <w:t>, net Rs 1,789. The break-even for spoilage is where it flips.</w:t>
      </w:r>
    </w:p>
    <w:p>
      <w:pPr>
        <w:pStyle w:val="ListBullet"/>
        <w:spacing w:after="60"/>
      </w:pPr>
      <w:r>
        <w:rPr>
          <w:b/>
          <w:sz w:val="21"/>
        </w:rPr>
        <w:t>Floor is indicative far from defaults:</w:t>
      </w:r>
      <w:r>
        <w:rPr>
          <w:sz w:val="21"/>
        </w:rPr>
        <w:t xml:space="preserve"> the floor margin was calibrated at the default costs. If a farmer enters very different costs, the net is still exact but the floor margin is only a guide, and the screen says so.</w:t>
      </w:r>
    </w:p>
    <w:p>
      <w:pPr>
        <w:keepNext/>
        <w:spacing w:before="120" w:after="40"/>
      </w:pPr>
      <w:r>
        <w:rPr>
          <w:b/>
          <w:color w:val="1F2A44"/>
          <w:sz w:val="19"/>
        </w:rPr>
        <w:t>IF ASKED</w:t>
      </w:r>
    </w:p>
    <w:p>
      <w:pPr>
        <w:spacing w:after="20"/>
      </w:pPr>
      <w:r>
        <w:rPr>
          <w:b/>
          <w:sz w:val="21"/>
        </w:rPr>
        <w:t>Q. Why not simply tell farmers to go to the highest-price mandi?</w:t>
      </w:r>
    </w:p>
    <w:p>
      <w:pPr>
        <w:spacing w:after="100"/>
      </w:pPr>
      <w:r>
        <w:rPr>
          <w:sz w:val="21"/>
        </w:rPr>
        <w:t>Because the highest price may be far, silent that day, or lose value while waiting. The breakdown shows the real trade-off in rupees.</w:t>
      </w:r>
    </w:p>
    <w:p>
      <w:pPr>
        <w:pStyle w:val="Heading1"/>
        <w:spacing w:before="440"/>
      </w:pPr>
      <w:r>
        <w:t>Slide 19 · Public track record on days the advice had not seen</w:t>
      </w:r>
    </w:p>
    <w:tbl>
      <w:tblPr>
        <w:tblStyle w:val="TableGrid"/>
        <w:tblW w:type="auto" w:w="0"/>
        <w:tblLook w:firstColumn="1" w:firstRow="1" w:lastColumn="0" w:lastRow="0" w:noHBand="0" w:noVBand="1" w:val="04A0"/>
      </w:tblPr>
      <w:tblGrid>
        <w:gridCol w:w="10086"/>
      </w:tblGrid>
      <w:tr>
        <w:tc>
          <w:tcPr>
            <w:tcW w:type="dxa" w:w="10086"/>
            <w:shd w:val="clear" w:color="auto" w:fill="EAF2F8"/>
          </w:tcPr>
          <w:p>
            <w:pPr>
              <w:keepNext/>
              <w:spacing w:after="40"/>
            </w:pPr>
            <w:r/>
            <w:r>
              <w:rPr>
                <w:b/>
                <w:sz w:val="21"/>
              </w:rPr>
              <w:t>In one line.</w:t>
            </w:r>
            <w:r>
              <w:rPr>
                <w:sz w:val="21"/>
              </w:rPr>
              <w:t xml:space="preserve"> On 165 days after the floor was fitted, the advice wins against the nearest mandi on most days and the floors hold on 84 to 92 percent of days.</w:t>
            </w:r>
          </w:p>
        </w:tc>
      </w:tr>
    </w:tbl>
    <w:p>
      <w:pPr>
        <w:spacing w:after="0"/>
      </w:pPr>
    </w:p>
    <w:p>
      <w:pPr>
        <w:keepNext/>
        <w:spacing w:before="120" w:after="40"/>
      </w:pPr>
      <w:r>
        <w:rPr>
          <w:b/>
          <w:color w:val="1F2A44"/>
          <w:sz w:val="19"/>
        </w:rPr>
        <w:t>IN PLAIN WORDS</w:t>
      </w:r>
    </w:p>
    <w:p>
      <w:pPr>
        <w:spacing w:after="80"/>
      </w:pPr>
      <w:r>
        <w:rPr>
          <w:sz w:val="21"/>
        </w:rPr>
        <w:t>A track record is only honest if it uses days the system was not tuned on. We replay the advice on 165 days (12 May to 23 October 2026). The floor multiplier was fitted on the earlier half, so every day shown is a day the floor was not fitted on.</w:t>
      </w:r>
    </w:p>
    <w:p>
      <w:pPr>
        <w:keepNext/>
        <w:spacing w:before="120" w:after="40"/>
      </w:pPr>
      <w:r>
        <w:rPr>
          <w:b/>
          <w:color w:val="1F2A44"/>
          <w:sz w:val="19"/>
        </w:rPr>
        <w:t>GO DEEPER: THE TECHNICAL CONTENT, EXPLAINED</w:t>
      </w:r>
    </w:p>
    <w:p>
      <w:pPr>
        <w:pStyle w:val="ListBullet"/>
        <w:spacing w:after="60"/>
      </w:pPr>
      <w:r>
        <w:rPr>
          <w:b/>
          <w:sz w:val="21"/>
        </w:rPr>
        <w:t>Columns.</w:t>
      </w:r>
      <w:r>
        <w:rPr>
          <w:sz w:val="21"/>
        </w:rPr>
        <w:t xml:space="preserve"> vs nearest: win, tie, loss of the advice compared with going to the nearest mandi. vs yesterday's best: compared with going to yesterday's highest-priced mandi. Floor held: share of days where realised revenue was at least the floor.</w:t>
      </w:r>
    </w:p>
    <w:p>
      <w:pPr>
        <w:pStyle w:val="ListBullet"/>
        <w:spacing w:after="60"/>
      </w:pPr>
      <w:r>
        <w:rPr>
          <w:b/>
          <w:sz w:val="21"/>
        </w:rPr>
        <w:t>Reading tomato.</w:t>
      </w:r>
      <w:r>
        <w:rPr>
          <w:sz w:val="21"/>
        </w:rPr>
        <w:t xml:space="preserve"> vs nearest: 93 percent wins, 0 ties, 7 percent losses. vs yesterday's best: 24 wins, 68 ties, 8 losses: on 68 percent of days the advice picks the same action as yesterday's best, so the difference is within Rs 1 (a tie); where they differ, the advice wins 24 percent against 8 percent losses. Floor held on 84 percent of days.</w:t>
      </w:r>
    </w:p>
    <w:p>
      <w:pPr>
        <w:pStyle w:val="ListBullet"/>
        <w:spacing w:after="60"/>
      </w:pPr>
      <w:r>
        <w:rPr>
          <w:b/>
          <w:sz w:val="21"/>
        </w:rPr>
        <w:t>Onion</w:t>
      </w:r>
      <w:r>
        <w:rPr>
          <w:sz w:val="21"/>
        </w:rPr>
        <w:t xml:space="preserve"> 82/0/18 vs nearest; 34/39/27 vs yesterday; floor 89. </w:t>
      </w:r>
      <w:r>
        <w:rPr>
          <w:b/>
          <w:sz w:val="21"/>
        </w:rPr>
        <w:t>Potato</w:t>
      </w:r>
      <w:r>
        <w:rPr>
          <w:sz w:val="21"/>
        </w:rPr>
        <w:t xml:space="preserve"> 63/2/35; 52/12/36; floor 92. </w:t>
      </w:r>
      <w:r>
        <w:rPr>
          <w:b/>
          <w:sz w:val="21"/>
        </w:rPr>
        <w:t>Ginger</w:t>
      </w:r>
      <w:r>
        <w:rPr>
          <w:sz w:val="21"/>
        </w:rPr>
        <w:t xml:space="preserve"> 90/0/10; 23/54/23; floor 86. Note that for ginger wins equal losses (23 each) against yesterday's best: no edge there on this measure, even though the back-test average gain is positive.</w:t>
      </w:r>
    </w:p>
    <w:p>
      <w:pPr>
        <w:pStyle w:val="ListBullet"/>
        <w:spacing w:after="60"/>
      </w:pPr>
      <w:r>
        <w:rPr>
          <w:b/>
          <w:sz w:val="21"/>
        </w:rPr>
        <w:t>The honest part.</w:t>
      </w:r>
      <w:r>
        <w:rPr>
          <w:sz w:val="21"/>
        </w:rPr>
        <w:t xml:space="preserve"> The floor was set to hold on nine days in ten (90 percent), but held on 84, 89, 92 and 86 percent. Three of four are below the aim. Why lower than slide 17? Because this replay is the strictest of three evaluations: one multiplier fitted on half of the window and then frozen. The three views of the same question: the served rule's 330-day back-test violated 9.6 to 12.3 percent; a static multiplier evaluated out of sample 7.8 to 17.7 percent; this replay 8 to 16 percent violated.</w:t>
      </w:r>
    </w:p>
    <w:p>
      <w:pPr>
        <w:pStyle w:val="ListBullet"/>
        <w:spacing w:after="60"/>
      </w:pPr>
      <w:r>
        <w:rPr>
          <w:b/>
          <w:sz w:val="21"/>
        </w:rPr>
        <w:t>What a tie means.</w:t>
      </w:r>
      <w:r>
        <w:rPr>
          <w:sz w:val="21"/>
        </w:rPr>
        <w:t xml:space="preserve"> A difference of at most Rs 1. Against yesterday's highest price the advice often chooses the same action, so ties dominate. This is not a weakness: it shows the system agrees with the sensible simple rule on most days and improves on the days where the rule fails.</w:t>
      </w:r>
    </w:p>
    <w:p>
      <w:pPr>
        <w:keepNext/>
        <w:spacing w:before="120" w:after="40"/>
      </w:pPr>
      <w:r>
        <w:rPr>
          <w:b/>
          <w:color w:val="9C3B00"/>
          <w:sz w:val="19"/>
        </w:rPr>
        <w:t>LIMITS AND THINGS TO FIX (SAY THESE YOURSELF)</w:t>
      </w:r>
    </w:p>
    <w:p>
      <w:pPr>
        <w:pStyle w:val="ListBullet"/>
        <w:spacing w:after="60"/>
      </w:pPr>
      <w:r>
        <w:rPr>
          <w:sz w:val="21"/>
        </w:rPr>
        <w:t>165 days is a short window; only the second half of the scored days; potato's 35 percent loss rate against nearest mandi shows its advice is weaker.</w:t>
      </w:r>
    </w:p>
    <w:p>
      <w:pPr>
        <w:keepNext/>
        <w:spacing w:before="120" w:after="40"/>
      </w:pPr>
      <w:r>
        <w:rPr>
          <w:b/>
          <w:color w:val="1F2A44"/>
          <w:sz w:val="19"/>
        </w:rPr>
        <w:t>IF ASKED</w:t>
      </w:r>
    </w:p>
    <w:p>
      <w:pPr>
        <w:spacing w:after="20"/>
      </w:pPr>
      <w:r>
        <w:rPr>
          <w:b/>
          <w:sz w:val="21"/>
        </w:rPr>
        <w:t>Q. The floor held only 84 percent for tomato. Is that a failure?</w:t>
      </w:r>
    </w:p>
    <w:p>
      <w:pPr>
        <w:spacing w:after="100"/>
      </w:pPr>
      <w:r>
        <w:rPr>
          <w:sz w:val="21"/>
        </w:rPr>
        <w:t>It is below the 90 percent aim and we say so. It is the strictest evaluation (one multiplier fitted on half the window and frozen). On the main evaluation of slide 17 the violation was 9.0 percent. The floors are close to their level, not exact, and the app tells the farmer.</w:t>
      </w:r>
    </w:p>
    <w:p>
      <w:pPr>
        <w:spacing w:after="20"/>
      </w:pPr>
      <w:r>
        <w:rPr>
          <w:b/>
          <w:sz w:val="21"/>
        </w:rPr>
        <w:t>Q. Why does potato show 35 percent losses to the nearest mandi?</w:t>
      </w:r>
    </w:p>
    <w:p>
      <w:pPr>
        <w:spacing w:after="100"/>
      </w:pPr>
      <w:r>
        <w:rPr>
          <w:sz w:val="21"/>
        </w:rPr>
        <w:t>Potato prices vary little across mandis, so the gain is small and noisy; the app marks potato evidence as limited.</w:t>
      </w:r>
    </w:p>
    <w:p>
      <w:pPr>
        <w:pStyle w:val="Heading1"/>
        <w:spacing w:before="440"/>
      </w:pPr>
      <w:r>
        <w:t>Slide 20 · Silence tax: what an unreliable mandi costs a trip</w:t>
      </w:r>
    </w:p>
    <w:tbl>
      <w:tblPr>
        <w:tblStyle w:val="TableGrid"/>
        <w:tblW w:type="auto" w:w="0"/>
        <w:tblLook w:firstColumn="1" w:firstRow="1" w:lastColumn="0" w:lastRow="0" w:noHBand="0" w:noVBand="1" w:val="04A0"/>
      </w:tblPr>
      <w:tblGrid>
        <w:gridCol w:w="10086"/>
      </w:tblGrid>
      <w:tr>
        <w:tc>
          <w:tcPr>
            <w:tcW w:type="dxa" w:w="10086"/>
            <w:shd w:val="clear" w:color="auto" w:fill="EAF2F8"/>
          </w:tcPr>
          <w:p>
            <w:pPr>
              <w:keepNext/>
              <w:spacing w:after="40"/>
            </w:pPr>
            <w:r/>
            <w:r>
              <w:rPr>
                <w:b/>
                <w:sz w:val="21"/>
              </w:rPr>
              <w:t>In one line.</w:t>
            </w:r>
            <w:r>
              <w:rPr>
                <w:sz w:val="21"/>
              </w:rPr>
              <w:t xml:space="preserve"> Rupees lost per quintal because a mandi reports no price on a day you travelled there.</w:t>
            </w:r>
          </w:p>
        </w:tc>
      </w:tr>
    </w:tbl>
    <w:p>
      <w:pPr>
        <w:spacing w:after="0"/>
      </w:pPr>
    </w:p>
    <w:p>
      <w:pPr>
        <w:keepNext/>
        <w:spacing w:before="120" w:after="40"/>
      </w:pPr>
      <w:r>
        <w:rPr>
          <w:b/>
          <w:color w:val="1F2A44"/>
          <w:sz w:val="19"/>
        </w:rPr>
        <w:t>IN PLAIN WORDS</w:t>
      </w:r>
    </w:p>
    <w:p>
      <w:pPr>
        <w:spacing w:after="80"/>
      </w:pPr>
      <w:r>
        <w:rPr>
          <w:sz w:val="21"/>
        </w:rPr>
        <w:t>If you drive to a mandi and it has no market that day, you sell in a weaker position (we assume 85 percent of what other mandis paid that day). The silence tax is the expected rupees per quintal lost to that risk. A mandi with a good price but frequent surprise closures can be a worse choice than a plainer reliable one.</w:t>
      </w:r>
    </w:p>
    <w:p>
      <w:pPr>
        <w:keepNext/>
        <w:spacing w:before="120" w:after="40"/>
      </w:pPr>
      <w:r>
        <w:rPr>
          <w:b/>
          <w:color w:val="1F2A44"/>
          <w:sz w:val="19"/>
        </w:rPr>
        <w:t>GO DEEPER: THE TECHNICAL CONTENT, EXPLAINED</w:t>
      </w:r>
    </w:p>
    <w:p>
      <w:pPr>
        <w:pStyle w:val="ListBullet"/>
        <w:spacing w:after="60"/>
      </w:pPr>
      <w:r>
        <w:rPr>
          <w:b/>
          <w:sz w:val="21"/>
        </w:rPr>
        <w:t>Formula (slide 8).</w:t>
      </w:r>
      <w:r>
        <w:rPr>
          <w:sz w:val="21"/>
        </w:rPr>
        <w:t xml:space="preserve"> T = s x max(P_m - 0.85 x P_day, 0): the share of surprise silence times how much the mandi's usual price exceeds the fallback.</w:t>
      </w:r>
    </w:p>
    <w:p>
      <w:pPr>
        <w:pStyle w:val="ListBullet"/>
        <w:spacing w:after="60"/>
      </w:pPr>
      <w:r>
        <w:rPr>
          <w:b/>
          <w:sz w:val="21"/>
        </w:rPr>
        <w:t>Columns.</w:t>
      </w:r>
      <w:r>
        <w:rPr>
          <w:sz w:val="21"/>
        </w:rPr>
        <w:t xml:space="preserve"> Reported: share of days with a price. Surprise silence: share of open days (known closed days excluded) when it was silent anyway. Known closed: weekday on which it is silent on at least 90 percent of occasions, which farmers already know (Sunday for most). Tax per quintal: expected loss, with its percentage of the mandi's price.</w:t>
      </w:r>
    </w:p>
    <w:p>
      <w:pPr>
        <w:pStyle w:val="ListBullet"/>
        <w:spacing w:after="60"/>
      </w:pPr>
      <w:r>
        <w:rPr>
          <w:b/>
          <w:sz w:val="21"/>
        </w:rPr>
        <w:t>Reading the table.</w:t>
      </w:r>
      <w:r>
        <w:rPr>
          <w:sz w:val="21"/>
        </w:rPr>
        <w:t xml:space="preserve"> Kanakapura: reported on 44 percent of days, surprise silence 49 percent, closed Sundays, tax Rs 313 (16.5 percent of its price): by far the worst. Binny Mill Rs 206 (8.5 percent). Doddaballapur Rs 135. Gauribidanur Rs 121 (closed Tuesdays). Channapatna Rs 120. Bagepalli Rs 69. Ramanagara just Rs 40 (1.8 percent), reporting on 95 percent of days. The mean over 13 tomato mandis is Rs 78 per quintal per trip.</w:t>
      </w:r>
    </w:p>
    <w:p>
      <w:pPr>
        <w:pStyle w:val="ListBullet"/>
        <w:spacing w:after="60"/>
      </w:pPr>
      <w:r>
        <w:rPr>
          <w:b/>
          <w:sz w:val="21"/>
        </w:rPr>
        <w:t>Derived cross-check.</w:t>
      </w:r>
      <w:r>
        <w:rPr>
          <w:sz w:val="21"/>
        </w:rPr>
        <w:t xml:space="preserve"> Rs 313 at a 16.5 percent tax means Kanakapura's typical price is about Rs 1,900 (313 / 0.165). Dividing the tax by its surprise silence (0.49) gives about Rs 640: that is how much its usual price exceeds the 85-percent fallback.</w:t>
      </w:r>
    </w:p>
    <w:p>
      <w:pPr>
        <w:pStyle w:val="ListBullet"/>
        <w:spacing w:after="60"/>
      </w:pPr>
      <w:r>
        <w:rPr>
          <w:b/>
          <w:sz w:val="21"/>
        </w:rPr>
        <w:t>Chikkaballapur.</w:t>
      </w:r>
      <w:r>
        <w:rPr>
          <w:sz w:val="21"/>
        </w:rPr>
        <w:t xml:space="preserve"> It reported on none of last year's Thursdays, so Thursday is treated as a closed day and a farmer is warned not to bring a Thursday load there.</w:t>
      </w:r>
    </w:p>
    <w:p>
      <w:pPr>
        <w:pStyle w:val="ListBullet"/>
        <w:spacing w:after="60"/>
      </w:pPr>
      <w:r>
        <w:rPr>
          <w:b/>
          <w:sz w:val="21"/>
        </w:rPr>
        <w:t>Two cautions.</w:t>
      </w:r>
      <w:r>
        <w:rPr>
          <w:sz w:val="21"/>
        </w:rPr>
        <w:t xml:space="preserve"> (1) A silent day may be a closed mandi or a missed upload; the portal does not say. (2) Rs 0 for a cheap mandi such as Kolar does not mean it is reliable: its usual price is below the fallback, so silence costs nothing in price terms. That is why 'surprise silence' is shown alongside the tax.</w:t>
      </w:r>
    </w:p>
    <w:p>
      <w:pPr>
        <w:keepNext/>
        <w:spacing w:before="120" w:after="40"/>
      </w:pPr>
      <w:r>
        <w:rPr>
          <w:b/>
          <w:color w:val="1F2A44"/>
          <w:sz w:val="19"/>
        </w:rPr>
        <w:t>WHY WE DID IT THIS WAY</w:t>
      </w:r>
    </w:p>
    <w:p>
      <w:pPr>
        <w:pStyle w:val="ListBullet"/>
        <w:spacing w:after="60"/>
      </w:pPr>
      <w:r>
        <w:rPr>
          <w:sz w:val="21"/>
        </w:rPr>
        <w:t>This is the one feature that turns the data's weakness (missing days) into information. It is also the reason realised-label models beat observed-price ones.</w:t>
      </w:r>
    </w:p>
    <w:p>
      <w:pPr>
        <w:keepNext/>
        <w:spacing w:before="120" w:after="40"/>
      </w:pPr>
      <w:r>
        <w:rPr>
          <w:b/>
          <w:color w:val="9C3B00"/>
          <w:sz w:val="19"/>
        </w:rPr>
        <w:t>LIMITS AND THINGS TO FIX (SAY THESE YOURSELF)</w:t>
      </w:r>
    </w:p>
    <w:p>
      <w:pPr>
        <w:pStyle w:val="ListBullet"/>
        <w:spacing w:after="60"/>
      </w:pPr>
      <w:r>
        <w:rPr>
          <w:sz w:val="21"/>
        </w:rPr>
        <w:t>The 0.85 fallback is an assumption; closed versus missed upload cannot be distinguished.</w:t>
      </w:r>
    </w:p>
    <w:p>
      <w:pPr>
        <w:keepNext/>
        <w:spacing w:before="120" w:after="40"/>
      </w:pPr>
      <w:r>
        <w:rPr>
          <w:b/>
          <w:color w:val="1F2A44"/>
          <w:sz w:val="19"/>
        </w:rPr>
        <w:t>IF ASKED</w:t>
      </w:r>
    </w:p>
    <w:p>
      <w:pPr>
        <w:spacing w:after="20"/>
      </w:pPr>
      <w:r>
        <w:rPr>
          <w:b/>
          <w:sz w:val="21"/>
        </w:rPr>
        <w:t>Q. What is the difference between 'reported' and 'surprise silence'?</w:t>
      </w:r>
    </w:p>
    <w:p>
      <w:pPr>
        <w:spacing w:after="100"/>
      </w:pPr>
      <w:r>
        <w:rPr>
          <w:sz w:val="21"/>
        </w:rPr>
        <w:t>Reported counts all days. Surprise silence counts only days the mandi was normally open, so Sunday closures do not count against it.</w:t>
      </w:r>
    </w:p>
    <w:p>
      <w:pPr>
        <w:spacing w:after="20"/>
      </w:pPr>
      <w:r>
        <w:rPr>
          <w:b/>
          <w:sz w:val="21"/>
        </w:rPr>
        <w:t>Q. Why is Ramanagara used in the advice even though others have higher prices?</w:t>
      </w:r>
    </w:p>
    <w:p>
      <w:pPr>
        <w:spacing w:after="100"/>
      </w:pPr>
      <w:r>
        <w:rPr>
          <w:sz w:val="21"/>
        </w:rPr>
        <w:t>It reports on 95 percent of days, so a trip there rarely ends in a wasted journey: its silence tax is only Rs 40.</w:t>
      </w:r>
    </w:p>
    <w:p>
      <w:pPr>
        <w:pStyle w:val="Heading1"/>
        <w:spacing w:before="440"/>
      </w:pPr>
      <w:r>
        <w:t>Slide 21 · Crowd simulator: what if everyone follows the advice?</w:t>
      </w:r>
    </w:p>
    <w:tbl>
      <w:tblPr>
        <w:tblStyle w:val="TableGrid"/>
        <w:tblW w:type="auto" w:w="0"/>
        <w:tblLook w:firstColumn="1" w:firstRow="1" w:lastColumn="0" w:lastRow="0" w:noHBand="0" w:noVBand="1" w:val="04A0"/>
      </w:tblPr>
      <w:tblGrid>
        <w:gridCol w:w="10086"/>
      </w:tblGrid>
      <w:tr>
        <w:tc>
          <w:tcPr>
            <w:tcW w:type="dxa" w:w="10086"/>
            <w:shd w:val="clear" w:color="auto" w:fill="EAF2F8"/>
          </w:tcPr>
          <w:p>
            <w:pPr>
              <w:keepNext/>
              <w:spacing w:after="40"/>
            </w:pPr>
            <w:r/>
            <w:r>
              <w:rPr>
                <w:b/>
                <w:sz w:val="21"/>
              </w:rPr>
              <w:t>In one line.</w:t>
            </w:r>
            <w:r>
              <w:rPr>
                <w:sz w:val="21"/>
              </w:rPr>
              <w:t xml:space="preserve"> Advice that is best for one farmer can be poor for two hundred, unless it is coordinated.</w:t>
            </w:r>
          </w:p>
        </w:tc>
      </w:tr>
    </w:tbl>
    <w:p>
      <w:pPr>
        <w:spacing w:after="0"/>
      </w:pPr>
    </w:p>
    <w:p>
      <w:pPr>
        <w:keepNext/>
        <w:spacing w:before="120" w:after="40"/>
      </w:pPr>
      <w:r>
        <w:rPr>
          <w:b/>
          <w:color w:val="1F2A44"/>
          <w:sz w:val="19"/>
        </w:rPr>
        <w:t>IN PLAIN WORDS</w:t>
      </w:r>
    </w:p>
    <w:p>
      <w:pPr>
        <w:spacing w:after="80"/>
      </w:pPr>
      <w:r>
        <w:rPr>
          <w:sz w:val="21"/>
        </w:rPr>
        <w:t>Imagine 200 farmers in Kolar each with 10 quintals of tomato all read the same screen and drive to Ramanagara. That is 2,000 quintals arriving at a yard that normally receives about 68 quintals a day. Price falls. The simulator shows how far, and what a smarter way of spreading farmers would earn.</w:t>
      </w:r>
    </w:p>
    <w:p>
      <w:pPr>
        <w:keepNext/>
        <w:spacing w:before="120" w:after="40"/>
      </w:pPr>
      <w:r>
        <w:rPr>
          <w:b/>
          <w:color w:val="1F2A44"/>
          <w:sz w:val="19"/>
        </w:rPr>
        <w:t>GO DEEPER: THE TECHNICAL CONTENT, EXPLAINED</w:t>
      </w:r>
    </w:p>
    <w:p>
      <w:pPr>
        <w:pStyle w:val="ListBullet"/>
        <w:spacing w:after="60"/>
      </w:pPr>
      <w:r>
        <w:rPr>
          <w:b/>
          <w:sz w:val="21"/>
        </w:rPr>
        <w:t>Formula.</w:t>
      </w:r>
      <w:r>
        <w:rPr>
          <w:sz w:val="21"/>
        </w:rPr>
        <w:t xml:space="preserve"> P(x) = P x (1 + x / A)^(-b). Worked check: x = 2,000, A = 68, b = 0.115 gives (1 + 29.4)^(-0.115) = 30.4^(-0.115) = e^(-0.115 x 3.41) = e^(-0.392) = 0.675. So the price falls 32.5 percent, the number on the slide.</w:t>
      </w:r>
    </w:p>
    <w:p>
      <w:pPr>
        <w:pStyle w:val="ListBullet"/>
        <w:spacing w:after="60"/>
      </w:pPr>
      <w:r>
        <w:rPr>
          <w:b/>
          <w:sz w:val="21"/>
        </w:rPr>
        <w:t>Three policies.</w:t>
      </w:r>
      <w:r>
        <w:rPr>
          <w:sz w:val="21"/>
        </w:rPr>
        <w:t xml:space="preserve"> All follow the best: everyone goes to Ramanagara; each nets Rs 1,194. All go to the nearest mandi: Rs 1,207 (the nearest, Kolar, then gets crowded too). Coordinated split: farmers are given different actions, in steps, each step to the action with the best marginal revenue; each nets Rs 1,436. A single lone farmer following the advice nets Rs 1,824.</w:t>
      </w:r>
    </w:p>
    <w:p>
      <w:pPr>
        <w:pStyle w:val="ListBullet"/>
        <w:spacing w:after="60"/>
      </w:pPr>
      <w:r>
        <w:rPr>
          <w:b/>
          <w:sz w:val="21"/>
        </w:rPr>
        <w:t>Gains.</w:t>
      </w:r>
      <w:r>
        <w:rPr>
          <w:sz w:val="21"/>
        </w:rPr>
        <w:t xml:space="preserve"> The coordinated split earns Rs 241 per quintal more than everyone following the same advice (1,436 - 1,194 = 242 from rounded numbers), which is Rs 482,705 more for the group of 200 farmers over 2,000 quintals (241.35 x 2,000).</w:t>
      </w:r>
    </w:p>
    <w:p>
      <w:pPr>
        <w:pStyle w:val="ListBullet"/>
        <w:spacing w:after="60"/>
      </w:pPr>
      <w:r>
        <w:rPr>
          <w:b/>
          <w:sz w:val="21"/>
        </w:rPr>
        <w:t>Why b matters.</w:t>
      </w:r>
      <w:r>
        <w:rPr>
          <w:sz w:val="21"/>
        </w:rPr>
        <w:t xml:space="preserve"> b is the price flexibility: how strongly price falls as arrivals rise above normal. b = 0 means no price response, and all policies are the same. The result strengthens as b rises. 0.115 is an association measured in past data (standard error 0.023), not a proven cause.</w:t>
      </w:r>
    </w:p>
    <w:p>
      <w:pPr>
        <w:pStyle w:val="ListBullet"/>
        <w:spacing w:after="60"/>
      </w:pPr>
      <w:r>
        <w:rPr>
          <w:b/>
          <w:sz w:val="21"/>
        </w:rPr>
        <w:t>As the crowd grows to 2,000 farmers</w:t>
      </w:r>
      <w:r>
        <w:rPr>
          <w:sz w:val="21"/>
        </w:rPr>
        <w:t xml:space="preserve"> every policy gets worse and coordination matters more (thesis table).</w:t>
      </w:r>
    </w:p>
    <w:p>
      <w:pPr>
        <w:keepNext/>
        <w:spacing w:before="120" w:after="40"/>
      </w:pPr>
      <w:r>
        <w:rPr>
          <w:b/>
          <w:color w:val="1F2A44"/>
          <w:sz w:val="19"/>
        </w:rPr>
        <w:t>THE NUMBERS ON THIS SLIDE AND WHAT EACH ONE MEANS</w:t>
      </w:r>
    </w:p>
    <w:tbl>
      <w:tblPr>
        <w:tblStyle w:val="TableGrid"/>
        <w:tblW w:type="auto" w:w="0"/>
        <w:jc w:val="center"/>
        <w:tblLayout w:type="fixed"/>
        <w:tblLook w:firstColumn="1" w:firstRow="1" w:lastColumn="0" w:lastRow="0" w:noHBand="0" w:noVBand="1" w:val="04A0"/>
      </w:tblPr>
      <w:tblGrid>
        <w:gridCol w:w="2948"/>
        <w:gridCol w:w="6690"/>
      </w:tblGrid>
      <w:tr>
        <w:tc>
          <w:tcPr>
            <w:tcW w:type="dxa" w:w="2948"/>
            <w:shd w:val="clear" w:color="auto" w:fill="1F4E79"/>
          </w:tcPr>
          <w:p>
            <w:pPr>
              <w:spacing w:after="20"/>
            </w:pPr>
            <w:r>
              <w:rPr>
                <w:b/>
                <w:color w:val="FFFFFF"/>
              </w:rPr>
            </w:r>
            <w:r>
              <w:rPr>
                <w:b/>
                <w:color w:val="FFFFFF"/>
                <w:sz w:val="19"/>
              </w:rPr>
              <w:t>Number</w:t>
            </w:r>
          </w:p>
        </w:tc>
        <w:tc>
          <w:tcPr>
            <w:tcW w:type="dxa" w:w="6690"/>
            <w:shd w:val="clear" w:color="auto" w:fill="1F4E79"/>
          </w:tcPr>
          <w:p>
            <w:pPr>
              <w:spacing w:after="20"/>
            </w:pPr>
            <w:r>
              <w:rPr>
                <w:b/>
                <w:color w:val="FFFFFF"/>
              </w:rPr>
            </w:r>
            <w:r>
              <w:rPr>
                <w:b/>
                <w:color w:val="FFFFFF"/>
                <w:sz w:val="19"/>
              </w:rPr>
              <w:t>What it means</w:t>
            </w:r>
          </w:p>
        </w:tc>
      </w:tr>
      <w:tr>
        <w:tc>
          <w:tcPr>
            <w:tcW w:type="dxa" w:w="2948"/>
          </w:tcPr>
          <w:p>
            <w:pPr>
              <w:spacing w:after="20"/>
            </w:pPr>
            <w:r/>
            <w:r>
              <w:rPr>
                <w:sz w:val="19"/>
              </w:rPr>
              <w:t>-32.5 percent</w:t>
            </w:r>
          </w:p>
        </w:tc>
        <w:tc>
          <w:tcPr>
            <w:tcW w:type="dxa" w:w="6690"/>
          </w:tcPr>
          <w:p>
            <w:pPr>
              <w:spacing w:after="20"/>
            </w:pPr>
            <w:r/>
            <w:r>
              <w:rPr>
                <w:sz w:val="19"/>
              </w:rPr>
              <w:t>price drop at the best yard when 200 farmers (2,000 quintals) arrive.</w:t>
            </w:r>
          </w:p>
        </w:tc>
      </w:tr>
      <w:tr>
        <w:tc>
          <w:tcPr>
            <w:tcW w:type="dxa" w:w="2948"/>
            <w:shd w:val="clear" w:color="auto" w:fill="EEF4F9"/>
          </w:tcPr>
          <w:p>
            <w:pPr>
              <w:spacing w:after="20"/>
            </w:pPr>
            <w:r/>
            <w:r>
              <w:rPr>
                <w:sz w:val="19"/>
              </w:rPr>
              <w:t>Rs 241 per quintal</w:t>
            </w:r>
          </w:p>
        </w:tc>
        <w:tc>
          <w:tcPr>
            <w:tcW w:type="dxa" w:w="6690"/>
            <w:shd w:val="clear" w:color="auto" w:fill="EEF4F9"/>
          </w:tcPr>
          <w:p>
            <w:pPr>
              <w:spacing w:after="20"/>
            </w:pPr>
            <w:r/>
            <w:r>
              <w:rPr>
                <w:sz w:val="19"/>
              </w:rPr>
              <w:t>gain of the coordinated split over everyone following the same advice.</w:t>
            </w:r>
          </w:p>
        </w:tc>
      </w:tr>
      <w:tr>
        <w:tc>
          <w:tcPr>
            <w:tcW w:type="dxa" w:w="2948"/>
          </w:tcPr>
          <w:p>
            <w:pPr>
              <w:spacing w:after="20"/>
            </w:pPr>
            <w:r/>
            <w:r>
              <w:rPr>
                <w:sz w:val="19"/>
              </w:rPr>
              <w:t>Rs 482,705</w:t>
            </w:r>
          </w:p>
        </w:tc>
        <w:tc>
          <w:tcPr>
            <w:tcW w:type="dxa" w:w="6690"/>
          </w:tcPr>
          <w:p>
            <w:pPr>
              <w:spacing w:after="20"/>
            </w:pPr>
            <w:r/>
            <w:r>
              <w:rPr>
                <w:sz w:val="19"/>
              </w:rPr>
              <w:t>gain for the whole group of 200 (241 x 2,000).</w:t>
            </w:r>
          </w:p>
        </w:tc>
      </w:tr>
      <w:tr>
        <w:tc>
          <w:tcPr>
            <w:tcW w:type="dxa" w:w="2948"/>
            <w:shd w:val="clear" w:color="auto" w:fill="EEF4F9"/>
          </w:tcPr>
          <w:p>
            <w:pPr>
              <w:spacing w:after="20"/>
            </w:pPr>
            <w:r/>
            <w:r>
              <w:rPr>
                <w:sz w:val="19"/>
              </w:rPr>
              <w:t>68 quintals</w:t>
            </w:r>
          </w:p>
        </w:tc>
        <w:tc>
          <w:tcPr>
            <w:tcW w:type="dxa" w:w="6690"/>
            <w:shd w:val="clear" w:color="auto" w:fill="EEF4F9"/>
          </w:tcPr>
          <w:p>
            <w:pPr>
              <w:spacing w:after="20"/>
            </w:pPr>
            <w:r/>
            <w:r>
              <w:rPr>
                <w:sz w:val="19"/>
              </w:rPr>
              <w:t>the yard's usual daily arrivals (median over the last year).</w:t>
            </w:r>
          </w:p>
        </w:tc>
      </w:tr>
    </w:tbl>
    <w:p>
      <w:pPr>
        <w:spacing w:after="40"/>
      </w:pPr>
    </w:p>
    <w:p>
      <w:pPr>
        <w:keepNext/>
        <w:spacing w:before="120" w:after="40"/>
      </w:pPr>
      <w:r>
        <w:rPr>
          <w:b/>
          <w:color w:val="9C3B00"/>
          <w:sz w:val="19"/>
        </w:rPr>
        <w:t>LIMITS AND THINGS TO FIX (SAY THESE YOURSELF)</w:t>
      </w:r>
    </w:p>
    <w:p>
      <w:pPr>
        <w:pStyle w:val="ListBullet"/>
        <w:spacing w:after="60"/>
      </w:pPr>
      <w:r>
        <w:rPr>
          <w:sz w:val="21"/>
        </w:rPr>
        <w:t>A scenario, not a measurement. The real response to a crowd of advised farmers has never been observed; a field pilot is needed.</w:t>
      </w:r>
    </w:p>
    <w:p>
      <w:pPr>
        <w:keepNext/>
        <w:spacing w:before="120" w:after="40"/>
      </w:pPr>
      <w:r>
        <w:rPr>
          <w:b/>
          <w:color w:val="1F2A44"/>
          <w:sz w:val="19"/>
        </w:rPr>
        <w:t>IF ASKED</w:t>
      </w:r>
    </w:p>
    <w:p>
      <w:pPr>
        <w:spacing w:after="20"/>
      </w:pPr>
      <w:r>
        <w:rPr>
          <w:b/>
          <w:sz w:val="21"/>
        </w:rPr>
        <w:t>Q. Is this realistic, would 200 farmers follow one app?</w:t>
      </w:r>
    </w:p>
    <w:p>
      <w:pPr>
        <w:spacing w:after="100"/>
      </w:pPr>
      <w:r>
        <w:rPr>
          <w:sz w:val="21"/>
        </w:rPr>
        <w:t>Probably not at first, which is why it is a scenario. The point is a warning: advice built for one farmer must not be scaled blindly, and coordination changes the outcome.</w:t>
      </w:r>
    </w:p>
    <w:p>
      <w:pPr>
        <w:spacing w:after="20"/>
      </w:pPr>
      <w:r>
        <w:rPr>
          <w:b/>
          <w:sz w:val="21"/>
        </w:rPr>
        <w:t>Q. How is the coordinated split implemented?</w:t>
      </w:r>
    </w:p>
    <w:p>
      <w:pPr>
        <w:spacing w:after="100"/>
      </w:pPr>
      <w:r>
        <w:rPr>
          <w:sz w:val="21"/>
        </w:rPr>
        <w:t>The quantity is handed out in small lots; each lot goes to whichever option currently gives the best marginal revenue; each farmer then gets an action with a stated probability.</w:t>
      </w:r>
    </w:p>
    <w:p>
      <w:pPr>
        <w:pStyle w:val="Heading1"/>
        <w:spacing w:before="440"/>
      </w:pPr>
      <w:r>
        <w:t>Slide 22 · Daily digest on Telegram</w:t>
      </w:r>
    </w:p>
    <w:tbl>
      <w:tblPr>
        <w:tblStyle w:val="TableGrid"/>
        <w:tblW w:type="auto" w:w="0"/>
        <w:tblLook w:firstColumn="1" w:firstRow="1" w:lastColumn="0" w:lastRow="0" w:noHBand="0" w:noVBand="1" w:val="04A0"/>
      </w:tblPr>
      <w:tblGrid>
        <w:gridCol w:w="10086"/>
      </w:tblGrid>
      <w:tr>
        <w:tc>
          <w:tcPr>
            <w:tcW w:type="dxa" w:w="10086"/>
            <w:shd w:val="clear" w:color="auto" w:fill="EAF2F8"/>
          </w:tcPr>
          <w:p>
            <w:pPr>
              <w:keepNext/>
              <w:spacing w:after="40"/>
            </w:pPr>
            <w:r/>
            <w:r>
              <w:rPr>
                <w:b/>
                <w:sz w:val="21"/>
              </w:rPr>
              <w:t>In one line.</w:t>
            </w:r>
            <w:r>
              <w:rPr>
                <w:sz w:val="21"/>
              </w:rPr>
              <w:t xml:space="preserve"> A dated morning message in the farmer's language, with advice only where the evidence is strong.</w:t>
            </w:r>
          </w:p>
        </w:tc>
      </w:tr>
    </w:tbl>
    <w:p>
      <w:pPr>
        <w:spacing w:after="0"/>
      </w:pPr>
    </w:p>
    <w:p>
      <w:pPr>
        <w:keepNext/>
        <w:spacing w:before="120" w:after="40"/>
      </w:pPr>
      <w:r>
        <w:rPr>
          <w:b/>
          <w:color w:val="1F2A44"/>
          <w:sz w:val="19"/>
        </w:rPr>
        <w:t>IN PLAIN WORDS</w:t>
      </w:r>
    </w:p>
    <w:p>
      <w:pPr>
        <w:spacing w:after="80"/>
      </w:pPr>
      <w:r>
        <w:rPr>
          <w:sz w:val="21"/>
        </w:rPr>
        <w:t>Farmers do not open dashboards; they read messages. The bot sends one message at 7 am: the latest price in their district for each crop they chose, with its date, and for the crops where our back-test is strong, the best place and day to sell with the floor. Telegram is free, which matters for a project with no budget.</w:t>
      </w:r>
    </w:p>
    <w:p>
      <w:pPr>
        <w:keepNext/>
        <w:spacing w:before="120" w:after="40"/>
      </w:pPr>
      <w:r>
        <w:rPr>
          <w:b/>
          <w:color w:val="1F2A44"/>
          <w:sz w:val="19"/>
        </w:rPr>
        <w:t>GO DEEPER: THE TECHNICAL CONTENT, EXPLAINED</w:t>
      </w:r>
    </w:p>
    <w:p>
      <w:pPr>
        <w:pStyle w:val="ListBullet"/>
        <w:spacing w:after="60"/>
      </w:pPr>
      <w:r>
        <w:rPr>
          <w:b/>
          <w:sz w:val="21"/>
        </w:rPr>
        <w:t>Dated, always.</w:t>
      </w:r>
      <w:r>
        <w:rPr>
          <w:sz w:val="21"/>
        </w:rPr>
        <w:t xml:space="preserve"> Every price carries its date, and the second line says how old the data is (3 days old on 29 October). There is no live feed: Agmarknet exports are loaded by hand, so we say how fresh the message is instead of pretending.</w:t>
      </w:r>
    </w:p>
    <w:p>
      <w:pPr>
        <w:pStyle w:val="ListBullet"/>
        <w:spacing w:after="60"/>
      </w:pPr>
      <w:r>
        <w:rPr>
          <w:b/>
          <w:sz w:val="21"/>
        </w:rPr>
        <w:t>Advice only with evidence.</w:t>
      </w:r>
      <w:r>
        <w:rPr>
          <w:sz w:val="21"/>
        </w:rPr>
        <w:t xml:space="preserve"> Tomato, onion and ginger have strong back-tests, so they get the best place and day with the floor. Potato (limited evidence) and garlic (no choice) get prices only.</w:t>
      </w:r>
    </w:p>
    <w:p>
      <w:pPr>
        <w:pStyle w:val="ListBullet"/>
        <w:spacing w:after="60"/>
      </w:pPr>
      <w:r>
        <w:rPr>
          <w:b/>
          <w:sz w:val="21"/>
        </w:rPr>
        <w:t>Warns about silent days.</w:t>
      </w:r>
      <w:r>
        <w:rPr>
          <w:sz w:val="21"/>
        </w:rPr>
        <w:t xml:space="preserve"> If the recommended mandi was silent on most past occurrences of the sale weekday, the message says so.</w:t>
      </w:r>
    </w:p>
    <w:p>
      <w:pPr>
        <w:pStyle w:val="ListBullet"/>
        <w:spacing w:after="60"/>
      </w:pPr>
      <w:r>
        <w:rPr>
          <w:b/>
          <w:sz w:val="21"/>
        </w:rPr>
        <w:t>Three languages.</w:t>
      </w:r>
      <w:r>
        <w:rPr>
          <w:sz w:val="21"/>
        </w:rPr>
        <w:t xml:space="preserve"> English, Kannada, Hindi. Commands: /start (choose language and crops), /today (send now), /stop (unsubscribe). A farmer can also type a free sentence such as 'tomato kolar' and it is parsed for crop and place in all three languages.</w:t>
      </w:r>
    </w:p>
    <w:p>
      <w:pPr>
        <w:pStyle w:val="ListBullet"/>
        <w:spacing w:after="60"/>
      </w:pPr>
      <w:r>
        <w:rPr>
          <w:b/>
          <w:sz w:val="21"/>
        </w:rPr>
        <w:t>Logged and tested.</w:t>
      </w:r>
      <w:r>
        <w:rPr>
          <w:sz w:val="21"/>
        </w:rPr>
        <w:t xml:space="preserve"> Every send is logged (two logged sends to a real account); a blocked bot marks the subscriber inactive; 8 unit tests use a fake Telegram client with no network: dates present, advice only for strong crops, Kannada labels, free-text parsing, onboarding, refusing a farmer with no crop, unsubscribe.</w:t>
      </w:r>
    </w:p>
    <w:p>
      <w:pPr>
        <w:pStyle w:val="ListBullet"/>
        <w:spacing w:after="60"/>
      </w:pPr>
      <w:r>
        <w:rPr>
          <w:b/>
          <w:sz w:val="21"/>
        </w:rPr>
        <w:t>How the 7 am happens.</w:t>
      </w:r>
      <w:r>
        <w:rPr>
          <w:sz w:val="21"/>
        </w:rPr>
        <w:t xml:space="preserve"> The script send_daily_digest.py is the daily job. A real deployment would schedule it on a server; on our laptop we run it by hand or on a timer, and a dry-run mode builds messages without sending.</w:t>
      </w:r>
    </w:p>
    <w:p>
      <w:pPr>
        <w:pStyle w:val="ListBullet"/>
        <w:spacing w:after="60"/>
      </w:pPr>
      <w:r>
        <w:rPr>
          <w:b/>
          <w:sz w:val="21"/>
        </w:rPr>
        <w:t>Not claimed.</w:t>
      </w:r>
      <w:r>
        <w:rPr>
          <w:sz w:val="21"/>
        </w:rPr>
        <w:t xml:space="preserve"> A farmer pilot, or a live price feed. The digest is built from stored data only.</w:t>
      </w:r>
    </w:p>
    <w:p>
      <w:pPr>
        <w:keepNext/>
        <w:spacing w:before="120" w:after="40"/>
      </w:pPr>
      <w:r>
        <w:rPr>
          <w:b/>
          <w:color w:val="1F2A44"/>
          <w:sz w:val="19"/>
        </w:rPr>
        <w:t>WHY WE DID IT THIS WAY</w:t>
      </w:r>
    </w:p>
    <w:p>
      <w:pPr>
        <w:pStyle w:val="ListBullet"/>
        <w:spacing w:after="60"/>
      </w:pPr>
      <w:r>
        <w:rPr>
          <w:sz w:val="21"/>
        </w:rPr>
        <w:t>Telegram has a free official bot interface and works on low-end phones; SMS gateways require paid registration in India, so they cannot be shown freely.</w:t>
      </w:r>
    </w:p>
    <w:p>
      <w:pPr>
        <w:keepNext/>
        <w:spacing w:before="120" w:after="40"/>
      </w:pPr>
      <w:r>
        <w:rPr>
          <w:b/>
          <w:color w:val="9C3B00"/>
          <w:sz w:val="19"/>
        </w:rPr>
        <w:t>LIMITS AND THINGS TO FIX (SAY THESE YOURSELF)</w:t>
      </w:r>
    </w:p>
    <w:p>
      <w:pPr>
        <w:pStyle w:val="ListBullet"/>
        <w:spacing w:after="60"/>
      </w:pPr>
      <w:r>
        <w:rPr>
          <w:sz w:val="21"/>
        </w:rPr>
        <w:t>Only one real account (a team member) has received messages; no farmer has used it.</w:t>
      </w:r>
    </w:p>
    <w:p>
      <w:pPr>
        <w:keepNext/>
        <w:spacing w:before="120" w:after="40"/>
      </w:pPr>
      <w:r>
        <w:rPr>
          <w:b/>
          <w:color w:val="1F2A44"/>
          <w:sz w:val="19"/>
        </w:rPr>
        <w:t>IF ASKED</w:t>
      </w:r>
    </w:p>
    <w:p>
      <w:pPr>
        <w:spacing w:after="20"/>
      </w:pPr>
      <w:r>
        <w:rPr>
          <w:b/>
          <w:sz w:val="21"/>
        </w:rPr>
        <w:t>Q. Why Telegram and not SMS or WhatsApp?</w:t>
      </w:r>
    </w:p>
    <w:p>
      <w:pPr>
        <w:spacing w:after="100"/>
      </w:pPr>
      <w:r>
        <w:rPr>
          <w:sz w:val="21"/>
        </w:rPr>
        <w:t>Free and official API, no registration cost, rich text and buttons. SMS in India needs paid, registered senders; WhatsApp Business requires approval and fees.</w:t>
      </w:r>
    </w:p>
    <w:p>
      <w:pPr>
        <w:spacing w:after="20"/>
      </w:pPr>
      <w:r>
        <w:rPr>
          <w:b/>
          <w:sz w:val="21"/>
        </w:rPr>
        <w:t>Q. Where is the token stored?</w:t>
      </w:r>
    </w:p>
    <w:p>
      <w:pPr>
        <w:spacing w:after="100"/>
      </w:pPr>
      <w:r>
        <w:rPr>
          <w:sz w:val="21"/>
        </w:rPr>
        <w:t>In a git-ignored environment file; it is never printed or logged.</w:t>
      </w:r>
    </w:p>
    <w:p>
      <w:pPr>
        <w:pStyle w:val="Heading1"/>
        <w:spacing w:before="440"/>
      </w:pPr>
      <w:r>
        <w:t>Slide 23 · Look-ahead audit of decompose-then-forecast models</w:t>
      </w:r>
    </w:p>
    <w:tbl>
      <w:tblPr>
        <w:tblStyle w:val="TableGrid"/>
        <w:tblW w:type="auto" w:w="0"/>
        <w:tblLook w:firstColumn="1" w:firstRow="1" w:lastColumn="0" w:lastRow="0" w:noHBand="0" w:noVBand="1" w:val="04A0"/>
      </w:tblPr>
      <w:tblGrid>
        <w:gridCol w:w="10086"/>
      </w:tblGrid>
      <w:tr>
        <w:tc>
          <w:tcPr>
            <w:tcW w:type="dxa" w:w="10086"/>
            <w:shd w:val="clear" w:color="auto" w:fill="EAF2F8"/>
          </w:tcPr>
          <w:p>
            <w:pPr>
              <w:keepNext/>
              <w:spacing w:after="40"/>
            </w:pPr>
            <w:r/>
            <w:r>
              <w:rPr>
                <w:b/>
                <w:sz w:val="21"/>
              </w:rPr>
              <w:t>In one line.</w:t>
            </w:r>
            <w:r>
              <w:rPr>
                <w:sz w:val="21"/>
              </w:rPr>
              <w:t xml:space="preserve"> A popular family of forecasting models looks very good only because it peeks at the future; remove the peek and the advantage disappears.</w:t>
            </w:r>
          </w:p>
        </w:tc>
      </w:tr>
    </w:tbl>
    <w:p>
      <w:pPr>
        <w:spacing w:after="0"/>
      </w:pPr>
    </w:p>
    <w:p>
      <w:pPr>
        <w:keepNext/>
        <w:spacing w:before="120" w:after="40"/>
      </w:pPr>
      <w:r>
        <w:rPr>
          <w:b/>
          <w:color w:val="1F2A44"/>
          <w:sz w:val="19"/>
        </w:rPr>
        <w:t>IN PLAIN WORDS</w:t>
      </w:r>
    </w:p>
    <w:p>
      <w:pPr>
        <w:spacing w:after="80"/>
      </w:pPr>
      <w:r>
        <w:rPr>
          <w:sz w:val="21"/>
        </w:rPr>
        <w:t xml:space="preserve">Many recent papers on agricultural price forecasting first split the price line into smooth parts (a slow trend, a seasonal wave, fast wiggles), forecast each part, and add the forecasts back. They report big improvements. We asked: </w:t>
      </w:r>
      <w:r>
        <w:rPr>
          <w:b/>
          <w:sz w:val="21"/>
        </w:rPr>
        <w:t>is the splitting step done fairly?</w:t>
      </w:r>
    </w:p>
    <w:p>
      <w:pPr>
        <w:spacing w:after="80"/>
      </w:pPr>
      <w:r>
        <w:rPr>
          <w:b/>
          <w:sz w:val="21"/>
        </w:rPr>
        <w:t>The problem in one image.</w:t>
      </w:r>
      <w:r>
        <w:rPr>
          <w:sz w:val="21"/>
        </w:rPr>
        <w:t xml:space="preserve"> Imagine smoothing a price line with a centred moving average: the smooth value for Tuesday uses Monday, Tuesday and Wednesday. If you do this once on the whole history and then 'forecast' Wednesday, the Wednesday information is already inside Tuesday's component. The model is, in effect, told part of the answer.</w:t>
      </w:r>
    </w:p>
    <w:p>
      <w:pPr>
        <w:keepNext/>
        <w:spacing w:before="120" w:after="40"/>
      </w:pPr>
      <w:r>
        <w:rPr>
          <w:b/>
          <w:color w:val="1F2A44"/>
          <w:sz w:val="19"/>
        </w:rPr>
        <w:t>GO DEEPER: THE TECHNICAL CONTENT, EXPLAINED</w:t>
      </w:r>
    </w:p>
    <w:p>
      <w:pPr>
        <w:pStyle w:val="ListBullet"/>
        <w:spacing w:after="60"/>
      </w:pPr>
      <w:r>
        <w:rPr>
          <w:b/>
          <w:sz w:val="21"/>
        </w:rPr>
        <w:t>STL and VMD are two-sided.</w:t>
      </w:r>
      <w:r>
        <w:rPr>
          <w:sz w:val="21"/>
        </w:rPr>
        <w:t xml:space="preserve"> STL (seasonal-trend decomposition using loess) fits local curves through points on both sides of each day. VMD (variational mode decomposition) solves one optimisation over the entire series to find modes, so every mode at day t depends on the whole series including its future. ICEEMDAN works in a similar whole-series way. That is what 'two-sided smoother' means on the slide.</w:t>
      </w:r>
    </w:p>
    <w:p>
      <w:pPr>
        <w:pStyle w:val="ListBullet"/>
        <w:spacing w:after="60"/>
      </w:pPr>
      <w:r>
        <w:rPr>
          <w:b/>
          <w:sz w:val="21"/>
        </w:rPr>
        <w:t>Published protocol.</w:t>
      </w:r>
      <w:r>
        <w:rPr>
          <w:sz w:val="21"/>
        </w:rPr>
        <w:t xml:space="preserve"> Decompose the whole series once, split the components into training and test periods, forecast each component, add them up, and score on the test period. The test-period components were built with the future data inside the process.</w:t>
      </w:r>
    </w:p>
    <w:p>
      <w:pPr>
        <w:pStyle w:val="ListBullet"/>
        <w:spacing w:after="60"/>
      </w:pPr>
      <w:r>
        <w:rPr>
          <w:b/>
          <w:sz w:val="21"/>
        </w:rPr>
        <w:t>Causal protocol.</w:t>
      </w:r>
      <w:r>
        <w:rPr>
          <w:sz w:val="21"/>
        </w:rPr>
        <w:t xml:space="preserve"> At each forecast origin, decompose only the data available up to that day, forecast, and move on. This is slower but honest: nothing from the future can enter.</w:t>
      </w:r>
    </w:p>
    <w:p>
      <w:pPr>
        <w:pStyle w:val="ListBullet"/>
        <w:spacing w:after="60"/>
      </w:pPr>
      <w:r>
        <w:rPr>
          <w:b/>
          <w:sz w:val="21"/>
        </w:rPr>
        <w:t>Skill.</w:t>
      </w:r>
      <w:r>
        <w:rPr>
          <w:sz w:val="21"/>
        </w:rPr>
        <w:t xml:space="preserve"> Improvement over the random-walk forecast ('tomorrow = today'). +27 percent means the error is 27 percent lower than the random walk's; -15 percent means it is 15 percent worse.</w:t>
      </w:r>
    </w:p>
    <w:p>
      <w:pPr>
        <w:pStyle w:val="ListBullet"/>
        <w:spacing w:after="60"/>
      </w:pPr>
      <w:r>
        <w:rPr>
          <w:b/>
          <w:sz w:val="21"/>
        </w:rPr>
        <w:t>Result for tomato.</w:t>
      </w:r>
      <w:r>
        <w:rPr>
          <w:sz w:val="21"/>
        </w:rPr>
        <w:t xml:space="preserve"> Published protocol: +27 to +62 percent skill. Causal protocol: -15 to -1 percent for the same models. The raw series without any decomposition scores -14 to -1.5 percent. So with leakage removed the decomposition adds nothing. The gap between published and causal is 30 to 71 points with confidence intervals that exclude zero: that gap is the size of the leak.</w:t>
      </w:r>
    </w:p>
    <w:p>
      <w:pPr>
        <w:pStyle w:val="ListBullet"/>
        <w:spacing w:after="60"/>
      </w:pPr>
      <w:r>
        <w:rPr>
          <w:b/>
          <w:sz w:val="21"/>
        </w:rPr>
        <w:t>Foundation-model baseline.</w:t>
      </w:r>
      <w:r>
        <w:rPr>
          <w:sz w:val="21"/>
        </w:rPr>
        <w:t xml:space="preserve"> Chronos-Bolt is a pretrained time-series model used zero-shot (no training on our data). It scores -9.4 percent at one day, worse than 'no change'. So </w:t>
      </w:r>
      <w:r>
        <w:rPr>
          <w:b/>
          <w:sz w:val="21"/>
        </w:rPr>
        <w:t>no model in this comparison beats the random walk on the daily tomato series</w:t>
      </w:r>
      <w:r>
        <w:rPr>
          <w:sz w:val="21"/>
        </w:rPr>
        <w:t>. This is a sobering and honest finding: short-term daily forecasting of this series is not where the value lies, which is why we decided to optimise the decision instead.</w:t>
      </w:r>
    </w:p>
    <w:p>
      <w:pPr>
        <w:keepNext/>
        <w:spacing w:before="120" w:after="40"/>
      </w:pPr>
      <w:r>
        <w:rPr>
          <w:b/>
          <w:color w:val="1F2A44"/>
          <w:sz w:val="19"/>
        </w:rPr>
        <w:t>THE NUMBERS ON THIS SLIDE AND WHAT EACH ONE MEANS</w:t>
      </w:r>
    </w:p>
    <w:tbl>
      <w:tblPr>
        <w:tblStyle w:val="TableGrid"/>
        <w:tblW w:type="auto" w:w="0"/>
        <w:jc w:val="center"/>
        <w:tblLayout w:type="fixed"/>
        <w:tblLook w:firstColumn="1" w:firstRow="1" w:lastColumn="0" w:lastRow="0" w:noHBand="0" w:noVBand="1" w:val="04A0"/>
      </w:tblPr>
      <w:tblGrid>
        <w:gridCol w:w="2948"/>
        <w:gridCol w:w="6690"/>
      </w:tblGrid>
      <w:tr>
        <w:tc>
          <w:tcPr>
            <w:tcW w:type="dxa" w:w="2948"/>
            <w:shd w:val="clear" w:color="auto" w:fill="1F4E79"/>
          </w:tcPr>
          <w:p>
            <w:pPr>
              <w:spacing w:after="20"/>
            </w:pPr>
            <w:r>
              <w:rPr>
                <w:b/>
                <w:color w:val="FFFFFF"/>
              </w:rPr>
            </w:r>
            <w:r>
              <w:rPr>
                <w:b/>
                <w:color w:val="FFFFFF"/>
                <w:sz w:val="19"/>
              </w:rPr>
              <w:t>Number</w:t>
            </w:r>
          </w:p>
        </w:tc>
        <w:tc>
          <w:tcPr>
            <w:tcW w:type="dxa" w:w="6690"/>
            <w:shd w:val="clear" w:color="auto" w:fill="1F4E79"/>
          </w:tcPr>
          <w:p>
            <w:pPr>
              <w:spacing w:after="20"/>
            </w:pPr>
            <w:r>
              <w:rPr>
                <w:b/>
                <w:color w:val="FFFFFF"/>
              </w:rPr>
            </w:r>
            <w:r>
              <w:rPr>
                <w:b/>
                <w:color w:val="FFFFFF"/>
                <w:sz w:val="19"/>
              </w:rPr>
              <w:t>What it means</w:t>
            </w:r>
          </w:p>
        </w:tc>
      </w:tr>
      <w:tr>
        <w:tc>
          <w:tcPr>
            <w:tcW w:type="dxa" w:w="2948"/>
          </w:tcPr>
          <w:p>
            <w:pPr>
              <w:spacing w:after="20"/>
            </w:pPr>
            <w:r/>
            <w:r>
              <w:rPr>
                <w:sz w:val="19"/>
              </w:rPr>
              <w:t>+27 to +62 percent</w:t>
            </w:r>
          </w:p>
        </w:tc>
        <w:tc>
          <w:tcPr>
            <w:tcW w:type="dxa" w:w="6690"/>
          </w:tcPr>
          <w:p>
            <w:pPr>
              <w:spacing w:after="20"/>
            </w:pPr>
            <w:r/>
            <w:r>
              <w:rPr>
                <w:sz w:val="19"/>
              </w:rPr>
              <w:t>skill reported when the decomposition is done once over the whole series.</w:t>
            </w:r>
          </w:p>
        </w:tc>
      </w:tr>
      <w:tr>
        <w:tc>
          <w:tcPr>
            <w:tcW w:type="dxa" w:w="2948"/>
            <w:shd w:val="clear" w:color="auto" w:fill="EEF4F9"/>
          </w:tcPr>
          <w:p>
            <w:pPr>
              <w:spacing w:after="20"/>
            </w:pPr>
            <w:r/>
            <w:r>
              <w:rPr>
                <w:sz w:val="19"/>
              </w:rPr>
              <w:t>-15 to -1 percent</w:t>
            </w:r>
          </w:p>
        </w:tc>
        <w:tc>
          <w:tcPr>
            <w:tcW w:type="dxa" w:w="6690"/>
            <w:shd w:val="clear" w:color="auto" w:fill="EEF4F9"/>
          </w:tcPr>
          <w:p>
            <w:pPr>
              <w:spacing w:after="20"/>
            </w:pPr>
            <w:r/>
            <w:r>
              <w:rPr>
                <w:sz w:val="19"/>
              </w:rPr>
              <w:t>skill of the same models when decomposition is done only on data available at each forecast day.</w:t>
            </w:r>
          </w:p>
        </w:tc>
      </w:tr>
      <w:tr>
        <w:tc>
          <w:tcPr>
            <w:tcW w:type="dxa" w:w="2948"/>
          </w:tcPr>
          <w:p>
            <w:pPr>
              <w:spacing w:after="20"/>
            </w:pPr>
            <w:r/>
            <w:r>
              <w:rPr>
                <w:sz w:val="19"/>
              </w:rPr>
              <w:t>30 to 71 points</w:t>
            </w:r>
          </w:p>
        </w:tc>
        <w:tc>
          <w:tcPr>
            <w:tcW w:type="dxa" w:w="6690"/>
          </w:tcPr>
          <w:p>
            <w:pPr>
              <w:spacing w:after="20"/>
            </w:pPr>
            <w:r/>
            <w:r>
              <w:rPr>
                <w:sz w:val="19"/>
              </w:rPr>
              <w:t>size of the leak (published minus causal).</w:t>
            </w:r>
          </w:p>
        </w:tc>
      </w:tr>
      <w:tr>
        <w:tc>
          <w:tcPr>
            <w:tcW w:type="dxa" w:w="2948"/>
            <w:shd w:val="clear" w:color="auto" w:fill="EEF4F9"/>
          </w:tcPr>
          <w:p>
            <w:pPr>
              <w:spacing w:after="20"/>
            </w:pPr>
            <w:r/>
            <w:r>
              <w:rPr>
                <w:sz w:val="19"/>
              </w:rPr>
              <w:t>-9.4 percent</w:t>
            </w:r>
          </w:p>
        </w:tc>
        <w:tc>
          <w:tcPr>
            <w:tcW w:type="dxa" w:w="6690"/>
            <w:shd w:val="clear" w:color="auto" w:fill="EEF4F9"/>
          </w:tcPr>
          <w:p>
            <w:pPr>
              <w:spacing w:after="20"/>
            </w:pPr>
            <w:r/>
            <w:r>
              <w:rPr>
                <w:sz w:val="19"/>
              </w:rPr>
              <w:t>Chronos-Bolt zero-shot at one day.</w:t>
            </w:r>
          </w:p>
        </w:tc>
      </w:tr>
    </w:tbl>
    <w:p>
      <w:pPr>
        <w:spacing w:after="40"/>
      </w:pPr>
    </w:p>
    <w:p>
      <w:pPr>
        <w:keepNext/>
        <w:spacing w:before="120" w:after="40"/>
      </w:pPr>
      <w:r>
        <w:rPr>
          <w:b/>
          <w:color w:val="1F2A44"/>
          <w:sz w:val="19"/>
        </w:rPr>
        <w:t>WHY WE DID IT THIS WAY</w:t>
      </w:r>
    </w:p>
    <w:p>
      <w:pPr>
        <w:pStyle w:val="ListBullet"/>
        <w:spacing w:after="60"/>
      </w:pPr>
      <w:r>
        <w:rPr>
          <w:sz w:val="21"/>
        </w:rPr>
        <w:t>This is objective 6 and a novelty claim: we measured how large the look-ahead leak is. Nobody had quantified it for agricultural decomposition hybrids.</w:t>
      </w:r>
    </w:p>
    <w:p>
      <w:pPr>
        <w:keepNext/>
        <w:spacing w:before="120" w:after="40"/>
      </w:pPr>
      <w:r>
        <w:rPr>
          <w:b/>
          <w:color w:val="9C3B00"/>
          <w:sz w:val="19"/>
        </w:rPr>
        <w:t>LIMITS AND THINGS TO FIX (SAY THESE YOURSELF)</w:t>
      </w:r>
    </w:p>
    <w:p>
      <w:pPr>
        <w:pStyle w:val="ListBullet"/>
        <w:spacing w:after="60"/>
      </w:pPr>
      <w:r>
        <w:rPr>
          <w:sz w:val="21"/>
        </w:rPr>
        <w:t>We did not audit the specific published papers; the claim is about the protocol they describe. Tomato only, one series, daily.</w:t>
      </w:r>
    </w:p>
    <w:p>
      <w:pPr>
        <w:keepNext/>
        <w:spacing w:before="120" w:after="40"/>
      </w:pPr>
      <w:r>
        <w:rPr>
          <w:b/>
          <w:color w:val="1F2A44"/>
          <w:sz w:val="19"/>
        </w:rPr>
        <w:t>IF ASKED</w:t>
      </w:r>
    </w:p>
    <w:p>
      <w:pPr>
        <w:spacing w:after="20"/>
      </w:pPr>
      <w:r>
        <w:rPr>
          <w:b/>
          <w:sz w:val="21"/>
        </w:rPr>
        <w:t>Q. Are you saying the published papers are wrong?</w:t>
      </w:r>
    </w:p>
    <w:p>
      <w:pPr>
        <w:spacing w:after="100"/>
      </w:pPr>
      <w:r>
        <w:rPr>
          <w:sz w:val="21"/>
        </w:rPr>
        <w:t>No. We say that the protocol they describe (decompose the full series once) leaks future information, and we measured how much on our data. Their numbers may well be what they report under that protocol; they are not what a farmer would get in real use.</w:t>
      </w:r>
    </w:p>
    <w:p>
      <w:pPr>
        <w:spacing w:after="20"/>
      </w:pPr>
      <w:r>
        <w:rPr>
          <w:b/>
          <w:sz w:val="21"/>
        </w:rPr>
        <w:t>Q. Why does a better-looking forecast not matter for your goal?</w:t>
      </w:r>
    </w:p>
    <w:p>
      <w:pPr>
        <w:spacing w:after="100"/>
      </w:pPr>
      <w:r>
        <w:rPr>
          <w:sz w:val="21"/>
        </w:rPr>
        <w:t>Because even honest forecasts barely beat 'no change' at the daily level. The valuable thing is choosing between mandis, which is a decision problem, and that is where training on realised revenue helps.</w:t>
      </w:r>
    </w:p>
    <w:p>
      <w:pPr>
        <w:pStyle w:val="Heading1"/>
        <w:spacing w:before="440"/>
      </w:pPr>
      <w:r>
        <w:t>Slide 24 · Council, shocks, spillover and language layer</w:t>
      </w:r>
    </w:p>
    <w:tbl>
      <w:tblPr>
        <w:tblStyle w:val="TableGrid"/>
        <w:tblW w:type="auto" w:w="0"/>
        <w:tblLook w:firstColumn="1" w:firstRow="1" w:lastColumn="0" w:lastRow="0" w:noHBand="0" w:noVBand="1" w:val="04A0"/>
      </w:tblPr>
      <w:tblGrid>
        <w:gridCol w:w="10086"/>
      </w:tblGrid>
      <w:tr>
        <w:tc>
          <w:tcPr>
            <w:tcW w:type="dxa" w:w="10086"/>
            <w:shd w:val="clear" w:color="auto" w:fill="EAF2F8"/>
          </w:tcPr>
          <w:p>
            <w:pPr>
              <w:keepNext/>
              <w:spacing w:after="40"/>
            </w:pPr>
            <w:r/>
            <w:r>
              <w:rPr>
                <w:b/>
                <w:sz w:val="21"/>
              </w:rPr>
              <w:t>In one line.</w:t>
            </w:r>
            <w:r>
              <w:rPr>
                <w:sz w:val="21"/>
              </w:rPr>
              <w:t xml:space="preserve"> Five side studies, each reported with its verdict, three of which are honest negatives.</w:t>
            </w:r>
          </w:p>
        </w:tc>
      </w:tr>
    </w:tbl>
    <w:p>
      <w:pPr>
        <w:spacing w:after="0"/>
      </w:pPr>
    </w:p>
    <w:p>
      <w:pPr>
        <w:keepNext/>
        <w:spacing w:before="120" w:after="40"/>
      </w:pPr>
      <w:r>
        <w:rPr>
          <w:b/>
          <w:color w:val="1F2A44"/>
          <w:sz w:val="19"/>
        </w:rPr>
        <w:t>IN PLAIN WORDS</w:t>
      </w:r>
    </w:p>
    <w:p>
      <w:pPr>
        <w:spacing w:after="80"/>
      </w:pPr>
      <w:r>
        <w:rPr>
          <w:sz w:val="21"/>
        </w:rPr>
        <w:t>A table of five studies we ran beyond the main model. The right-hand column says what we did with each result: promoted, served, withheld or not promoted. This is the place where we show that we do not publish anything the data cannot support.</w:t>
      </w:r>
    </w:p>
    <w:p>
      <w:pPr>
        <w:keepNext/>
        <w:spacing w:before="120" w:after="40"/>
      </w:pPr>
      <w:r>
        <w:rPr>
          <w:b/>
          <w:color w:val="1F2A44"/>
          <w:sz w:val="19"/>
        </w:rPr>
        <w:t>GO DEEPER: THE TECHNICAL CONTENT, EXPLAINED</w:t>
      </w:r>
    </w:p>
    <w:p>
      <w:pPr>
        <w:pStyle w:val="ListBullet"/>
        <w:spacing w:after="60"/>
      </w:pPr>
      <w:r>
        <w:rPr>
          <w:b/>
          <w:sz w:val="21"/>
        </w:rPr>
        <w:t>Specialist council (not promoted).</w:t>
      </w:r>
      <w:r>
        <w:rPr>
          <w:sz w:val="21"/>
        </w:rPr>
        <w:t xml:space="preserve"> Four agents, each looking at one family of features (for example trend, seasonality), whose forecasts are combined with learned weights that must sum to at most 1. Result: council skill +0.2 to +0.4 percent against +0.6 to +0.8 percent for a single model, and the council beat the single model in only 0 to 1 of 4 folds. An earlier version with unconstrained weights (sums of 2.4 to 3.1) was significantly worse. So it was not promoted and is kept as an inspectable diagnostic.</w:t>
      </w:r>
    </w:p>
    <w:p>
      <w:pPr>
        <w:pStyle w:val="ListBullet"/>
        <w:spacing w:after="60"/>
      </w:pPr>
      <w:r>
        <w:rPr>
          <w:b/>
          <w:sz w:val="21"/>
        </w:rPr>
        <w:t>Supply-shock event study (not served).</w:t>
      </w:r>
      <w:r>
        <w:rPr>
          <w:sz w:val="21"/>
        </w:rPr>
        <w:t xml:space="preserve"> Question: do big surges in arrivals move prices over 3, 7 and 14 days? We tested 30 crop-horizon combinations, compared with placebo circular shifts (shifting the shock series in time to see what pure chance looks like), and corrected with Holm. None was robust; 5 were suggestive, but the smallest effect we could detect (minimum detectable effect) was as large as the estimate, so power was marginal. The shock page labels the evidence tier.</w:t>
      </w:r>
    </w:p>
    <w:p>
      <w:pPr>
        <w:pStyle w:val="ListBullet"/>
        <w:spacing w:after="60"/>
      </w:pPr>
      <w:r>
        <w:rPr>
          <w:b/>
          <w:sz w:val="21"/>
        </w:rPr>
        <w:t>Cross-commodity spillover (withheld).</w:t>
      </w:r>
      <w:r>
        <w:rPr>
          <w:sz w:val="21"/>
        </w:rPr>
        <w:t xml:space="preserve"> 5 crops, 40 directed edges, false discovery rate 10 percent, at least 8 episodes needed. Result: 0 shock episodes in all 10 source cells, so 40 of 40 edges are 'insufficient evidence'. This is also a finding about the pipeline: the detector relies on supply-regime labels (squeeze or glut) derived from arrivals, and no week of the real panel was labelled either. Whether the market was calm, the threshold too strict, or labelling not fed from the real panel is unresolved (future work).</w:t>
      </w:r>
    </w:p>
    <w:p>
      <w:pPr>
        <w:pStyle w:val="ListBullet"/>
        <w:spacing w:after="60"/>
      </w:pPr>
      <w:r>
        <w:rPr>
          <w:b/>
          <w:sz w:val="21"/>
        </w:rPr>
        <w:t>District forecasts (served for 3, 5 and 7 days).</w:t>
      </w:r>
      <w:r>
        <w:rPr>
          <w:sz w:val="21"/>
        </w:rPr>
        <w:t xml:space="preserve"> Forecast of the district modal price compared with 'no change', with a 90 percent band. Skill +3.0 to +4.0 percent, direction correct on 60 to 62 percent of occasions, band coverage 89.8 percent (target 90). The bands are wide (62 to 75 percent of the price), the price of honest uncertainty. The 1-day horizon was not served: its skill (0.2 percent) is not distinguishable from no change.</w:t>
      </w:r>
    </w:p>
    <w:p>
      <w:pPr>
        <w:pStyle w:val="ListBullet"/>
        <w:spacing w:after="60"/>
      </w:pPr>
      <w:r>
        <w:rPr>
          <w:b/>
          <w:sz w:val="21"/>
        </w:rPr>
        <w:t>Explanation layer (verified, small sample).</w:t>
      </w:r>
      <w:r>
        <w:rPr>
          <w:sz w:val="21"/>
        </w:rPr>
        <w:t xml:space="preserve"> 24 explanations (120 sentences) in English, Kannada and Hindi (8 per language) written by gpt-oss-120b and judged by a Qwen model. No sentence failed the number validator. The judge rejected 2 of 40 English, 9 of 40 Kannada and 7 of 40 Hindi sentences (these fall back to the original rule-written text). The share kept from the model: English 0.83 to 0.99, Kannada 0.62 to 0.88, Hindi 0.68 to 0.91. To test the judge itself, 9 deliberately corrupted explanations (reversed meaning, an added claim, a dropped qualifier, a wrong meaning) and 3 faithful ones were presented: it caught 9 of 9 and falsely rejected 0 of 3. The sample is small, so this shows the judge is not blind rather than that it is reliable.</w:t>
      </w:r>
    </w:p>
    <w:p>
      <w:pPr>
        <w:keepNext/>
        <w:spacing w:before="120" w:after="40"/>
      </w:pPr>
      <w:r>
        <w:rPr>
          <w:b/>
          <w:color w:val="1F2A44"/>
          <w:sz w:val="19"/>
        </w:rPr>
        <w:t>THE NUMBERS ON THIS SLIDE AND WHAT EACH ONE MEANS</w:t>
      </w:r>
    </w:p>
    <w:tbl>
      <w:tblPr>
        <w:tblStyle w:val="TableGrid"/>
        <w:tblW w:type="auto" w:w="0"/>
        <w:jc w:val="center"/>
        <w:tblLayout w:type="fixed"/>
        <w:tblLook w:firstColumn="1" w:firstRow="1" w:lastColumn="0" w:lastRow="0" w:noHBand="0" w:noVBand="1" w:val="04A0"/>
      </w:tblPr>
      <w:tblGrid>
        <w:gridCol w:w="2948"/>
        <w:gridCol w:w="6690"/>
      </w:tblGrid>
      <w:tr>
        <w:tc>
          <w:tcPr>
            <w:tcW w:type="dxa" w:w="2948"/>
            <w:shd w:val="clear" w:color="auto" w:fill="1F4E79"/>
          </w:tcPr>
          <w:p>
            <w:pPr>
              <w:spacing w:after="20"/>
            </w:pPr>
            <w:r>
              <w:rPr>
                <w:b/>
                <w:color w:val="FFFFFF"/>
              </w:rPr>
            </w:r>
            <w:r>
              <w:rPr>
                <w:b/>
                <w:color w:val="FFFFFF"/>
                <w:sz w:val="19"/>
              </w:rPr>
              <w:t>Number</w:t>
            </w:r>
          </w:p>
        </w:tc>
        <w:tc>
          <w:tcPr>
            <w:tcW w:type="dxa" w:w="6690"/>
            <w:shd w:val="clear" w:color="auto" w:fill="1F4E79"/>
          </w:tcPr>
          <w:p>
            <w:pPr>
              <w:spacing w:after="20"/>
            </w:pPr>
            <w:r>
              <w:rPr>
                <w:b/>
                <w:color w:val="FFFFFF"/>
              </w:rPr>
            </w:r>
            <w:r>
              <w:rPr>
                <w:b/>
                <w:color w:val="FFFFFF"/>
                <w:sz w:val="19"/>
              </w:rPr>
              <w:t>What it means</w:t>
            </w:r>
          </w:p>
        </w:tc>
      </w:tr>
      <w:tr>
        <w:tc>
          <w:tcPr>
            <w:tcW w:type="dxa" w:w="2948"/>
          </w:tcPr>
          <w:p>
            <w:pPr>
              <w:spacing w:after="20"/>
            </w:pPr>
            <w:r/>
            <w:r>
              <w:rPr>
                <w:sz w:val="19"/>
              </w:rPr>
              <w:t>0 of 40</w:t>
            </w:r>
          </w:p>
        </w:tc>
        <w:tc>
          <w:tcPr>
            <w:tcW w:type="dxa" w:w="6690"/>
          </w:tcPr>
          <w:p>
            <w:pPr>
              <w:spacing w:after="20"/>
            </w:pPr>
            <w:r/>
            <w:r>
              <w:rPr>
                <w:sz w:val="19"/>
              </w:rPr>
              <w:t>spillover edges with enough evidence.</w:t>
            </w:r>
          </w:p>
        </w:tc>
      </w:tr>
      <w:tr>
        <w:tc>
          <w:tcPr>
            <w:tcW w:type="dxa" w:w="2948"/>
            <w:shd w:val="clear" w:color="auto" w:fill="EEF4F9"/>
          </w:tcPr>
          <w:p>
            <w:pPr>
              <w:spacing w:after="20"/>
            </w:pPr>
            <w:r/>
            <w:r>
              <w:rPr>
                <w:sz w:val="19"/>
              </w:rPr>
              <w:t>89.8 percent</w:t>
            </w:r>
          </w:p>
        </w:tc>
        <w:tc>
          <w:tcPr>
            <w:tcW w:type="dxa" w:w="6690"/>
            <w:shd w:val="clear" w:color="auto" w:fill="EEF4F9"/>
          </w:tcPr>
          <w:p>
            <w:pPr>
              <w:spacing w:after="20"/>
            </w:pPr>
            <w:r/>
            <w:r>
              <w:rPr>
                <w:sz w:val="19"/>
              </w:rPr>
              <w:t>coverage of the 90 percent district bands: nearly exact.</w:t>
            </w:r>
          </w:p>
        </w:tc>
      </w:tr>
      <w:tr>
        <w:tc>
          <w:tcPr>
            <w:tcW w:type="dxa" w:w="2948"/>
          </w:tcPr>
          <w:p>
            <w:pPr>
              <w:spacing w:after="20"/>
            </w:pPr>
            <w:r/>
            <w:r>
              <w:rPr>
                <w:sz w:val="19"/>
              </w:rPr>
              <w:t>9 of 9, 0 of 3</w:t>
            </w:r>
          </w:p>
        </w:tc>
        <w:tc>
          <w:tcPr>
            <w:tcW w:type="dxa" w:w="6690"/>
          </w:tcPr>
          <w:p>
            <w:pPr>
              <w:spacing w:after="20"/>
            </w:pPr>
            <w:r/>
            <w:r>
              <w:rPr>
                <w:sz w:val="19"/>
              </w:rPr>
              <w:t>corrupted explanations caught, faithful ones wrongly rejected.</w:t>
            </w:r>
          </w:p>
        </w:tc>
      </w:tr>
    </w:tbl>
    <w:p>
      <w:pPr>
        <w:spacing w:after="40"/>
      </w:pPr>
    </w:p>
    <w:p>
      <w:pPr>
        <w:keepNext/>
        <w:spacing w:before="120" w:after="40"/>
      </w:pPr>
      <w:r>
        <w:rPr>
          <w:b/>
          <w:color w:val="9C3B00"/>
          <w:sz w:val="19"/>
        </w:rPr>
        <w:t>LIMITS AND THINGS TO FIX (SAY THESE YOURSELF)</w:t>
      </w:r>
    </w:p>
    <w:p>
      <w:pPr>
        <w:pStyle w:val="ListBullet"/>
        <w:spacing w:after="60"/>
      </w:pPr>
      <w:r>
        <w:rPr>
          <w:sz w:val="21"/>
        </w:rPr>
        <w:t>Small n for the language layer; Kannada and Hindi weaker than English; no native-speaker review yet (future work).</w:t>
      </w:r>
    </w:p>
    <w:p>
      <w:pPr>
        <w:keepNext/>
        <w:spacing w:before="120" w:after="40"/>
      </w:pPr>
      <w:r>
        <w:rPr>
          <w:b/>
          <w:color w:val="1F2A44"/>
          <w:sz w:val="19"/>
        </w:rPr>
        <w:t>IF ASKED</w:t>
      </w:r>
    </w:p>
    <w:p>
      <w:pPr>
        <w:spacing w:after="20"/>
      </w:pPr>
      <w:r>
        <w:rPr>
          <w:b/>
          <w:sz w:val="21"/>
        </w:rPr>
        <w:t>Q. Why report things that did not work?</w:t>
      </w:r>
    </w:p>
    <w:p>
      <w:pPr>
        <w:spacing w:after="100"/>
      </w:pPr>
      <w:r>
        <w:rPr>
          <w:sz w:val="21"/>
        </w:rPr>
        <w:t>Because the thesis claims only what survived testing. Showing negatives also protects the positives: it proves we did not simply keep what looked good.</w:t>
      </w:r>
    </w:p>
    <w:p>
      <w:pPr>
        <w:spacing w:after="20"/>
      </w:pPr>
      <w:r>
        <w:rPr>
          <w:b/>
          <w:sz w:val="21"/>
        </w:rPr>
        <w:t>Q. What is a placebo shift?</w:t>
      </w:r>
    </w:p>
    <w:p>
      <w:pPr>
        <w:spacing w:after="100"/>
      </w:pPr>
      <w:r>
        <w:rPr>
          <w:sz w:val="21"/>
        </w:rPr>
        <w:t>We move the shock dates by a random amount and re-run the test; if real shocks show effects no larger than these fake ones, the effects are not credible.</w:t>
      </w:r>
    </w:p>
    <w:p>
      <w:pPr>
        <w:spacing w:after="20"/>
      </w:pPr>
      <w:r>
        <w:rPr>
          <w:b/>
          <w:sz w:val="21"/>
        </w:rPr>
        <w:t>Q. What is minimum detectable effect?</w:t>
      </w:r>
    </w:p>
    <w:p>
      <w:pPr>
        <w:spacing w:after="100"/>
      </w:pPr>
      <w:r>
        <w:rPr>
          <w:sz w:val="21"/>
        </w:rPr>
        <w:t>The smallest effect the data could reliably detect. If it is as large as the estimate, a real effect of that size could not be told from noise.</w:t>
      </w:r>
    </w:p>
    <w:p>
      <w:pPr>
        <w:pStyle w:val="Heading1"/>
        <w:spacing w:before="440"/>
      </w:pPr>
      <w:r>
        <w:t>Slide 25 · Comparative benchmarking</w:t>
      </w:r>
    </w:p>
    <w:tbl>
      <w:tblPr>
        <w:tblStyle w:val="TableGrid"/>
        <w:tblW w:type="auto" w:w="0"/>
        <w:tblLook w:firstColumn="1" w:firstRow="1" w:lastColumn="0" w:lastRow="0" w:noHBand="0" w:noVBand="1" w:val="04A0"/>
      </w:tblPr>
      <w:tblGrid>
        <w:gridCol w:w="10086"/>
      </w:tblGrid>
      <w:tr>
        <w:tc>
          <w:tcPr>
            <w:tcW w:type="dxa" w:w="10086"/>
            <w:shd w:val="clear" w:color="auto" w:fill="EAF2F8"/>
          </w:tcPr>
          <w:p>
            <w:pPr>
              <w:keepNext/>
              <w:spacing w:after="40"/>
            </w:pPr>
            <w:r/>
            <w:r>
              <w:rPr>
                <w:b/>
                <w:sz w:val="21"/>
              </w:rPr>
              <w:t>In one line.</w:t>
            </w:r>
            <w:r>
              <w:rPr>
                <w:sz w:val="21"/>
              </w:rPr>
              <w:t xml:space="preserve"> All methods compared under identical conditions: ours wins in every crop against every simple rule and every observed-price model, except where stated.</w:t>
            </w:r>
          </w:p>
        </w:tc>
      </w:tr>
    </w:tbl>
    <w:p>
      <w:pPr>
        <w:spacing w:after="0"/>
      </w:pPr>
    </w:p>
    <w:p>
      <w:pPr>
        <w:keepNext/>
        <w:spacing w:before="120" w:after="40"/>
      </w:pPr>
      <w:r>
        <w:rPr>
          <w:b/>
          <w:color w:val="1F2A44"/>
          <w:sz w:val="19"/>
        </w:rPr>
        <w:t>IN PLAIN WORDS</w:t>
      </w:r>
    </w:p>
    <w:p>
      <w:pPr>
        <w:spacing w:after="80"/>
      </w:pPr>
      <w:r>
        <w:rPr>
          <w:sz w:val="21"/>
        </w:rPr>
        <w:t>No other published study scores mandi choice by regret on real data with reporting gaps, so we cannot compare against another paper's number. Instead we compare against what farmers really do (nearest mandi, highest price yesterday, best seven-day mean, farm gate) and against the standard predict-then-optimise models, all retrained on the same split with the same tuning budget.</w:t>
      </w:r>
    </w:p>
    <w:p>
      <w:pPr>
        <w:keepNext/>
        <w:spacing w:before="120" w:after="40"/>
      </w:pPr>
      <w:r>
        <w:rPr>
          <w:b/>
          <w:color w:val="1F2A44"/>
          <w:sz w:val="19"/>
        </w:rPr>
        <w:t>GO DEEPER: THE TECHNICAL CONTENT, EXPLAINED</w:t>
      </w:r>
    </w:p>
    <w:p>
      <w:pPr>
        <w:pStyle w:val="ListBullet"/>
        <w:spacing w:after="60"/>
      </w:pPr>
      <w:r>
        <w:rPr>
          <w:b/>
          <w:sz w:val="21"/>
        </w:rPr>
        <w:t>Each cell shows two numbers: gap closed / share of recommendations that went to a silent market.</w:t>
      </w:r>
      <w:r>
        <w:rPr>
          <w:sz w:val="21"/>
        </w:rPr>
        <w:t xml:space="preserve"> Gap closed: 0 = no better than nearest mandi, 1 = as good as the oracle. Silent share: lower is better.</w:t>
      </w:r>
    </w:p>
    <w:p>
      <w:pPr>
        <w:pStyle w:val="ListBullet"/>
        <w:spacing w:after="60"/>
      </w:pPr>
      <w:r>
        <w:rPr>
          <w:b/>
          <w:sz w:val="21"/>
        </w:rPr>
        <w:t>Tomato row by row.</w:t>
      </w:r>
      <w:r>
        <w:rPr>
          <w:sz w:val="21"/>
        </w:rPr>
        <w:t xml:space="preserve"> Nearest mandi: 0.00 and 34 percent silent: the baseline and a third of trips wasted. Highest price yesterday: 0.43 / 28 percent. LightGBM on observed prices: 0.43 / 29 percent, no better than the simple rule. LightGBM on realised outcomes (ours): 0.57 / 12 percent. Neural SPO+ on realised outcomes (ours): 0.58 / 12 percent.</w:t>
      </w:r>
    </w:p>
    <w:p>
      <w:pPr>
        <w:pStyle w:val="ListBullet"/>
        <w:spacing w:after="60"/>
      </w:pPr>
      <w:r>
        <w:rPr>
          <w:b/>
          <w:sz w:val="21"/>
        </w:rPr>
        <w:t>Onion:</w:t>
      </w:r>
      <w:r>
        <w:rPr>
          <w:sz w:val="21"/>
        </w:rPr>
        <w:t xml:space="preserve"> 0.00 / 34; 0.26 / 43; 0.24 / 43; 0.48 / 18; 0.50 / 20. </w:t>
      </w:r>
      <w:r>
        <w:rPr>
          <w:b/>
          <w:sz w:val="21"/>
        </w:rPr>
        <w:t>Potato:</w:t>
      </w:r>
      <w:r>
        <w:rPr>
          <w:sz w:val="21"/>
        </w:rPr>
        <w:t xml:space="preserve"> 0.00 / 34; 0.17 / 35; 0.12 / 34; 0.31 / 21; 0.28 / 17. </w:t>
      </w:r>
      <w:r>
        <w:rPr>
          <w:b/>
          <w:sz w:val="21"/>
        </w:rPr>
        <w:t>Ginger:</w:t>
      </w:r>
      <w:r>
        <w:rPr>
          <w:sz w:val="21"/>
        </w:rPr>
        <w:t xml:space="preserve"> 0.00 / 24; 0.69 / 11; 0.69 / 12; 0.76 / 5; 0.76 / 5.</w:t>
      </w:r>
    </w:p>
    <w:p>
      <w:pPr>
        <w:pStyle w:val="ListBullet"/>
        <w:spacing w:after="60"/>
      </w:pPr>
      <w:r>
        <w:rPr>
          <w:b/>
          <w:sz w:val="21"/>
        </w:rPr>
        <w:t>Where we win:</w:t>
      </w:r>
      <w:r>
        <w:rPr>
          <w:sz w:val="21"/>
        </w:rPr>
        <w:t xml:space="preserve"> all four crops against every heuristic and every observed-price model.</w:t>
      </w:r>
    </w:p>
    <w:p>
      <w:pPr>
        <w:pStyle w:val="ListBullet"/>
        <w:spacing w:after="60"/>
      </w:pPr>
      <w:r>
        <w:rPr>
          <w:b/>
          <w:sz w:val="21"/>
        </w:rPr>
        <w:t>Where we do not:</w:t>
      </w:r>
      <w:r>
        <w:rPr>
          <w:sz w:val="21"/>
        </w:rPr>
        <w:t xml:space="preserve"> the potato back-test gain over the best heuristic is not distinguishable from zero (interval includes zero); and the neural SPO+ model ties the same learner trained with squared error (no loss effect). Note also that for ginger the highest-price-yesterday rule is already strong (0.69), so our improvement there is small in the table (0.76) even though the back-test gain is large in rupees.</w:t>
      </w:r>
    </w:p>
    <w:p>
      <w:pPr>
        <w:pStyle w:val="ListBullet"/>
        <w:spacing w:after="60"/>
      </w:pPr>
      <w:r>
        <w:rPr>
          <w:b/>
          <w:sz w:val="21"/>
        </w:rPr>
        <w:t>How to read the pattern.</w:t>
      </w:r>
      <w:r>
        <w:rPr>
          <w:sz w:val="21"/>
        </w:rPr>
        <w:t xml:space="preserve"> Observed-price models look like the simple rules because both only react to posted prices. Switching the labels to realised revenue is what separates the groups.</w:t>
      </w:r>
    </w:p>
    <w:p>
      <w:pPr>
        <w:keepNext/>
        <w:spacing w:before="120" w:after="40"/>
      </w:pPr>
      <w:r>
        <w:rPr>
          <w:b/>
          <w:color w:val="1F2A44"/>
          <w:sz w:val="19"/>
        </w:rPr>
        <w:t>WHY WE DID IT THIS WAY</w:t>
      </w:r>
    </w:p>
    <w:p>
      <w:pPr>
        <w:pStyle w:val="ListBullet"/>
        <w:spacing w:after="60"/>
      </w:pPr>
      <w:r>
        <w:rPr>
          <w:sz w:val="21"/>
        </w:rPr>
        <w:t>Same split, same metric, all retrained, and a model trained on the same realised labels, so that 'better label' and 'better learner' are not confused.</w:t>
      </w:r>
    </w:p>
    <w:p>
      <w:pPr>
        <w:keepNext/>
        <w:spacing w:before="120" w:after="40"/>
      </w:pPr>
      <w:r>
        <w:rPr>
          <w:b/>
          <w:color w:val="9C3B00"/>
          <w:sz w:val="19"/>
        </w:rPr>
        <w:t>LIMITS AND THINGS TO FIX (SAY THESE YOURSELF)</w:t>
      </w:r>
    </w:p>
    <w:p>
      <w:pPr>
        <w:pStyle w:val="ListBullet"/>
        <w:spacing w:after="60"/>
      </w:pPr>
      <w:r>
        <w:rPr>
          <w:sz w:val="21"/>
        </w:rPr>
        <w:t>Comparison is against heuristics and standard baselines, not against another published mandi-choice system, because none exists with this protocol.</w:t>
      </w:r>
    </w:p>
    <w:p>
      <w:pPr>
        <w:keepNext/>
        <w:spacing w:before="120" w:after="40"/>
      </w:pPr>
      <w:r>
        <w:rPr>
          <w:b/>
          <w:color w:val="1F2A44"/>
          <w:sz w:val="19"/>
        </w:rPr>
        <w:t>IF ASKED</w:t>
      </w:r>
    </w:p>
    <w:p>
      <w:pPr>
        <w:spacing w:after="20"/>
      </w:pPr>
      <w:r>
        <w:rPr>
          <w:b/>
          <w:sz w:val="21"/>
        </w:rPr>
        <w:t>Q. Why is there no comparison with other papers?</w:t>
      </w:r>
    </w:p>
    <w:p>
      <w:pPr>
        <w:spacing w:after="100"/>
      </w:pPr>
      <w:r>
        <w:rPr>
          <w:sz w:val="21"/>
        </w:rPr>
        <w:t>Because their metrics (RMSE of price) answer a different question. We included the closest equivalent we could build: a standard predict-then-optimise baseline, plus the leakage audit of published protocols.</w:t>
      </w:r>
    </w:p>
    <w:p>
      <w:pPr>
        <w:spacing w:after="20"/>
      </w:pPr>
      <w:r>
        <w:rPr>
          <w:b/>
          <w:sz w:val="21"/>
        </w:rPr>
        <w:t>Q. Why is ginger's gap closed so high for everyone?</w:t>
      </w:r>
    </w:p>
    <w:p>
      <w:pPr>
        <w:spacing w:after="100"/>
      </w:pPr>
      <w:r>
        <w:rPr>
          <w:sz w:val="21"/>
        </w:rPr>
        <w:t>Ginger prices differ a lot between mandis and are slower-moving, so even the simple rule catches much of the oracle gain.</w:t>
      </w:r>
    </w:p>
    <w:p>
      <w:pPr>
        <w:pStyle w:val="Heading1"/>
        <w:spacing w:before="440"/>
      </w:pPr>
      <w:r>
        <w:t>Slide 26 · Novelty and research contribution</w:t>
      </w:r>
    </w:p>
    <w:tbl>
      <w:tblPr>
        <w:tblStyle w:val="TableGrid"/>
        <w:tblW w:type="auto" w:w="0"/>
        <w:tblLook w:firstColumn="1" w:firstRow="1" w:lastColumn="0" w:lastRow="0" w:noHBand="0" w:noVBand="1" w:val="04A0"/>
      </w:tblPr>
      <w:tblGrid>
        <w:gridCol w:w="10086"/>
      </w:tblGrid>
      <w:tr>
        <w:tc>
          <w:tcPr>
            <w:tcW w:type="dxa" w:w="10086"/>
            <w:shd w:val="clear" w:color="auto" w:fill="EAF2F8"/>
          </w:tcPr>
          <w:p>
            <w:pPr>
              <w:keepNext/>
              <w:spacing w:after="40"/>
            </w:pPr>
            <w:r/>
            <w:r>
              <w:rPr>
                <w:b/>
                <w:sz w:val="21"/>
              </w:rPr>
              <w:t>In one line.</w:t>
            </w:r>
            <w:r>
              <w:rPr>
                <w:sz w:val="21"/>
              </w:rPr>
              <w:t xml:space="preserve"> What already existed, what is new, and what we adapted from others.</w:t>
            </w:r>
          </w:p>
        </w:tc>
      </w:tr>
    </w:tbl>
    <w:p>
      <w:pPr>
        <w:spacing w:after="0"/>
      </w:pPr>
    </w:p>
    <w:p>
      <w:pPr>
        <w:keepNext/>
        <w:spacing w:before="120" w:after="40"/>
      </w:pPr>
      <w:r>
        <w:rPr>
          <w:b/>
          <w:color w:val="1F2A44"/>
          <w:sz w:val="19"/>
        </w:rPr>
        <w:t>IN PLAIN WORDS</w:t>
      </w:r>
    </w:p>
    <w:p>
      <w:pPr>
        <w:spacing w:after="80"/>
      </w:pPr>
      <w:r>
        <w:rPr>
          <w:b/>
          <w:sz w:val="21"/>
        </w:rPr>
        <w:t>Already exists:</w:t>
      </w:r>
      <w:r>
        <w:rPr>
          <w:sz w:val="21"/>
        </w:rPr>
        <w:t xml:space="preserve"> forecasters of agricultural prices, SPO+ and decision-focused learning, adaptive conformal inference. We cite these. </w:t>
      </w:r>
      <w:r>
        <w:rPr>
          <w:b/>
          <w:sz w:val="21"/>
        </w:rPr>
        <w:t>New here:</w:t>
      </w:r>
      <w:r>
        <w:rPr>
          <w:sz w:val="21"/>
        </w:rPr>
        <w:t xml:space="preserve"> four things. </w:t>
      </w:r>
      <w:r>
        <w:rPr>
          <w:b/>
          <w:sz w:val="21"/>
        </w:rPr>
        <w:t>Adapted:</w:t>
      </w:r>
      <w:r>
        <w:rPr>
          <w:sz w:val="21"/>
        </w:rPr>
        <w:t xml:space="preserve"> we reused SPO+, ACI, DeepSets, Optuna and Chronos.</w:t>
      </w:r>
    </w:p>
    <w:p>
      <w:pPr>
        <w:keepNext/>
        <w:spacing w:before="120" w:after="40"/>
      </w:pPr>
      <w:r>
        <w:rPr>
          <w:b/>
          <w:color w:val="1F2A44"/>
          <w:sz w:val="19"/>
        </w:rPr>
        <w:t>GO DEEPER: THE TECHNICAL CONTENT, EXPLAINED</w:t>
      </w:r>
    </w:p>
    <w:p>
      <w:pPr>
        <w:pStyle w:val="ListBullet"/>
        <w:spacing w:after="60"/>
      </w:pPr>
      <w:r>
        <w:rPr>
          <w:b/>
          <w:sz w:val="21"/>
        </w:rPr>
        <w:t>New 1. Revenue labels that include silent markets, on real mandi data.</w:t>
      </w:r>
      <w:r>
        <w:rPr>
          <w:sz w:val="21"/>
        </w:rPr>
        <w:t xml:space="preserve"> The label is realised net revenue including the fallback when a mandi is silent, so the model learns reliability.</w:t>
      </w:r>
    </w:p>
    <w:p>
      <w:pPr>
        <w:pStyle w:val="ListBullet"/>
        <w:spacing w:after="60"/>
      </w:pPr>
      <w:r>
        <w:rPr>
          <w:b/>
          <w:sz w:val="21"/>
        </w:rPr>
        <w:t>New 2. Floors for selected actions whose outcome resolves k days later.</w:t>
      </w:r>
      <w:r>
        <w:rPr>
          <w:sz w:val="21"/>
        </w:rPr>
        <w:t xml:space="preserve"> Standard adaptive conformal inference assumes the outcome is seen immediately, and for a fixed prediction. Here the action is chosen by the model, and the outcome is known only after the hold period. The calibrator only receives an outcome once its sale date has passed.</w:t>
      </w:r>
    </w:p>
    <w:p>
      <w:pPr>
        <w:pStyle w:val="ListBullet"/>
        <w:spacing w:after="60"/>
      </w:pPr>
      <w:r>
        <w:rPr>
          <w:b/>
          <w:sz w:val="21"/>
        </w:rPr>
        <w:t>New 3. A measurement of how large the look-ahead leakage is</w:t>
      </w:r>
      <w:r>
        <w:rPr>
          <w:sz w:val="21"/>
        </w:rPr>
        <w:t xml:space="preserve"> in STL and VMD hybrids (30 to 71 points on tomato).</w:t>
      </w:r>
    </w:p>
    <w:p>
      <w:pPr>
        <w:pStyle w:val="ListBullet"/>
        <w:spacing w:after="60"/>
      </w:pPr>
      <w:r>
        <w:rPr>
          <w:b/>
          <w:sz w:val="21"/>
        </w:rPr>
        <w:t>New 4. Verified language briefs and a withheld-by-default spillover engine.</w:t>
      </w:r>
      <w:r>
        <w:rPr>
          <w:sz w:val="21"/>
        </w:rPr>
        <w:t xml:space="preserve"> Briefs whose every number is checked against evidence; spillover results published only when they pass strict gates.</w:t>
      </w:r>
    </w:p>
    <w:p>
      <w:pPr>
        <w:pStyle w:val="ListBullet"/>
        <w:spacing w:after="60"/>
      </w:pPr>
      <w:r>
        <w:rPr>
          <w:b/>
          <w:sz w:val="21"/>
        </w:rPr>
        <w:t>Ours versus adapted.</w:t>
      </w:r>
      <w:r>
        <w:rPr>
          <w:sz w:val="21"/>
        </w:rPr>
        <w:t xml:space="preserve"> Ours: the formulation, the pipeline, the leakage protocol, the grounding verifier, the engines and the app. Adapted: SPO+ (Elmachtoub and Grigas), adaptive conformal inference (Gibbs and Candes), DeepSets (Zaheer et al.), Optuna (Akiba et al.), Chronos (Ansari et al.). Using them is normal practice; claiming them would not be.</w:t>
      </w:r>
    </w:p>
    <w:p>
      <w:pPr>
        <w:pStyle w:val="ListBullet"/>
        <w:spacing w:after="60"/>
      </w:pPr>
      <w:r>
        <w:rPr>
          <w:b/>
          <w:sz w:val="21"/>
        </w:rPr>
        <w:t>The honest scope line.</w:t>
      </w:r>
      <w:r>
        <w:rPr>
          <w:sz w:val="21"/>
        </w:rPr>
        <w:t xml:space="preserve"> What survived testing as a positive contribution: the label effect, the floor validity and the audit. The loss, reporting head, silence features, council and spillover are bounded negative results (we know where they do not help).</w:t>
      </w:r>
    </w:p>
    <w:p>
      <w:pPr>
        <w:keepNext/>
        <w:spacing w:before="120" w:after="40"/>
      </w:pPr>
      <w:r>
        <w:rPr>
          <w:b/>
          <w:color w:val="1F2A44"/>
          <w:sz w:val="19"/>
        </w:rPr>
        <w:t>IF ASKED</w:t>
      </w:r>
    </w:p>
    <w:p>
      <w:pPr>
        <w:spacing w:after="20"/>
      </w:pPr>
      <w:r>
        <w:rPr>
          <w:b/>
          <w:sz w:val="21"/>
        </w:rPr>
        <w:t>Q. What is your single novelty?</w:t>
      </w:r>
    </w:p>
    <w:p>
      <w:pPr>
        <w:spacing w:after="100"/>
      </w:pPr>
      <w:r>
        <w:rPr>
          <w:sz w:val="21"/>
        </w:rPr>
        <w:t>Training market choice on realised, silence-aware revenue and certifying it with delayed-feedback conformal floors; plus measuring the leakage in published decomposition hybrids.</w:t>
      </w:r>
    </w:p>
    <w:p>
      <w:pPr>
        <w:spacing w:after="20"/>
      </w:pPr>
      <w:r>
        <w:rPr>
          <w:b/>
          <w:sz w:val="21"/>
        </w:rPr>
        <w:t>Q. Is a negative result a contribution?</w:t>
      </w:r>
    </w:p>
    <w:p>
      <w:pPr>
        <w:spacing w:after="100"/>
      </w:pPr>
      <w:r>
        <w:rPr>
          <w:sz w:val="21"/>
        </w:rPr>
        <w:t>Yes, when it is pre-specified and well tested: it tells others where not to spend effort. We kept them separate from the positive claims.</w:t>
      </w:r>
    </w:p>
    <w:p>
      <w:pPr>
        <w:pStyle w:val="Heading1"/>
        <w:spacing w:before="440"/>
      </w:pPr>
      <w:r>
        <w:t>Slide 27 · Optimisation and ablation study</w:t>
      </w:r>
    </w:p>
    <w:tbl>
      <w:tblPr>
        <w:tblStyle w:val="TableGrid"/>
        <w:tblW w:type="auto" w:w="0"/>
        <w:tblLook w:firstColumn="1" w:firstRow="1" w:lastColumn="0" w:lastRow="0" w:noHBand="0" w:noVBand="1" w:val="04A0"/>
      </w:tblPr>
      <w:tblGrid>
        <w:gridCol w:w="10086"/>
      </w:tblGrid>
      <w:tr>
        <w:tc>
          <w:tcPr>
            <w:tcW w:type="dxa" w:w="10086"/>
            <w:shd w:val="clear" w:color="auto" w:fill="EAF2F8"/>
          </w:tcPr>
          <w:p>
            <w:pPr>
              <w:keepNext/>
              <w:spacing w:after="40"/>
            </w:pPr>
            <w:r/>
            <w:r>
              <w:rPr>
                <w:b/>
                <w:sz w:val="21"/>
              </w:rPr>
              <w:t>In one line.</w:t>
            </w:r>
            <w:r>
              <w:rPr>
                <w:sz w:val="21"/>
              </w:rPr>
              <w:t xml:space="preserve"> Which parts of the model genuinely matter: changing one thing at a time shows that only the labels do.</w:t>
            </w:r>
          </w:p>
        </w:tc>
      </w:tr>
    </w:tbl>
    <w:p>
      <w:pPr>
        <w:spacing w:after="0"/>
      </w:pPr>
    </w:p>
    <w:p>
      <w:pPr>
        <w:keepNext/>
        <w:spacing w:before="120" w:after="40"/>
      </w:pPr>
      <w:r>
        <w:rPr>
          <w:b/>
          <w:color w:val="1F2A44"/>
          <w:sz w:val="19"/>
        </w:rPr>
        <w:t>IN PLAIN WORDS</w:t>
      </w:r>
    </w:p>
    <w:p>
      <w:pPr>
        <w:spacing w:after="80"/>
      </w:pPr>
      <w:r>
        <w:rPr>
          <w:sz w:val="21"/>
        </w:rPr>
        <w:t xml:space="preserve">An </w:t>
      </w:r>
      <w:r>
        <w:rPr>
          <w:b/>
          <w:sz w:val="21"/>
        </w:rPr>
        <w:t>ablation</w:t>
      </w:r>
      <w:r>
        <w:rPr>
          <w:sz w:val="21"/>
        </w:rPr>
        <w:t xml:space="preserve"> is a controlled experiment: change one component, keep everything else the same, and measure the change in regret. If a component is truly useful, removing or adding it should move the result reliably. We tried several clever components; most did not.</w:t>
      </w:r>
    </w:p>
    <w:p>
      <w:pPr>
        <w:spacing w:after="80"/>
      </w:pPr>
      <w:r>
        <w:rPr>
          <w:b/>
          <w:sz w:val="21"/>
        </w:rPr>
        <w:t>Tuning.</w:t>
      </w:r>
      <w:r>
        <w:rPr>
          <w:sz w:val="21"/>
        </w:rPr>
        <w:t xml:space="preserve"> Settings of each method were chosen by Optuna's TPE search, per fold, on that method's native criterion, with the same trial budget for all. Tuning the most complete model on forecast loss instead of decision regret made no reliable difference.</w:t>
      </w:r>
    </w:p>
    <w:p>
      <w:pPr>
        <w:keepNext/>
        <w:spacing w:before="120" w:after="40"/>
      </w:pPr>
      <w:r>
        <w:rPr>
          <w:b/>
          <w:color w:val="1F2A44"/>
          <w:sz w:val="19"/>
        </w:rPr>
        <w:t>GO DEEPER: THE TECHNICAL CONTENT, EXPLAINED</w:t>
      </w:r>
    </w:p>
    <w:p>
      <w:pPr>
        <w:pStyle w:val="ListBullet"/>
        <w:spacing w:after="60"/>
      </w:pPr>
      <w:r>
        <w:rPr>
          <w:b/>
          <w:sz w:val="21"/>
        </w:rPr>
        <w:t>Row 1. SPO+ loss instead of squared error: -25 [-53, +3], Holm p 0.505.</w:t>
      </w:r>
      <w:r>
        <w:rPr>
          <w:sz w:val="21"/>
        </w:rPr>
        <w:t xml:space="preserve"> Regret fell by Rs 25 on average, but the interval includes zero and the adjusted p-value is 0.5: no reliable difference.</w:t>
      </w:r>
    </w:p>
    <w:p>
      <w:pPr>
        <w:pStyle w:val="ListBullet"/>
        <w:spacing w:after="60"/>
      </w:pPr>
      <w:r>
        <w:rPr>
          <w:b/>
          <w:sz w:val="21"/>
        </w:rPr>
        <w:t>Row 2. Add a reporting head (with SPO+): +23 [+8, +36], p 0.012: worse.</w:t>
      </w:r>
      <w:r>
        <w:rPr>
          <w:sz w:val="21"/>
        </w:rPr>
        <w:t xml:space="preserve"> A reporting head is an extra output of the neural network that predicts whether each mandi will report on the sale day. It seemed natural: modelling the silence directly. In practice it made decisions worse by Rs 23 per quintal (interval entirely above zero; remember positive regret change means worse). A pre-specified hypothesis that failed.</w:t>
      </w:r>
    </w:p>
    <w:p>
      <w:pPr>
        <w:pStyle w:val="ListBullet"/>
        <w:spacing w:after="60"/>
      </w:pPr>
      <w:r>
        <w:rPr>
          <w:b/>
          <w:sz w:val="21"/>
        </w:rPr>
        <w:t>Row 3. Add network-silence features (GBM): -12 [-31, +3], p 0.695.</w:t>
      </w:r>
      <w:r>
        <w:rPr>
          <w:sz w:val="21"/>
        </w:rPr>
        <w:t xml:space="preserve"> Features telling the model whether neighbouring markets were silent. No reliable help.</w:t>
      </w:r>
    </w:p>
    <w:p>
      <w:pPr>
        <w:pStyle w:val="ListBullet"/>
        <w:spacing w:after="60"/>
      </w:pPr>
      <w:r>
        <w:rPr>
          <w:b/>
          <w:sz w:val="21"/>
        </w:rPr>
        <w:t>Also tried and did not work:</w:t>
      </w:r>
      <w:r>
        <w:rPr>
          <w:sz w:val="21"/>
        </w:rPr>
        <w:t xml:space="preserve"> decision-regret tuning instead of forecast-loss tuning; unconstrained council weights (summed 2.4 to 3.1, significantly worse); SPO+ over squared error.</w:t>
      </w:r>
    </w:p>
    <w:p>
      <w:pPr>
        <w:pStyle w:val="ListBullet"/>
        <w:spacing w:after="60"/>
      </w:pPr>
      <w:r>
        <w:rPr>
          <w:b/>
          <w:sz w:val="21"/>
        </w:rPr>
        <w:t>Cost decision.</w:t>
      </w:r>
      <w:r>
        <w:rPr>
          <w:sz w:val="21"/>
        </w:rPr>
        <w:t xml:space="preserve"> The served model is the boosted tree rather than the neural network: equal decisions, far cheaper to train, run and explain.</w:t>
      </w:r>
    </w:p>
    <w:p>
      <w:pPr>
        <w:pStyle w:val="ListBullet"/>
        <w:spacing w:after="60"/>
      </w:pPr>
      <w:r>
        <w:rPr>
          <w:b/>
          <w:sz w:val="21"/>
        </w:rPr>
        <w:t>The ablations are shown for tomato, and the other crops agree.</w:t>
      </w:r>
    </w:p>
    <w:p>
      <w:pPr>
        <w:keepNext/>
        <w:spacing w:before="120" w:after="40"/>
      </w:pPr>
      <w:r>
        <w:rPr>
          <w:b/>
          <w:color w:val="1F2A44"/>
          <w:sz w:val="19"/>
        </w:rPr>
        <w:t>WHY WE DID IT THIS WAY</w:t>
      </w:r>
    </w:p>
    <w:p>
      <w:pPr>
        <w:pStyle w:val="ListBullet"/>
        <w:spacing w:after="60"/>
      </w:pPr>
      <w:r>
        <w:rPr>
          <w:sz w:val="21"/>
        </w:rPr>
        <w:t>Reporting failed ablations is evidence of discipline. It also directs future work: the next gains are unlikely to come from the loss or more silence modelling, but from better data (more regions, longer history, real transport and spoilage estimates).</w:t>
      </w:r>
    </w:p>
    <w:p>
      <w:pPr>
        <w:keepNext/>
        <w:spacing w:before="120" w:after="40"/>
      </w:pPr>
      <w:r>
        <w:rPr>
          <w:b/>
          <w:color w:val="9C3B00"/>
          <w:sz w:val="19"/>
        </w:rPr>
        <w:t>LIMITS AND THINGS TO FIX (SAY THESE YOURSELF)</w:t>
      </w:r>
    </w:p>
    <w:p>
      <w:pPr>
        <w:pStyle w:val="ListBullet"/>
        <w:spacing w:after="60"/>
      </w:pPr>
      <w:r>
        <w:rPr>
          <w:sz w:val="21"/>
        </w:rPr>
        <w:t>Single crop shown on slide; the thesis table lists all ablations.</w:t>
      </w:r>
    </w:p>
    <w:p>
      <w:pPr>
        <w:keepNext/>
        <w:spacing w:before="120" w:after="40"/>
      </w:pPr>
      <w:r>
        <w:rPr>
          <w:b/>
          <w:color w:val="1F2A44"/>
          <w:sz w:val="19"/>
        </w:rPr>
        <w:t>IF ASKED</w:t>
      </w:r>
    </w:p>
    <w:p>
      <w:pPr>
        <w:spacing w:after="20"/>
      </w:pPr>
      <w:r>
        <w:rPr>
          <w:b/>
          <w:sz w:val="21"/>
        </w:rPr>
        <w:t>Q. Positive p = worse. How do you read the sign?</w:t>
      </w:r>
    </w:p>
    <w:p>
      <w:pPr>
        <w:spacing w:after="100"/>
      </w:pPr>
      <w:r>
        <w:rPr>
          <w:sz w:val="21"/>
        </w:rPr>
        <w:t>Delta regret is the change in regret; negative means regret fell, i.e. better. +23 means regret rose by Rs 23, i.e. worse.</w:t>
      </w:r>
    </w:p>
    <w:p>
      <w:pPr>
        <w:spacing w:after="20"/>
      </w:pPr>
      <w:r>
        <w:rPr>
          <w:b/>
          <w:sz w:val="21"/>
        </w:rPr>
        <w:t>Q. Why did the reporting head hurt?</w:t>
      </w:r>
    </w:p>
    <w:p>
      <w:pPr>
        <w:spacing w:after="100"/>
      </w:pPr>
      <w:r>
        <w:rPr>
          <w:sz w:val="21"/>
        </w:rPr>
        <w:t>A plausible reason: asking one network to learn two jobs with limited data adds noise to the revenue head. We did not prove the cause; we report the measured effect.</w:t>
      </w:r>
    </w:p>
    <w:p>
      <w:pPr>
        <w:pStyle w:val="Heading1"/>
        <w:spacing w:before="440"/>
      </w:pPr>
      <w:r>
        <w:t>Slide 28 · Project planning: WBS and critical path</w:t>
      </w:r>
    </w:p>
    <w:tbl>
      <w:tblPr>
        <w:tblStyle w:val="TableGrid"/>
        <w:tblW w:type="auto" w:w="0"/>
        <w:tblLook w:firstColumn="1" w:firstRow="1" w:lastColumn="0" w:lastRow="0" w:noHBand="0" w:noVBand="1" w:val="04A0"/>
      </w:tblPr>
      <w:tblGrid>
        <w:gridCol w:w="10086"/>
      </w:tblGrid>
      <w:tr>
        <w:tc>
          <w:tcPr>
            <w:tcW w:type="dxa" w:w="10086"/>
            <w:shd w:val="clear" w:color="auto" w:fill="EAF2F8"/>
          </w:tcPr>
          <w:p>
            <w:pPr>
              <w:keepNext/>
              <w:spacing w:after="40"/>
            </w:pPr>
            <w:r/>
            <w:r>
              <w:rPr>
                <w:b/>
                <w:sz w:val="21"/>
              </w:rPr>
              <w:t>In one line.</w:t>
            </w:r>
            <w:r>
              <w:rPr>
                <w:sz w:val="21"/>
              </w:rPr>
              <w:t xml:space="preserve"> How 970 hours of work were broken down, who owned what, and which chain of tasks fixed the finish date.</w:t>
            </w:r>
          </w:p>
        </w:tc>
      </w:tr>
    </w:tbl>
    <w:p>
      <w:pPr>
        <w:spacing w:after="0"/>
      </w:pPr>
    </w:p>
    <w:p>
      <w:pPr>
        <w:keepNext/>
        <w:spacing w:before="120" w:after="40"/>
      </w:pPr>
      <w:r>
        <w:rPr>
          <w:b/>
          <w:color w:val="1F2A44"/>
          <w:sz w:val="19"/>
        </w:rPr>
        <w:t>IN PLAIN WORDS</w:t>
      </w:r>
    </w:p>
    <w:p>
      <w:pPr>
        <w:spacing w:after="80"/>
      </w:pPr>
      <w:r>
        <w:rPr>
          <w:sz w:val="21"/>
        </w:rPr>
        <w:t xml:space="preserve">A </w:t>
      </w:r>
      <w:r>
        <w:rPr>
          <w:b/>
          <w:sz w:val="21"/>
        </w:rPr>
        <w:t>work breakdown structure (WBS)</w:t>
      </w:r>
      <w:r>
        <w:rPr>
          <w:sz w:val="21"/>
        </w:rPr>
        <w:t xml:space="preserve"> splits the project into packages: management and documentation 130 h (Shreejith), data 100 h (Manohara), models and research 290 h (Manohara), application 360 h (Srijan), verification 90 h (Shreejith and Manohara). Total 970 hours. These are team estimates, not logged time. Each leaf task has one owner and child hours add up to the parent.</w:t>
      </w:r>
    </w:p>
    <w:p>
      <w:pPr>
        <w:spacing w:after="80"/>
      </w:pPr>
      <w:r>
        <w:rPr>
          <w:sz w:val="21"/>
        </w:rPr>
        <w:t xml:space="preserve">The </w:t>
      </w:r>
      <w:r>
        <w:rPr>
          <w:b/>
          <w:sz w:val="21"/>
        </w:rPr>
        <w:t>critical path</w:t>
      </w:r>
      <w:r>
        <w:rPr>
          <w:sz w:val="21"/>
        </w:rPr>
        <w:t xml:space="preserve"> is the longest chain of tasks that must happen one after another. It decides the earliest finish. Ours is Requirements, Data, Market choice, Forecasters, Experiments, Testing, Integration, Report: A to B to C to F to G to I to J to K, taking 2 + 3 + 4 + 3 + 4 + 3 + 2 + 3 = 24 weeks.</w:t>
      </w:r>
    </w:p>
    <w:p>
      <w:pPr>
        <w:keepNext/>
        <w:spacing w:before="120" w:after="40"/>
      </w:pPr>
      <w:r>
        <w:rPr>
          <w:b/>
          <w:color w:val="1F2A44"/>
          <w:sz w:val="19"/>
        </w:rPr>
        <w:t>GO DEEPER: THE TECHNICAL CONTENT, EXPLAINED</w:t>
      </w:r>
    </w:p>
    <w:p>
      <w:pPr>
        <w:pStyle w:val="ListBullet"/>
        <w:spacing w:after="60"/>
      </w:pPr>
      <w:r>
        <w:rPr>
          <w:b/>
          <w:sz w:val="21"/>
        </w:rPr>
        <w:t>Not on the critical path</w:t>
      </w:r>
      <w:r>
        <w:rPr>
          <w:sz w:val="21"/>
        </w:rPr>
        <w:t xml:space="preserve"> are Backend API (D, 4 weeks), Web app (E, 5 weeks) and LLM layer (H, 3 weeks). They have slack: they can slip without delaying the project, up to a limit.</w:t>
      </w:r>
    </w:p>
    <w:p>
      <w:pPr>
        <w:pStyle w:val="ListBullet"/>
        <w:spacing w:after="60"/>
      </w:pPr>
      <w:r>
        <w:rPr>
          <w:b/>
          <w:sz w:val="21"/>
        </w:rPr>
        <w:t>How slack is worked out</w:t>
      </w:r>
      <w:r>
        <w:rPr>
          <w:sz w:val="21"/>
        </w:rPr>
        <w:t xml:space="preserve"> (the 'worked slack' box). Forward pass gives the earliest start (ES) of each task; backward pass gives the latest start (LS) that does not delay the end. Slack = LS - ES.</w:t>
      </w:r>
    </w:p>
    <w:p>
      <w:pPr>
        <w:pStyle w:val="ListBullet"/>
        <w:spacing w:after="60"/>
      </w:pPr>
      <w:r>
        <w:rPr>
          <w:b/>
          <w:sz w:val="21"/>
        </w:rPr>
        <w:t>Activity E (web app).</w:t>
      </w:r>
      <w:r>
        <w:rPr>
          <w:sz w:val="21"/>
        </w:rPr>
        <w:t xml:space="preserve"> Testing (I) must start at week 16 (A 2 + B 3 + C 4 + F 3 + G 4 = 16), so E must finish by week 16: LF(E) = LS(I) = 16. E takes 5 weeks: LS(E) = 16 - 5 = 11. E can start at the earliest in week 6 (after D, which follows requirements: A 2 + D 4 = 6): ES(E) = 6. Slack = 11 - 6 = 5 weeks.</w:t>
      </w:r>
    </w:p>
    <w:p>
      <w:pPr>
        <w:pStyle w:val="ListBullet"/>
        <w:spacing w:after="60"/>
      </w:pPr>
      <w:r>
        <w:rPr>
          <w:b/>
          <w:sz w:val="21"/>
        </w:rPr>
        <w:t>Activity H (LLM layer).</w:t>
      </w:r>
      <w:r>
        <w:rPr>
          <w:sz w:val="21"/>
        </w:rPr>
        <w:t xml:space="preserve"> LS(H) = 16 - 3 = 13; ES(H) = 6; slack = 7 weeks.</w:t>
      </w:r>
    </w:p>
    <w:p>
      <w:pPr>
        <w:pStyle w:val="ListBullet"/>
        <w:spacing w:after="60"/>
      </w:pPr>
      <w:r>
        <w:rPr>
          <w:b/>
          <w:sz w:val="21"/>
        </w:rPr>
        <w:t>Activity D (backend).</w:t>
      </w:r>
      <w:r>
        <w:rPr>
          <w:sz w:val="21"/>
        </w:rPr>
        <w:t xml:space="preserve"> It must finish before both E and H can start, so its latest finish is the smaller of their latest starts: LF(D) = min(LS(E), LS(H)) = min(11, 13) = 11. LS(D) = 11 - 4 = 7; ES(D) = 2 (after A); slack = 7 - 2 = 5 weeks.</w:t>
      </w:r>
    </w:p>
    <w:p>
      <w:pPr>
        <w:pStyle w:val="ListBullet"/>
        <w:spacing w:after="60"/>
      </w:pPr>
      <w:r>
        <w:rPr>
          <w:b/>
          <w:sz w:val="21"/>
        </w:rPr>
        <w:t>RAM (responsibility assignment matrix).</w:t>
      </w:r>
      <w:r>
        <w:rPr>
          <w:sz w:val="21"/>
        </w:rPr>
        <w:t xml:space="preserve"> Each work package has one primary owner who is Responsible and the guide is Accountable. Hours by person: Manohara 430 h, Srijan 360 h, Shreejith 180 h.</w:t>
      </w:r>
    </w:p>
    <w:p>
      <w:pPr>
        <w:keepNext/>
        <w:spacing w:before="120" w:after="40"/>
      </w:pPr>
      <w:r>
        <w:rPr>
          <w:b/>
          <w:color w:val="1F2A44"/>
          <w:sz w:val="19"/>
        </w:rPr>
        <w:t>THE NUMBERS ON THIS SLIDE AND WHAT EACH ONE MEANS</w:t>
      </w:r>
    </w:p>
    <w:tbl>
      <w:tblPr>
        <w:tblStyle w:val="TableGrid"/>
        <w:tblW w:type="auto" w:w="0"/>
        <w:jc w:val="center"/>
        <w:tblLayout w:type="fixed"/>
        <w:tblLook w:firstColumn="1" w:firstRow="1" w:lastColumn="0" w:lastRow="0" w:noHBand="0" w:noVBand="1" w:val="04A0"/>
      </w:tblPr>
      <w:tblGrid>
        <w:gridCol w:w="2948"/>
        <w:gridCol w:w="6690"/>
      </w:tblGrid>
      <w:tr>
        <w:tc>
          <w:tcPr>
            <w:tcW w:type="dxa" w:w="2948"/>
            <w:shd w:val="clear" w:color="auto" w:fill="1F4E79"/>
          </w:tcPr>
          <w:p>
            <w:pPr>
              <w:spacing w:after="20"/>
            </w:pPr>
            <w:r>
              <w:rPr>
                <w:b/>
                <w:color w:val="FFFFFF"/>
              </w:rPr>
            </w:r>
            <w:r>
              <w:rPr>
                <w:b/>
                <w:color w:val="FFFFFF"/>
                <w:sz w:val="19"/>
              </w:rPr>
              <w:t>Number</w:t>
            </w:r>
          </w:p>
        </w:tc>
        <w:tc>
          <w:tcPr>
            <w:tcW w:type="dxa" w:w="6690"/>
            <w:shd w:val="clear" w:color="auto" w:fill="1F4E79"/>
          </w:tcPr>
          <w:p>
            <w:pPr>
              <w:spacing w:after="20"/>
            </w:pPr>
            <w:r>
              <w:rPr>
                <w:b/>
                <w:color w:val="FFFFFF"/>
              </w:rPr>
            </w:r>
            <w:r>
              <w:rPr>
                <w:b/>
                <w:color w:val="FFFFFF"/>
                <w:sz w:val="19"/>
              </w:rPr>
              <w:t>What it means</w:t>
            </w:r>
          </w:p>
        </w:tc>
      </w:tr>
      <w:tr>
        <w:tc>
          <w:tcPr>
            <w:tcW w:type="dxa" w:w="2948"/>
          </w:tcPr>
          <w:p>
            <w:pPr>
              <w:spacing w:after="20"/>
            </w:pPr>
            <w:r/>
            <w:r>
              <w:rPr>
                <w:sz w:val="19"/>
              </w:rPr>
              <w:t>970 h</w:t>
            </w:r>
          </w:p>
        </w:tc>
        <w:tc>
          <w:tcPr>
            <w:tcW w:type="dxa" w:w="6690"/>
          </w:tcPr>
          <w:p>
            <w:pPr>
              <w:spacing w:after="20"/>
            </w:pPr>
            <w:r/>
            <w:r>
              <w:rPr>
                <w:sz w:val="19"/>
              </w:rPr>
              <w:t>total estimated effort across five packages.</w:t>
            </w:r>
          </w:p>
        </w:tc>
      </w:tr>
      <w:tr>
        <w:tc>
          <w:tcPr>
            <w:tcW w:type="dxa" w:w="2948"/>
            <w:shd w:val="clear" w:color="auto" w:fill="EEF4F9"/>
          </w:tcPr>
          <w:p>
            <w:pPr>
              <w:spacing w:after="20"/>
            </w:pPr>
            <w:r/>
            <w:r>
              <w:rPr>
                <w:sz w:val="19"/>
              </w:rPr>
              <w:t>24 weeks</w:t>
            </w:r>
          </w:p>
        </w:tc>
        <w:tc>
          <w:tcPr>
            <w:tcW w:type="dxa" w:w="6690"/>
            <w:shd w:val="clear" w:color="auto" w:fill="EEF4F9"/>
          </w:tcPr>
          <w:p>
            <w:pPr>
              <w:spacing w:after="20"/>
            </w:pPr>
            <w:r/>
            <w:r>
              <w:rPr>
                <w:sz w:val="19"/>
              </w:rPr>
              <w:t>critical path length (2+3+4+3+4+3+2+3).</w:t>
            </w:r>
          </w:p>
        </w:tc>
      </w:tr>
      <w:tr>
        <w:tc>
          <w:tcPr>
            <w:tcW w:type="dxa" w:w="2948"/>
          </w:tcPr>
          <w:p>
            <w:pPr>
              <w:spacing w:after="20"/>
            </w:pPr>
            <w:r/>
            <w:r>
              <w:rPr>
                <w:sz w:val="19"/>
              </w:rPr>
              <w:t>Slack: E 5, H 7, D 5 weeks</w:t>
            </w:r>
          </w:p>
        </w:tc>
        <w:tc>
          <w:tcPr>
            <w:tcW w:type="dxa" w:w="6690"/>
          </w:tcPr>
          <w:p>
            <w:pPr>
              <w:spacing w:after="20"/>
            </w:pPr>
            <w:r/>
            <w:r>
              <w:rPr>
                <w:sz w:val="19"/>
              </w:rPr>
              <w:t>how much the three off-path tasks could slip.</w:t>
            </w:r>
          </w:p>
        </w:tc>
      </w:tr>
    </w:tbl>
    <w:p>
      <w:pPr>
        <w:spacing w:after="40"/>
      </w:pPr>
    </w:p>
    <w:p>
      <w:pPr>
        <w:keepNext/>
        <w:spacing w:before="120" w:after="40"/>
      </w:pPr>
      <w:r>
        <w:rPr>
          <w:b/>
          <w:color w:val="9C3B00"/>
          <w:sz w:val="19"/>
        </w:rPr>
        <w:t>LIMITS AND THINGS TO FIX (SAY THESE YOURSELF)</w:t>
      </w:r>
    </w:p>
    <w:p>
      <w:pPr>
        <w:pStyle w:val="ListBullet"/>
        <w:spacing w:after="60"/>
      </w:pPr>
      <w:r>
        <w:rPr>
          <w:sz w:val="21"/>
        </w:rPr>
        <w:t>Hours are estimates, not time logs; the baseline schedule was reconstructed from the roadmap after the fact, which the thesis states.</w:t>
      </w:r>
    </w:p>
    <w:p>
      <w:pPr>
        <w:keepNext/>
        <w:spacing w:before="120" w:after="40"/>
      </w:pPr>
      <w:r>
        <w:rPr>
          <w:b/>
          <w:color w:val="1F2A44"/>
          <w:sz w:val="19"/>
        </w:rPr>
        <w:t>IF ASKED</w:t>
      </w:r>
    </w:p>
    <w:p>
      <w:pPr>
        <w:spacing w:after="20"/>
      </w:pPr>
      <w:r>
        <w:rPr>
          <w:b/>
          <w:sz w:val="21"/>
        </w:rPr>
        <w:t>Q. Why does critical path matter?</w:t>
      </w:r>
    </w:p>
    <w:p>
      <w:pPr>
        <w:spacing w:after="100"/>
      </w:pPr>
      <w:r>
        <w:rPr>
          <w:sz w:val="21"/>
        </w:rPr>
        <w:t>Any delay on those tasks delays the whole project week for week; off-path tasks can absorb delays up to their slack. That is why the backend and web app delays on slide 29 did not move the end date.</w:t>
      </w:r>
    </w:p>
    <w:p>
      <w:pPr>
        <w:spacing w:after="20"/>
      </w:pPr>
      <w:r>
        <w:rPr>
          <w:b/>
          <w:sz w:val="21"/>
        </w:rPr>
        <w:t>Q. Why is Manohara's load the largest?</w:t>
      </w:r>
    </w:p>
    <w:p>
      <w:pPr>
        <w:spacing w:after="100"/>
      </w:pPr>
      <w:r>
        <w:rPr>
          <w:sz w:val="21"/>
        </w:rPr>
        <w:t>Models and research (290 h) and data (100 h) are the heaviest packages and belong to Manohara.</w:t>
      </w:r>
    </w:p>
    <w:p>
      <w:pPr>
        <w:pStyle w:val="Heading1"/>
        <w:spacing w:before="440"/>
      </w:pPr>
      <w:r>
        <w:t>Slide 29 · Schedule tracking and risk management</w:t>
      </w:r>
    </w:p>
    <w:tbl>
      <w:tblPr>
        <w:tblStyle w:val="TableGrid"/>
        <w:tblW w:type="auto" w:w="0"/>
        <w:tblLook w:firstColumn="1" w:firstRow="1" w:lastColumn="0" w:lastRow="0" w:noHBand="0" w:noVBand="1" w:val="04A0"/>
      </w:tblPr>
      <w:tblGrid>
        <w:gridCol w:w="10086"/>
      </w:tblGrid>
      <w:tr>
        <w:tc>
          <w:tcPr>
            <w:tcW w:type="dxa" w:w="10086"/>
            <w:shd w:val="clear" w:color="auto" w:fill="EAF2F8"/>
          </w:tcPr>
          <w:p>
            <w:pPr>
              <w:keepNext/>
              <w:spacing w:after="40"/>
            </w:pPr>
            <w:r/>
            <w:r>
              <w:rPr>
                <w:b/>
                <w:sz w:val="21"/>
              </w:rPr>
              <w:t>In one line.</w:t>
            </w:r>
            <w:r>
              <w:rPr>
                <w:sz w:val="21"/>
              </w:rPr>
              <w:t xml:space="preserve"> Planned 24 weeks, took about 27, because the data had to be redone; the risk register shows what happened and what is still open.</w:t>
            </w:r>
          </w:p>
        </w:tc>
      </w:tr>
    </w:tbl>
    <w:p>
      <w:pPr>
        <w:spacing w:after="0"/>
      </w:pPr>
    </w:p>
    <w:p>
      <w:pPr>
        <w:keepNext/>
        <w:spacing w:before="120" w:after="40"/>
      </w:pPr>
      <w:r>
        <w:rPr>
          <w:b/>
          <w:color w:val="1F2A44"/>
          <w:sz w:val="19"/>
        </w:rPr>
        <w:t>IN PLAIN WORDS</w:t>
      </w:r>
    </w:p>
    <w:p>
      <w:pPr>
        <w:spacing w:after="80"/>
      </w:pPr>
      <w:r>
        <w:rPr>
          <w:sz w:val="21"/>
        </w:rPr>
        <w:t xml:space="preserve">The chart shows two bars per activity: the baseline (planned) and the actual. The project overran by about 3.3 weeks (14 percent). The cause: </w:t>
      </w:r>
      <w:r>
        <w:rPr>
          <w:b/>
          <w:sz w:val="21"/>
        </w:rPr>
        <w:t>Data (B) was reopened</w:t>
      </w:r>
      <w:r>
        <w:rPr>
          <w:sz w:val="21"/>
        </w:rPr>
        <w:t xml:space="preserve"> after we discovered the first dataset was synthetic. That pushed Market choice (C) and Experiments (G), which are on the critical path, while Backend, Web app and LLM layer (not on the path) used their slack to absorb the delay.</w:t>
      </w:r>
    </w:p>
    <w:p>
      <w:pPr>
        <w:keepNext/>
        <w:spacing w:before="120" w:after="40"/>
      </w:pPr>
      <w:r>
        <w:rPr>
          <w:b/>
          <w:color w:val="1F2A44"/>
          <w:sz w:val="19"/>
        </w:rPr>
        <w:t>GO DEEPER: THE TECHNICAL CONTENT, EXPLAINED</w:t>
      </w:r>
    </w:p>
    <w:p>
      <w:pPr>
        <w:pStyle w:val="ListBullet"/>
        <w:spacing w:after="60"/>
      </w:pPr>
      <w:r>
        <w:rPr>
          <w:b/>
          <w:sz w:val="21"/>
        </w:rPr>
        <w:t>Milestones.</w:t>
      </w:r>
      <w:r>
        <w:rPr>
          <w:sz w:val="21"/>
        </w:rPr>
        <w:t xml:space="preserve"> M1 requirements (week 3), M2 first deployed prototype (9 June), M3 farmer feature suite (30 September), M4 research results (29 October), M5 final report (week 27).</w:t>
      </w:r>
    </w:p>
    <w:p>
      <w:pPr>
        <w:pStyle w:val="ListBullet"/>
        <w:spacing w:after="60"/>
      </w:pPr>
      <w:r>
        <w:rPr>
          <w:b/>
          <w:sz w:val="21"/>
        </w:rPr>
        <w:t>Risk score P x I.</w:t>
      </w:r>
      <w:r>
        <w:rPr>
          <w:sz w:val="21"/>
        </w:rPr>
        <w:t xml:space="preserve"> Probability times impact, each on a 1 to 5 scale, so the maximum is 25. Higher means attend to it first.</w:t>
      </w:r>
    </w:p>
    <w:p>
      <w:pPr>
        <w:pStyle w:val="ListBullet"/>
        <w:spacing w:after="60"/>
      </w:pPr>
      <w:r>
        <w:rPr>
          <w:b/>
          <w:sz w:val="21"/>
        </w:rPr>
        <w:t>R1 Source data synthetic (15), occurred.</w:t>
      </w:r>
      <w:r>
        <w:rPr>
          <w:sz w:val="21"/>
        </w:rPr>
        <w:t xml:space="preserve"> Trigger: results that looked too clean. Action: discard, re-acquire the Agmarknet exports, add an integrity check, remove synthetic data, re-run every experiment. This is why the thesis states that no synthetic data enter any result.</w:t>
      </w:r>
    </w:p>
    <w:p>
      <w:pPr>
        <w:pStyle w:val="ListBullet"/>
        <w:spacing w:after="60"/>
      </w:pPr>
      <w:r>
        <w:rPr>
          <w:b/>
          <w:sz w:val="21"/>
        </w:rPr>
        <w:t>R2 Look-ahead leakage (20), occurred.</w:t>
      </w:r>
      <w:r>
        <w:rPr>
          <w:sz w:val="21"/>
        </w:rPr>
        <w:t xml:space="preserve"> Leakage unit tests caught two features centred on the whole series; fixed. The same discipline led to the leakage audit.</w:t>
      </w:r>
    </w:p>
    <w:p>
      <w:pPr>
        <w:pStyle w:val="ListBullet"/>
        <w:spacing w:after="60"/>
      </w:pPr>
      <w:r>
        <w:rPr>
          <w:b/>
          <w:sz w:val="21"/>
        </w:rPr>
        <w:t>R3 Hard deletion broke trader pages (9), occurred.</w:t>
      </w:r>
      <w:r>
        <w:rPr>
          <w:sz w:val="21"/>
        </w:rPr>
        <w:t xml:space="preserve"> Fixed with soft delete, re-seeding and id aliasing.</w:t>
      </w:r>
    </w:p>
    <w:p>
      <w:pPr>
        <w:pStyle w:val="ListBullet"/>
        <w:spacing w:after="60"/>
      </w:pPr>
      <w:r>
        <w:rPr>
          <w:b/>
          <w:sz w:val="21"/>
        </w:rPr>
        <w:t>R4 NumPy 2 broke pandas (9), occurred.</w:t>
      </w:r>
      <w:r>
        <w:rPr>
          <w:sz w:val="21"/>
        </w:rPr>
        <w:t xml:space="preserve"> Pinned NumPy 1.26.4 and a lock file.</w:t>
      </w:r>
    </w:p>
    <w:p>
      <w:pPr>
        <w:pStyle w:val="ListBullet"/>
        <w:spacing w:after="60"/>
      </w:pPr>
      <w:r>
        <w:rPr>
          <w:b/>
          <w:sz w:val="21"/>
        </w:rPr>
        <w:t>R5 LLM rate limit of about 8,000 tokens a minute (8), occurred.</w:t>
      </w:r>
      <w:r>
        <w:rPr>
          <w:sz w:val="21"/>
        </w:rPr>
        <w:t xml:space="preserve"> Throttling and a small evaluation set (which is why the language evaluation is small).</w:t>
      </w:r>
    </w:p>
    <w:p>
      <w:pPr>
        <w:pStyle w:val="ListBullet"/>
        <w:spacing w:after="60"/>
      </w:pPr>
      <w:r>
        <w:rPr>
          <w:b/>
          <w:sz w:val="21"/>
        </w:rPr>
        <w:t>R6 Uneven team contribution (12), open.</w:t>
      </w:r>
      <w:r>
        <w:rPr>
          <w:sz w:val="21"/>
        </w:rPr>
        <w:t xml:space="preserve"> Contribution record and owner split.</w:t>
      </w:r>
    </w:p>
    <w:p>
      <w:pPr>
        <w:pStyle w:val="ListBullet"/>
        <w:spacing w:after="60"/>
      </w:pPr>
      <w:r>
        <w:rPr>
          <w:b/>
          <w:sz w:val="21"/>
        </w:rPr>
        <w:t>R7 Deployment unverified (9), open.</w:t>
      </w:r>
      <w:r>
        <w:rPr>
          <w:sz w:val="21"/>
        </w:rPr>
        <w:t xml:space="preserve"> Docker and Render files exist; to verify.</w:t>
      </w:r>
    </w:p>
    <w:p>
      <w:pPr>
        <w:pStyle w:val="ListBullet"/>
        <w:spacing w:after="60"/>
      </w:pPr>
      <w:r>
        <w:rPr>
          <w:b/>
          <w:sz w:val="21"/>
        </w:rPr>
        <w:t>R8 No field trial (12), open.</w:t>
      </w:r>
      <w:r>
        <w:rPr>
          <w:sz w:val="21"/>
        </w:rPr>
        <w:t xml:space="preserve"> Stated as a limitation; the survey is ready.</w:t>
      </w:r>
    </w:p>
    <w:p>
      <w:pPr>
        <w:pStyle w:val="ListBullet"/>
        <w:spacing w:after="60"/>
      </w:pPr>
      <w:r>
        <w:rPr>
          <w:b/>
          <w:sz w:val="21"/>
        </w:rPr>
        <w:t>R10 Stale server served old code (6), occurred.</w:t>
      </w:r>
      <w:r>
        <w:rPr>
          <w:sz w:val="21"/>
        </w:rPr>
        <w:t xml:space="preserve"> Restart; the smoke test lists every endpoint.</w:t>
      </w:r>
    </w:p>
    <w:p>
      <w:pPr>
        <w:keepNext/>
        <w:spacing w:before="120" w:after="40"/>
      </w:pPr>
      <w:r>
        <w:rPr>
          <w:b/>
          <w:color w:val="1F2A44"/>
          <w:sz w:val="19"/>
        </w:rPr>
        <w:t>THE NUMBERS ON THIS SLIDE AND WHAT EACH ONE MEANS</w:t>
      </w:r>
    </w:p>
    <w:tbl>
      <w:tblPr>
        <w:tblStyle w:val="TableGrid"/>
        <w:tblW w:type="auto" w:w="0"/>
        <w:jc w:val="center"/>
        <w:tblLayout w:type="fixed"/>
        <w:tblLook w:firstColumn="1" w:firstRow="1" w:lastColumn="0" w:lastRow="0" w:noHBand="0" w:noVBand="1" w:val="04A0"/>
      </w:tblPr>
      <w:tblGrid>
        <w:gridCol w:w="2948"/>
        <w:gridCol w:w="6690"/>
      </w:tblGrid>
      <w:tr>
        <w:tc>
          <w:tcPr>
            <w:tcW w:type="dxa" w:w="2948"/>
            <w:shd w:val="clear" w:color="auto" w:fill="1F4E79"/>
          </w:tcPr>
          <w:p>
            <w:pPr>
              <w:spacing w:after="20"/>
            </w:pPr>
            <w:r>
              <w:rPr>
                <w:b/>
                <w:color w:val="FFFFFF"/>
              </w:rPr>
            </w:r>
            <w:r>
              <w:rPr>
                <w:b/>
                <w:color w:val="FFFFFF"/>
                <w:sz w:val="19"/>
              </w:rPr>
              <w:t>Number</w:t>
            </w:r>
          </w:p>
        </w:tc>
        <w:tc>
          <w:tcPr>
            <w:tcW w:type="dxa" w:w="6690"/>
            <w:shd w:val="clear" w:color="auto" w:fill="1F4E79"/>
          </w:tcPr>
          <w:p>
            <w:pPr>
              <w:spacing w:after="20"/>
            </w:pPr>
            <w:r>
              <w:rPr>
                <w:b/>
                <w:color w:val="FFFFFF"/>
              </w:rPr>
            </w:r>
            <w:r>
              <w:rPr>
                <w:b/>
                <w:color w:val="FFFFFF"/>
                <w:sz w:val="19"/>
              </w:rPr>
              <w:t>What it means</w:t>
            </w:r>
          </w:p>
        </w:tc>
      </w:tr>
      <w:tr>
        <w:tc>
          <w:tcPr>
            <w:tcW w:type="dxa" w:w="2948"/>
          </w:tcPr>
          <w:p>
            <w:pPr>
              <w:spacing w:after="20"/>
            </w:pPr>
            <w:r/>
            <w:r>
              <w:rPr>
                <w:sz w:val="19"/>
              </w:rPr>
              <w:t>+3.3 weeks, 14 percent</w:t>
            </w:r>
          </w:p>
        </w:tc>
        <w:tc>
          <w:tcPr>
            <w:tcW w:type="dxa" w:w="6690"/>
          </w:tcPr>
          <w:p>
            <w:pPr>
              <w:spacing w:after="20"/>
            </w:pPr>
            <w:r/>
            <w:r>
              <w:rPr>
                <w:sz w:val="19"/>
              </w:rPr>
              <w:t>24 planned versus about 27 actual.</w:t>
            </w:r>
          </w:p>
        </w:tc>
      </w:tr>
    </w:tbl>
    <w:p>
      <w:pPr>
        <w:spacing w:after="40"/>
      </w:pPr>
    </w:p>
    <w:p>
      <w:pPr>
        <w:keepNext/>
        <w:spacing w:before="120" w:after="40"/>
      </w:pPr>
      <w:r>
        <w:rPr>
          <w:b/>
          <w:color w:val="1F2A44"/>
          <w:sz w:val="19"/>
        </w:rPr>
        <w:t>WHY WE DID IT THIS WAY</w:t>
      </w:r>
    </w:p>
    <w:p>
      <w:pPr>
        <w:pStyle w:val="ListBullet"/>
        <w:spacing w:after="60"/>
      </w:pPr>
      <w:r>
        <w:rPr>
          <w:sz w:val="21"/>
        </w:rPr>
        <w:t>Showing materialised risks and what we did about them demonstrates risk management in practice, not just a table.</w:t>
      </w:r>
    </w:p>
    <w:p>
      <w:pPr>
        <w:keepNext/>
        <w:spacing w:before="120" w:after="40"/>
      </w:pPr>
      <w:r>
        <w:rPr>
          <w:b/>
          <w:color w:val="1F2A44"/>
          <w:sz w:val="19"/>
        </w:rPr>
        <w:t>IF ASKED</w:t>
      </w:r>
    </w:p>
    <w:p>
      <w:pPr>
        <w:spacing w:after="20"/>
      </w:pPr>
      <w:r>
        <w:rPr>
          <w:b/>
          <w:sz w:val="21"/>
        </w:rPr>
        <w:t>Q. Why was the data risk so costly?</w:t>
      </w:r>
    </w:p>
    <w:p>
      <w:pPr>
        <w:spacing w:after="100"/>
      </w:pPr>
      <w:r>
        <w:rPr>
          <w:sz w:val="21"/>
        </w:rPr>
        <w:t>Because everything downstream (labels, models, tests) depends on it. When the dataset was found to be synthetic, the experiments had to be rebuilt.</w:t>
      </w:r>
    </w:p>
    <w:p>
      <w:pPr>
        <w:spacing w:after="20"/>
      </w:pPr>
      <w:r>
        <w:rPr>
          <w:b/>
          <w:sz w:val="21"/>
        </w:rPr>
        <w:t>Q. Why are only some risks 'occurred'?</w:t>
      </w:r>
    </w:p>
    <w:p>
      <w:pPr>
        <w:spacing w:after="100"/>
      </w:pPr>
      <w:r>
        <w:rPr>
          <w:sz w:val="21"/>
        </w:rPr>
        <w:t>Because the register is honest: those risks really happened; the others are still open at the time of review.</w:t>
      </w:r>
    </w:p>
    <w:p>
      <w:pPr>
        <w:pStyle w:val="Heading1"/>
        <w:spacing w:before="440"/>
      </w:pPr>
      <w:r>
        <w:t>Slide 30 · Project report and documentation status</w:t>
      </w:r>
    </w:p>
    <w:tbl>
      <w:tblPr>
        <w:tblStyle w:val="TableGrid"/>
        <w:tblW w:type="auto" w:w="0"/>
        <w:tblLook w:firstColumn="1" w:firstRow="1" w:lastColumn="0" w:lastRow="0" w:noHBand="0" w:noVBand="1" w:val="04A0"/>
      </w:tblPr>
      <w:tblGrid>
        <w:gridCol w:w="10086"/>
      </w:tblGrid>
      <w:tr>
        <w:tc>
          <w:tcPr>
            <w:tcW w:type="dxa" w:w="10086"/>
            <w:shd w:val="clear" w:color="auto" w:fill="EAF2F8"/>
          </w:tcPr>
          <w:p>
            <w:pPr>
              <w:keepNext/>
              <w:spacing w:after="40"/>
            </w:pPr>
            <w:r/>
            <w:r>
              <w:rPr>
                <w:b/>
                <w:sz w:val="21"/>
              </w:rPr>
              <w:t>In one line.</w:t>
            </w:r>
            <w:r>
              <w:rPr>
                <w:sz w:val="21"/>
              </w:rPr>
              <w:t xml:space="preserve"> State of the thesis and appendices, and what remains.</w:t>
            </w:r>
          </w:p>
        </w:tc>
      </w:tr>
    </w:tbl>
    <w:p>
      <w:pPr>
        <w:spacing w:after="0"/>
      </w:pPr>
    </w:p>
    <w:p>
      <w:pPr>
        <w:keepNext/>
        <w:spacing w:before="120" w:after="40"/>
      </w:pPr>
      <w:r>
        <w:rPr>
          <w:b/>
          <w:color w:val="1F2A44"/>
          <w:sz w:val="19"/>
        </w:rPr>
        <w:t>IN PLAIN WORDS</w:t>
      </w:r>
    </w:p>
    <w:p>
      <w:pPr>
        <w:spacing w:after="80"/>
      </w:pPr>
      <w:r>
        <w:rPr>
          <w:sz w:val="21"/>
        </w:rPr>
        <w:t>The report follows the BMSCE thesis template, compiled in LaTeX. Every table is generated by scripts from the experiment results, so there are no hand-typed numbers. Appendices: A code excerpts read from the source files, B survey instrument, C per-fold evaluation, D dataset description, E programme outcome (PO) and SDG mapping, F similarity record.</w:t>
      </w:r>
    </w:p>
    <w:p>
      <w:pPr>
        <w:spacing w:after="80"/>
      </w:pPr>
      <w:r>
        <w:rPr>
          <w:b/>
          <w:sz w:val="21"/>
        </w:rPr>
        <w:t>Remaining:</w:t>
      </w:r>
      <w:r>
        <w:rPr>
          <w:sz w:val="21"/>
        </w:rPr>
        <w:t xml:space="preserve"> the official Drillbit plagiarism report (similarity target below 20 percent, references excluded), the CO to PO matrix from the course file, the declaration date and supervisor corrections.</w:t>
      </w:r>
    </w:p>
    <w:p>
      <w:pPr>
        <w:keepNext/>
        <w:spacing w:before="120" w:after="40"/>
      </w:pPr>
      <w:r>
        <w:rPr>
          <w:b/>
          <w:color w:val="1F2A44"/>
          <w:sz w:val="19"/>
        </w:rPr>
        <w:t>GO DEEPER: THE TECHNICAL CONTENT, EXPLAINED</w:t>
      </w:r>
    </w:p>
    <w:p>
      <w:pPr>
        <w:pStyle w:val="ListBullet"/>
        <w:spacing w:after="60"/>
      </w:pPr>
      <w:r>
        <w:rPr>
          <w:b/>
          <w:sz w:val="21"/>
        </w:rPr>
        <w:t>Why generated tables matter.</w:t>
      </w:r>
      <w:r>
        <w:rPr>
          <w:sz w:val="21"/>
        </w:rPr>
        <w:t xml:space="preserve"> If a number in the report differs from the app, either could be wrong; generating both from the same artefacts removes that risk.</w:t>
      </w:r>
    </w:p>
    <w:p>
      <w:pPr>
        <w:pStyle w:val="ListBullet"/>
        <w:spacing w:after="60"/>
      </w:pPr>
      <w:r>
        <w:rPr>
          <w:b/>
          <w:sz w:val="21"/>
        </w:rPr>
        <w:t>Similarity.</w:t>
      </w:r>
      <w:r>
        <w:rPr>
          <w:sz w:val="21"/>
        </w:rPr>
        <w:t xml:space="preserve"> We have not run Drillbit yet, so we claim no percentage. A self-check of the conference draft found no verbatim web matches, which is not a substitute.</w:t>
      </w:r>
    </w:p>
    <w:p>
      <w:pPr>
        <w:keepNext/>
        <w:spacing w:before="120" w:after="40"/>
      </w:pPr>
      <w:r>
        <w:rPr>
          <w:b/>
          <w:color w:val="9C3B00"/>
          <w:sz w:val="19"/>
        </w:rPr>
        <w:t>LIMITS AND THINGS TO FIX (SAY THESE YOURSELF)</w:t>
      </w:r>
    </w:p>
    <w:p>
      <w:pPr>
        <w:pStyle w:val="ListBullet"/>
        <w:spacing w:after="60"/>
      </w:pPr>
      <w:r>
        <w:rPr>
          <w:b/>
          <w:sz w:val="21"/>
        </w:rPr>
        <w:t>UPDATE BEFORE PRESENTING.</w:t>
      </w:r>
      <w:r>
        <w:rPr>
          <w:sz w:val="21"/>
        </w:rPr>
        <w:t xml:space="preserve"> The slide says 83 pages and 40 references. After the guide's feedback the thesis now has about 113 to 120 pages, a much larger literature review (25 surveyed studies in comparison tables) and 63 references. Change the slide text to the current numbers, or be ready to say 'the thesis has since grown to about 113 pages with 63 references'. Check the current page count in the PDF before the review.</w:t>
      </w:r>
    </w:p>
    <w:p>
      <w:pPr>
        <w:keepNext/>
        <w:spacing w:before="120" w:after="40"/>
      </w:pPr>
      <w:r>
        <w:rPr>
          <w:b/>
          <w:color w:val="1F2A44"/>
          <w:sz w:val="19"/>
        </w:rPr>
        <w:t>IF ASKED</w:t>
      </w:r>
    </w:p>
    <w:p>
      <w:pPr>
        <w:spacing w:after="20"/>
      </w:pPr>
      <w:r>
        <w:rPr>
          <w:b/>
          <w:sz w:val="21"/>
        </w:rPr>
        <w:t>Q. Is the report plagiarism-checked?</w:t>
      </w:r>
    </w:p>
    <w:p>
      <w:pPr>
        <w:spacing w:after="100"/>
      </w:pPr>
      <w:r>
        <w:rPr>
          <w:sz w:val="21"/>
        </w:rPr>
        <w:t>The official Drillbit check is pending; we will include the report in Appendix F. We do not claim a percentage until then.</w:t>
      </w:r>
    </w:p>
    <w:p>
      <w:pPr>
        <w:pStyle w:val="Heading1"/>
        <w:spacing w:before="440"/>
      </w:pPr>
      <w:r>
        <w:t>Slide 31 · SDG mapping and societal impact</w:t>
      </w:r>
    </w:p>
    <w:tbl>
      <w:tblPr>
        <w:tblStyle w:val="TableGrid"/>
        <w:tblW w:type="auto" w:w="0"/>
        <w:tblLook w:firstColumn="1" w:firstRow="1" w:lastColumn="0" w:lastRow="0" w:noHBand="0" w:noVBand="1" w:val="04A0"/>
      </w:tblPr>
      <w:tblGrid>
        <w:gridCol w:w="10086"/>
      </w:tblGrid>
      <w:tr>
        <w:tc>
          <w:tcPr>
            <w:tcW w:type="dxa" w:w="10086"/>
            <w:shd w:val="clear" w:color="auto" w:fill="EAF2F8"/>
          </w:tcPr>
          <w:p>
            <w:pPr>
              <w:keepNext/>
              <w:spacing w:after="40"/>
            </w:pPr>
            <w:r/>
            <w:r>
              <w:rPr>
                <w:b/>
                <w:sz w:val="21"/>
              </w:rPr>
              <w:t>In one line.</w:t>
            </w:r>
            <w:r>
              <w:rPr>
                <w:sz w:val="21"/>
              </w:rPr>
              <w:t xml:space="preserve"> Which UN goals the work supports, how strongly, and what is only a potential.</w:t>
            </w:r>
          </w:p>
        </w:tc>
      </w:tr>
    </w:tbl>
    <w:p>
      <w:pPr>
        <w:spacing w:after="0"/>
      </w:pPr>
    </w:p>
    <w:p>
      <w:pPr>
        <w:keepNext/>
        <w:spacing w:before="120" w:after="40"/>
      </w:pPr>
      <w:r>
        <w:rPr>
          <w:b/>
          <w:color w:val="1F2A44"/>
          <w:sz w:val="19"/>
        </w:rPr>
        <w:t>IN PLAIN WORDS</w:t>
      </w:r>
    </w:p>
    <w:p>
      <w:pPr>
        <w:spacing w:after="80"/>
      </w:pPr>
      <w:r>
        <w:rPr>
          <w:b/>
          <w:sz w:val="21"/>
        </w:rPr>
        <w:t>Stakeholders.</w:t>
      </w:r>
      <w:r>
        <w:rPr>
          <w:sz w:val="21"/>
        </w:rPr>
        <w:t xml:space="preserve"> Smallholder farmers need a plain answer and a floor. Traders need evidence tiers and arrivals. Mandi officials and policymakers need transparent data use.</w:t>
      </w:r>
    </w:p>
    <w:p>
      <w:pPr>
        <w:spacing w:after="80"/>
      </w:pPr>
      <w:r>
        <w:rPr>
          <w:sz w:val="21"/>
        </w:rPr>
        <w:t>The status column is the honest part: 'Measured offline', 'Not measured', 'Potential', 'Engineering'. We claim impact only where held-out numbers support it.</w:t>
      </w:r>
    </w:p>
    <w:p>
      <w:pPr>
        <w:keepNext/>
        <w:spacing w:before="120" w:after="40"/>
      </w:pPr>
      <w:r>
        <w:rPr>
          <w:b/>
          <w:color w:val="1F2A44"/>
          <w:sz w:val="19"/>
        </w:rPr>
        <w:t>GO DEEPER: THE TECHNICAL CONTENT, EXPLAINED</w:t>
      </w:r>
    </w:p>
    <w:p>
      <w:pPr>
        <w:pStyle w:val="ListBullet"/>
        <w:spacing w:after="60"/>
      </w:pPr>
      <w:r>
        <w:rPr>
          <w:b/>
          <w:sz w:val="21"/>
        </w:rPr>
        <w:t>SDG 2, target 2.3 (income of small-scale producers through market information): measured offline.</w:t>
      </w:r>
      <w:r>
        <w:rPr>
          <w:sz w:val="21"/>
        </w:rPr>
        <w:t xml:space="preserve"> Back-test gains of Rs 60 to 202 per quintal over the best simple rule in three of four crops. The morning digest is on a free channel but untested with farmers.</w:t>
      </w:r>
    </w:p>
    <w:p>
      <w:pPr>
        <w:pStyle w:val="ListBullet"/>
        <w:spacing w:after="60"/>
      </w:pPr>
      <w:r>
        <w:rPr>
          <w:b/>
          <w:sz w:val="21"/>
        </w:rPr>
        <w:t>SDG 1, target 1.4 (access to economic services): not measured.</w:t>
      </w:r>
      <w:r>
        <w:rPr>
          <w:sz w:val="21"/>
        </w:rPr>
        <w:t xml:space="preserve"> A free, trilingual tool for small sellers; we have not measured access or use.</w:t>
      </w:r>
    </w:p>
    <w:p>
      <w:pPr>
        <w:pStyle w:val="ListBullet"/>
        <w:spacing w:after="60"/>
      </w:pPr>
      <w:r>
        <w:rPr>
          <w:b/>
          <w:sz w:val="21"/>
        </w:rPr>
        <w:t>SDG 12, target 12.3 (reduce food loss along supply chains): potential.</w:t>
      </w:r>
      <w:r>
        <w:rPr>
          <w:sz w:val="21"/>
        </w:rPr>
        <w:t xml:space="preserve"> Spoilage is built into the advice, so waiting and distance trade-offs are priced; we have not measured kilograms avoided.</w:t>
      </w:r>
    </w:p>
    <w:p>
      <w:pPr>
        <w:pStyle w:val="ListBullet"/>
        <w:spacing w:after="60"/>
      </w:pPr>
      <w:r>
        <w:rPr>
          <w:b/>
          <w:sz w:val="21"/>
        </w:rPr>
        <w:t>SDG 9, target 9.c (access to information technology): engineering.</w:t>
      </w:r>
      <w:r>
        <w:rPr>
          <w:sz w:val="21"/>
        </w:rPr>
        <w:t xml:space="preserve"> An open pipeline on a public data feed.</w:t>
      </w:r>
    </w:p>
    <w:p>
      <w:pPr>
        <w:pStyle w:val="ListBullet"/>
        <w:spacing w:after="60"/>
      </w:pPr>
      <w:r>
        <w:rPr>
          <w:sz w:val="21"/>
        </w:rPr>
        <w:t>The benefit to real farmer income needs a field trial, which this project did not conduct.</w:t>
      </w:r>
    </w:p>
    <w:p>
      <w:pPr>
        <w:keepNext/>
        <w:spacing w:before="120" w:after="40"/>
      </w:pPr>
      <w:r>
        <w:rPr>
          <w:b/>
          <w:color w:val="1F2A44"/>
          <w:sz w:val="19"/>
        </w:rPr>
        <w:t>IF ASKED</w:t>
      </w:r>
    </w:p>
    <w:p>
      <w:pPr>
        <w:spacing w:after="20"/>
      </w:pPr>
      <w:r>
        <w:rPr>
          <w:b/>
          <w:sz w:val="21"/>
        </w:rPr>
        <w:t>Q. Do you claim you increased farmers' income?</w:t>
      </w:r>
    </w:p>
    <w:p>
      <w:pPr>
        <w:spacing w:after="100"/>
      </w:pPr>
      <w:r>
        <w:rPr>
          <w:sz w:val="21"/>
        </w:rPr>
        <w:t>No. We show that, offline, the advice would have earned Rs 60 to 202 more per quintal than the best simple rule in three of four crops. Real income effects need a field trial.</w:t>
      </w:r>
    </w:p>
    <w:p>
      <w:pPr>
        <w:pStyle w:val="Heading1"/>
        <w:spacing w:before="440"/>
      </w:pPr>
      <w:r>
        <w:t>Slide 32 · Research paper status</w:t>
      </w:r>
    </w:p>
    <w:tbl>
      <w:tblPr>
        <w:tblStyle w:val="TableGrid"/>
        <w:tblW w:type="auto" w:w="0"/>
        <w:tblLook w:firstColumn="1" w:firstRow="1" w:lastColumn="0" w:lastRow="0" w:noHBand="0" w:noVBand="1" w:val="04A0"/>
      </w:tblPr>
      <w:tblGrid>
        <w:gridCol w:w="10086"/>
      </w:tblGrid>
      <w:tr>
        <w:tc>
          <w:tcPr>
            <w:tcW w:type="dxa" w:w="10086"/>
            <w:shd w:val="clear" w:color="auto" w:fill="EAF2F8"/>
          </w:tcPr>
          <w:p>
            <w:pPr>
              <w:keepNext/>
              <w:spacing w:after="40"/>
            </w:pPr>
            <w:r/>
            <w:r>
              <w:rPr>
                <w:b/>
                <w:sz w:val="21"/>
              </w:rPr>
              <w:t>In one line.</w:t>
            </w:r>
            <w:r>
              <w:rPr>
                <w:sz w:val="21"/>
              </w:rPr>
              <w:t xml:space="preserve"> Two manuscripts and a proposal are drafted; none has been submitted yet.</w:t>
            </w:r>
          </w:p>
        </w:tc>
      </w:tr>
    </w:tbl>
    <w:p>
      <w:pPr>
        <w:spacing w:after="0"/>
      </w:pPr>
    </w:p>
    <w:p>
      <w:pPr>
        <w:keepNext/>
        <w:spacing w:before="120" w:after="40"/>
      </w:pPr>
      <w:r>
        <w:rPr>
          <w:b/>
          <w:color w:val="1F2A44"/>
          <w:sz w:val="19"/>
        </w:rPr>
        <w:t>IN PLAIN WORDS</w:t>
      </w:r>
    </w:p>
    <w:p>
      <w:pPr>
        <w:spacing w:after="80"/>
      </w:pPr>
      <w:r>
        <w:rPr>
          <w:sz w:val="21"/>
        </w:rPr>
        <w:t>We say clearly that nothing is submitted. The primary target is IEEE Access (broad applied engineering, accepts long empirical papers with negative results). The second is the CICPS 2027 conference (Springer LNNS). The third item is the KSCST SPP 50th series project proposal.</w:t>
      </w:r>
    </w:p>
    <w:p>
      <w:pPr>
        <w:keepNext/>
        <w:spacing w:before="120" w:after="40"/>
      </w:pPr>
      <w:r>
        <w:rPr>
          <w:b/>
          <w:color w:val="1F2A44"/>
          <w:sz w:val="19"/>
        </w:rPr>
        <w:t>GO DEEPER: THE TECHNICAL CONTENT, EXPLAINED</w:t>
      </w:r>
    </w:p>
    <w:p>
      <w:pPr>
        <w:pStyle w:val="ListBullet"/>
        <w:spacing w:after="60"/>
      </w:pPr>
      <w:r>
        <w:rPr>
          <w:b/>
          <w:sz w:val="21"/>
        </w:rPr>
        <w:t>Manuscript 1:</w:t>
      </w:r>
      <w:r>
        <w:rPr>
          <w:sz w:val="21"/>
        </w:rPr>
        <w:t xml:space="preserve"> Where and When to Sell: Outcome-Supervised Market Choice with Conformal Revenue Floors, and a Look-Ahead Audit of Decomposition Forecasters. IEEE Access, 14 pages, drafted.</w:t>
      </w:r>
    </w:p>
    <w:p>
      <w:pPr>
        <w:pStyle w:val="ListBullet"/>
        <w:spacing w:after="60"/>
      </w:pPr>
      <w:r>
        <w:rPr>
          <w:b/>
          <w:sz w:val="21"/>
        </w:rPr>
        <w:t>Manuscript 2:</w:t>
      </w:r>
      <w:r>
        <w:rPr>
          <w:sz w:val="21"/>
        </w:rPr>
        <w:t xml:space="preserve"> Fusing Specialist Agents and Market Signals into Calibrated Price Ranges: A Pre-Registered Evaluation on Indian Agricultural Mandis. CICPS 2027, 12 pages, drafted.</w:t>
      </w:r>
    </w:p>
    <w:p>
      <w:pPr>
        <w:pStyle w:val="ListBullet"/>
        <w:spacing w:after="60"/>
      </w:pPr>
      <w:r>
        <w:rPr>
          <w:b/>
          <w:sz w:val="21"/>
        </w:rPr>
        <w:t>Proposal:</w:t>
      </w:r>
      <w:r>
        <w:rPr>
          <w:sz w:val="21"/>
        </w:rPr>
        <w:t xml:space="preserve"> MandiSense project proposal for the KSCST Student Project Programme, 14 pages, drafted.</w:t>
      </w:r>
    </w:p>
    <w:p>
      <w:pPr>
        <w:pStyle w:val="ListBullet"/>
        <w:spacing w:after="60"/>
      </w:pPr>
      <w:r>
        <w:rPr>
          <w:b/>
          <w:sz w:val="21"/>
        </w:rPr>
        <w:t>Similarity:</w:t>
      </w:r>
      <w:r>
        <w:rPr>
          <w:sz w:val="21"/>
        </w:rPr>
        <w:t xml:space="preserve"> only a self-check exists for the conference draft; official Drillbit percentages will be added at submission.</w:t>
      </w:r>
    </w:p>
    <w:p>
      <w:pPr>
        <w:keepNext/>
        <w:spacing w:before="120" w:after="40"/>
      </w:pPr>
      <w:r>
        <w:rPr>
          <w:b/>
          <w:color w:val="1F2A44"/>
          <w:sz w:val="19"/>
        </w:rPr>
        <w:t>IF ASKED</w:t>
      </w:r>
    </w:p>
    <w:p>
      <w:pPr>
        <w:spacing w:after="20"/>
      </w:pPr>
      <w:r>
        <w:rPr>
          <w:b/>
          <w:sz w:val="21"/>
        </w:rPr>
        <w:t>Q. Why IEEE Access?</w:t>
      </w:r>
    </w:p>
    <w:p>
      <w:pPr>
        <w:spacing w:after="100"/>
      </w:pPr>
      <w:r>
        <w:rPr>
          <w:sz w:val="21"/>
        </w:rPr>
        <w:t>It publishes long empirical work and accepts negative results; our contribution includes several.</w:t>
      </w:r>
    </w:p>
    <w:p>
      <w:pPr>
        <w:pStyle w:val="Heading1"/>
        <w:spacing w:before="440"/>
      </w:pPr>
      <w:r>
        <w:t>Slide 33 · Conclusion and future work</w:t>
      </w:r>
    </w:p>
    <w:tbl>
      <w:tblPr>
        <w:tblStyle w:val="TableGrid"/>
        <w:tblW w:type="auto" w:w="0"/>
        <w:tblLook w:firstColumn="1" w:firstRow="1" w:lastColumn="0" w:lastRow="0" w:noHBand="0" w:noVBand="1" w:val="04A0"/>
      </w:tblPr>
      <w:tblGrid>
        <w:gridCol w:w="10086"/>
      </w:tblGrid>
      <w:tr>
        <w:tc>
          <w:tcPr>
            <w:tcW w:type="dxa" w:w="10086"/>
            <w:shd w:val="clear" w:color="auto" w:fill="EAF2F8"/>
          </w:tcPr>
          <w:p>
            <w:pPr>
              <w:keepNext/>
              <w:spacing w:after="40"/>
            </w:pPr>
            <w:r/>
            <w:r>
              <w:rPr>
                <w:b/>
                <w:sz w:val="21"/>
              </w:rPr>
              <w:t>In one line.</w:t>
            </w:r>
            <w:r>
              <w:rPr>
                <w:sz w:val="21"/>
              </w:rPr>
              <w:t xml:space="preserve"> What we achieved, what limits it, and the next steps that follow directly from the limits.</w:t>
            </w:r>
          </w:p>
        </w:tc>
      </w:tr>
    </w:tbl>
    <w:p>
      <w:pPr>
        <w:spacing w:after="0"/>
      </w:pPr>
    </w:p>
    <w:p>
      <w:pPr>
        <w:keepNext/>
        <w:spacing w:before="120" w:after="40"/>
      </w:pPr>
      <w:r>
        <w:rPr>
          <w:b/>
          <w:color w:val="1F2A44"/>
          <w:sz w:val="19"/>
        </w:rPr>
        <w:t>IN PLAIN WORDS</w:t>
      </w:r>
    </w:p>
    <w:p>
      <w:pPr>
        <w:spacing w:after="80"/>
      </w:pPr>
      <w:r>
        <w:rPr>
          <w:b/>
          <w:sz w:val="21"/>
        </w:rPr>
        <w:t>Key outcome:</w:t>
      </w:r>
      <w:r>
        <w:rPr>
          <w:sz w:val="21"/>
        </w:rPr>
        <w:t xml:space="preserve"> advice trained on realised revenue beats the best simple rule by Rs 170 per quintal for tomato and Rs 202 for ginger, with floors that hold close to their level. Against the objectives: 7 met, 1 partly met, 1 null result and 1 built and tested; negative results are reported.</w:t>
      </w:r>
    </w:p>
    <w:p>
      <w:pPr>
        <w:keepNext/>
        <w:spacing w:before="120" w:after="40"/>
      </w:pPr>
      <w:r>
        <w:rPr>
          <w:b/>
          <w:color w:val="1F2A44"/>
          <w:sz w:val="19"/>
        </w:rPr>
        <w:t>GO DEEPER: THE TECHNICAL CONTENT, EXPLAINED</w:t>
      </w:r>
    </w:p>
    <w:p>
      <w:pPr>
        <w:pStyle w:val="ListBullet"/>
        <w:spacing w:after="60"/>
      </w:pPr>
      <w:r>
        <w:rPr>
          <w:b/>
          <w:sz w:val="21"/>
        </w:rPr>
        <w:t>Limitations.</w:t>
      </w:r>
      <w:r>
        <w:rPr>
          <w:sz w:val="21"/>
        </w:rPr>
        <w:t xml:space="preserve"> One region, one source, 5.8 years. Offline only: no farmer acted on the advice and the digest was not piloted. Revenue and crowd parameters are scenarios, and replayed floors held 84 to 92 percent (aim 90). Briefs are checked for traceability, not user-tested. Spillover found no episodes; deployment unverified.</w:t>
      </w:r>
    </w:p>
    <w:p>
      <w:pPr>
        <w:pStyle w:val="ListBullet"/>
        <w:spacing w:after="60"/>
      </w:pPr>
      <w:r>
        <w:rPr>
          <w:b/>
          <w:sz w:val="21"/>
        </w:rPr>
        <w:t>Future work, each from a limit.</w:t>
      </w:r>
      <w:r>
        <w:rPr>
          <w:sz w:val="21"/>
        </w:rPr>
        <w:t xml:space="preserve"> (1) A field pilot through the bot with an outcome form and the survey. (2) Estimate transport, spoilage and silence from data instead of assuming them. (3) Diagnose the spillover labelling and define episodes from arrivals. (4) User test of briefs and a native-speaker review of Kannada and Hindi. (5) Verify deployment and monitor live floor violations.</w:t>
      </w:r>
    </w:p>
    <w:p>
      <w:pPr>
        <w:pStyle w:val="ListBullet"/>
        <w:spacing w:after="60"/>
      </w:pPr>
      <w:r>
        <w:rPr>
          <w:b/>
          <w:sz w:val="21"/>
        </w:rPr>
        <w:t>How to close.</w:t>
      </w:r>
      <w:r>
        <w:rPr>
          <w:sz w:val="21"/>
        </w:rPr>
        <w:t xml:space="preserve"> 'The main result is simple: teach the model what the farmer actually keeps, and say how sure you are. It worked, and we measured exactly where it does not.'</w:t>
      </w:r>
    </w:p>
    <w:p>
      <w:pPr>
        <w:keepNext/>
        <w:spacing w:before="120" w:after="40"/>
      </w:pPr>
      <w:r>
        <w:rPr>
          <w:b/>
          <w:color w:val="1F2A44"/>
          <w:sz w:val="19"/>
        </w:rPr>
        <w:t>IF ASKED</w:t>
      </w:r>
    </w:p>
    <w:p>
      <w:pPr>
        <w:spacing w:after="20"/>
      </w:pPr>
      <w:r>
        <w:rPr>
          <w:b/>
          <w:sz w:val="21"/>
        </w:rPr>
        <w:t>Q. What would you do first with more time?</w:t>
      </w:r>
    </w:p>
    <w:p>
      <w:pPr>
        <w:spacing w:after="100"/>
      </w:pPr>
      <w:r>
        <w:rPr>
          <w:sz w:val="21"/>
        </w:rPr>
        <w:t>A small field pilot: the bot with an outcome form, so we measure real farmer decisions and real floor violations, the two things offline evaluation cannot give.</w:t>
      </w:r>
    </w:p>
    <w:p>
      <w:pPr>
        <w:pStyle w:val="Heading1"/>
        <w:spacing w:before="440"/>
      </w:pPr>
      <w:r>
        <w:t>Slide 34 · References</w:t>
      </w:r>
    </w:p>
    <w:tbl>
      <w:tblPr>
        <w:tblStyle w:val="TableGrid"/>
        <w:tblW w:type="auto" w:w="0"/>
        <w:tblLook w:firstColumn="1" w:firstRow="1" w:lastColumn="0" w:lastRow="0" w:noHBand="0" w:noVBand="1" w:val="04A0"/>
      </w:tblPr>
      <w:tblGrid>
        <w:gridCol w:w="10086"/>
      </w:tblGrid>
      <w:tr>
        <w:tc>
          <w:tcPr>
            <w:tcW w:type="dxa" w:w="10086"/>
            <w:shd w:val="clear" w:color="auto" w:fill="EAF2F8"/>
          </w:tcPr>
          <w:p>
            <w:pPr>
              <w:keepNext/>
              <w:spacing w:after="40"/>
            </w:pPr>
            <w:r/>
            <w:r>
              <w:rPr>
                <w:b/>
                <w:sz w:val="21"/>
              </w:rPr>
              <w:t>In one line.</w:t>
            </w:r>
            <w:r>
              <w:rPr>
                <w:sz w:val="21"/>
              </w:rPr>
              <w:t xml:space="preserve"> Numbered references used on the slides; the full list is in the thesis.</w:t>
            </w:r>
          </w:p>
        </w:tc>
      </w:tr>
    </w:tbl>
    <w:p>
      <w:pPr>
        <w:spacing w:after="0"/>
      </w:pPr>
    </w:p>
    <w:p>
      <w:pPr>
        <w:keepNext/>
        <w:spacing w:before="120" w:after="40"/>
      </w:pPr>
      <w:r>
        <w:rPr>
          <w:b/>
          <w:color w:val="1F2A44"/>
          <w:sz w:val="19"/>
        </w:rPr>
        <w:t>IN PLAIN WORDS</w:t>
      </w:r>
    </w:p>
    <w:p>
      <w:pPr>
        <w:spacing w:after="80"/>
      </w:pPr>
      <w:r>
        <w:rPr>
          <w:sz w:val="21"/>
        </w:rPr>
        <w:t>The slide lists 34 numbered entries. The thesis bibliography is larger (63 entries after the literature review was expanded and 25 studies were surveyed in tables).</w:t>
      </w:r>
    </w:p>
    <w:p>
      <w:pPr>
        <w:keepNext/>
        <w:spacing w:before="120" w:after="40"/>
      </w:pPr>
      <w:r>
        <w:rPr>
          <w:b/>
          <w:color w:val="1F2A44"/>
          <w:sz w:val="19"/>
        </w:rPr>
        <w:t>GO DEEPER: THE TECHNICAL CONTENT, EXPLAINED</w:t>
      </w:r>
    </w:p>
    <w:p>
      <w:pPr>
        <w:pStyle w:val="ListBullet"/>
        <w:spacing w:after="60"/>
      </w:pPr>
      <w:r>
        <w:rPr>
          <w:b/>
          <w:sz w:val="21"/>
        </w:rPr>
        <w:t>How they map to the talk.</w:t>
      </w:r>
      <w:r>
        <w:rPr>
          <w:sz w:val="21"/>
        </w:rPr>
        <w:t xml:space="preserve"> [1]-[8] motivation and forecasting studies; [9]-[16] decomposition and evaluation (STL, VMD, Bergmeir, Cerqueira); [17], [18] Chronos and the foundation-model study; [19] trees on tabular data; [20] Optuna; [21], [22] SPO+ and decision-focused learning; [23] XGBoost and LightGBM; [24]-[27] statistical tests (Diebold-Mariano, Newey-West, model confidence set); [28] conformal prediction; [26] adaptive conformal inference; [29] DeepSets; [30]-[31] Holm and block bootstrap; [32] conformalised quantile regression; [33]-[34] missing data.</w:t>
      </w:r>
    </w:p>
    <w:p>
      <w:pPr>
        <w:pStyle w:val="ListBullet"/>
        <w:spacing w:after="60"/>
      </w:pPr>
      <w:r>
        <w:rPr>
          <w:b/>
          <w:sz w:val="21"/>
        </w:rPr>
        <w:t>Known mismatches to check before presenting.</w:t>
      </w:r>
      <w:r>
        <w:rPr>
          <w:sz w:val="21"/>
        </w:rPr>
        <w:t xml:space="preserve"> Slide 3 cites [7], [8] for information frictions; those numbers are Jha and Wu on the references slide, while Jensen and Aker are [3] and [4]. Slide 26 cites ACI as [26] and conformal prediction as [25]-[28]; the references slide gives [25] as Newey-West and [26] as Gibbs-Candes. Align the numbers in the slide text with this list or be ready to explain.</w:t>
      </w:r>
    </w:p>
    <w:p>
      <w:pPr>
        <w:keepNext/>
        <w:spacing w:before="120" w:after="40"/>
      </w:pPr>
      <w:r>
        <w:rPr>
          <w:b/>
          <w:color w:val="1F2A44"/>
          <w:sz w:val="19"/>
        </w:rPr>
        <w:t>IF ASKED</w:t>
      </w:r>
    </w:p>
    <w:p>
      <w:pPr>
        <w:spacing w:after="20"/>
      </w:pPr>
      <w:r>
        <w:rPr>
          <w:b/>
          <w:sz w:val="21"/>
        </w:rPr>
        <w:t>Q. Where is the full list?</w:t>
      </w:r>
    </w:p>
    <w:p>
      <w:pPr>
        <w:spacing w:after="100"/>
      </w:pPr>
      <w:r>
        <w:rPr>
          <w:sz w:val="21"/>
        </w:rPr>
        <w:t>In the thesis bibliography, with 63 entries, each matched to a published record.</w:t>
      </w:r>
    </w:p>
    <w:p>
      <w:pPr>
        <w:pStyle w:val="Heading1"/>
        <w:spacing w:before="440"/>
      </w:pPr>
      <w:r>
        <w:t>Slide 35 · Thank you</w:t>
      </w:r>
    </w:p>
    <w:tbl>
      <w:tblPr>
        <w:tblStyle w:val="TableGrid"/>
        <w:tblW w:type="auto" w:w="0"/>
        <w:tblLook w:firstColumn="1" w:firstRow="1" w:lastColumn="0" w:lastRow="0" w:noHBand="0" w:noVBand="1" w:val="04A0"/>
      </w:tblPr>
      <w:tblGrid>
        <w:gridCol w:w="10086"/>
      </w:tblGrid>
      <w:tr>
        <w:tc>
          <w:tcPr>
            <w:tcW w:type="dxa" w:w="10086"/>
            <w:shd w:val="clear" w:color="auto" w:fill="EAF2F8"/>
          </w:tcPr>
          <w:p>
            <w:pPr>
              <w:keepNext/>
              <w:spacing w:after="40"/>
            </w:pPr>
            <w:r/>
            <w:r>
              <w:rPr>
                <w:b/>
                <w:sz w:val="21"/>
              </w:rPr>
              <w:t>In one line.</w:t>
            </w:r>
            <w:r>
              <w:rPr>
                <w:sz w:val="21"/>
              </w:rPr>
              <w:t xml:space="preserve"> Close and invite questions.</w:t>
            </w:r>
          </w:p>
        </w:tc>
      </w:tr>
    </w:tbl>
    <w:p>
      <w:pPr>
        <w:spacing w:after="0"/>
      </w:pPr>
    </w:p>
    <w:p>
      <w:pPr>
        <w:keepNext/>
        <w:spacing w:before="120" w:after="40"/>
      </w:pPr>
      <w:r>
        <w:rPr>
          <w:b/>
          <w:color w:val="1F2A44"/>
          <w:sz w:val="19"/>
        </w:rPr>
        <w:t>IN PLAIN WORDS</w:t>
      </w:r>
    </w:p>
    <w:p>
      <w:pPr>
        <w:spacing w:after="80"/>
      </w:pPr>
      <w:r>
        <w:rPr>
          <w:sz w:val="21"/>
        </w:rPr>
        <w:t>End on the one-sentence result and offer to return to any demo screen. Keep this guide's 'If asked' answers and Appendix D (question bank) at hand.</w:t>
      </w:r>
    </w:p>
    <w:p>
      <w:pPr>
        <w:pStyle w:val="Heading1"/>
      </w:pPr>
      <w:r>
        <w:t>Part C. Formula cheat sheet</w:t>
      </w:r>
    </w:p>
    <w:p>
      <w:pPr>
        <w:spacing w:after="60"/>
      </w:pPr>
      <w:r>
        <w:rPr>
          <w:b w:val="0"/>
          <w:i/>
          <w:sz w:val="21"/>
        </w:rPr>
        <w:t>Every formula in the deck, in one line each, with what it means.</w:t>
      </w:r>
    </w:p>
    <w:tbl>
      <w:tblPr>
        <w:tblStyle w:val="TableGrid"/>
        <w:tblW w:type="auto" w:w="0"/>
        <w:jc w:val="center"/>
        <w:tblLayout w:type="fixed"/>
        <w:tblLook w:firstColumn="1" w:firstRow="1" w:lastColumn="0" w:lastRow="0" w:noHBand="0" w:noVBand="1" w:val="04A0"/>
      </w:tblPr>
      <w:tblGrid>
        <w:gridCol w:w="1701"/>
        <w:gridCol w:w="3175"/>
        <w:gridCol w:w="4762"/>
      </w:tblGrid>
      <w:tr>
        <w:tc>
          <w:tcPr>
            <w:tcW w:type="dxa" w:w="1701"/>
            <w:shd w:val="clear" w:color="auto" w:fill="1F4E79"/>
          </w:tcPr>
          <w:p>
            <w:pPr>
              <w:spacing w:after="20"/>
            </w:pPr>
            <w:r>
              <w:rPr>
                <w:b/>
                <w:color w:val="FFFFFF"/>
              </w:rPr>
            </w:r>
            <w:r>
              <w:rPr>
                <w:b/>
                <w:color w:val="FFFFFF"/>
                <w:sz w:val="18"/>
              </w:rPr>
              <w:t>Name</w:t>
            </w:r>
          </w:p>
        </w:tc>
        <w:tc>
          <w:tcPr>
            <w:tcW w:type="dxa" w:w="3175"/>
            <w:shd w:val="clear" w:color="auto" w:fill="1F4E79"/>
          </w:tcPr>
          <w:p>
            <w:pPr>
              <w:spacing w:after="20"/>
            </w:pPr>
            <w:r>
              <w:rPr>
                <w:b/>
                <w:color w:val="FFFFFF"/>
              </w:rPr>
            </w:r>
            <w:r>
              <w:rPr>
                <w:b/>
                <w:color w:val="FFFFFF"/>
                <w:sz w:val="18"/>
              </w:rPr>
              <w:t>Formula</w:t>
            </w:r>
          </w:p>
        </w:tc>
        <w:tc>
          <w:tcPr>
            <w:tcW w:type="dxa" w:w="4762"/>
            <w:shd w:val="clear" w:color="auto" w:fill="1F4E79"/>
          </w:tcPr>
          <w:p>
            <w:pPr>
              <w:spacing w:after="20"/>
            </w:pPr>
            <w:r>
              <w:rPr>
                <w:b/>
                <w:color w:val="FFFFFF"/>
              </w:rPr>
            </w:r>
            <w:r>
              <w:rPr>
                <w:b/>
                <w:color w:val="FFFFFF"/>
                <w:sz w:val="18"/>
              </w:rPr>
              <w:t>In plain words</w:t>
            </w:r>
          </w:p>
        </w:tc>
      </w:tr>
      <w:tr>
        <w:tc>
          <w:tcPr>
            <w:tcW w:type="dxa" w:w="1701"/>
          </w:tcPr>
          <w:p>
            <w:pPr>
              <w:spacing w:after="20"/>
            </w:pPr>
            <w:r/>
            <w:r>
              <w:rPr>
                <w:sz w:val="18"/>
              </w:rPr>
              <w:t>Net revenue</w:t>
            </w:r>
          </w:p>
        </w:tc>
        <w:tc>
          <w:tcPr>
            <w:tcW w:type="dxa" w:w="3175"/>
          </w:tcPr>
          <w:p>
            <w:pPr>
              <w:spacing w:after="20"/>
            </w:pPr>
            <w:r/>
            <w:r>
              <w:rPr>
                <w:sz w:val="18"/>
              </w:rPr>
              <w:t>R(m,k) = (1 - f)(1 - delta)^k x P~ - tau x rho x d - c0</w:t>
            </w:r>
          </w:p>
        </w:tc>
        <w:tc>
          <w:tcPr>
            <w:tcW w:type="dxa" w:w="4762"/>
          </w:tcPr>
          <w:p>
            <w:pPr>
              <w:spacing w:after="20"/>
            </w:pPr>
            <w:r/>
            <w:r>
              <w:rPr>
                <w:sz w:val="18"/>
              </w:rPr>
              <w:t>What you keep per quintal: price after fee, after spoilage over k days, minus transport and handling. P~ is the posted price if the mandi reported, else 0.85 of the day's average.</w:t>
            </w:r>
          </w:p>
        </w:tc>
      </w:tr>
      <w:tr>
        <w:tc>
          <w:tcPr>
            <w:tcW w:type="dxa" w:w="1701"/>
            <w:shd w:val="clear" w:color="auto" w:fill="EEF4F9"/>
          </w:tcPr>
          <w:p>
            <w:pPr>
              <w:spacing w:after="20"/>
            </w:pPr>
            <w:r/>
            <w:r>
              <w:rPr>
                <w:sz w:val="18"/>
              </w:rPr>
              <w:t>Regret</w:t>
            </w:r>
          </w:p>
        </w:tc>
        <w:tc>
          <w:tcPr>
            <w:tcW w:type="dxa" w:w="3175"/>
            <w:shd w:val="clear" w:color="auto" w:fill="EEF4F9"/>
          </w:tcPr>
          <w:p>
            <w:pPr>
              <w:spacing w:after="20"/>
            </w:pPr>
            <w:r/>
            <w:r>
              <w:rPr>
                <w:sz w:val="18"/>
              </w:rPr>
              <w:t>oracle revenue - method revenue</w:t>
            </w:r>
          </w:p>
        </w:tc>
        <w:tc>
          <w:tcPr>
            <w:tcW w:type="dxa" w:w="4762"/>
            <w:shd w:val="clear" w:color="auto" w:fill="EEF4F9"/>
          </w:tcPr>
          <w:p>
            <w:pPr>
              <w:spacing w:after="20"/>
            </w:pPr>
            <w:r/>
            <w:r>
              <w:rPr>
                <w:sz w:val="18"/>
              </w:rPr>
              <w:t>Rupees lost against the best hindsight choice.</w:t>
            </w:r>
          </w:p>
        </w:tc>
      </w:tr>
      <w:tr>
        <w:tc>
          <w:tcPr>
            <w:tcW w:type="dxa" w:w="1701"/>
          </w:tcPr>
          <w:p>
            <w:pPr>
              <w:spacing w:after="20"/>
            </w:pPr>
            <w:r/>
            <w:r>
              <w:rPr>
                <w:sz w:val="18"/>
              </w:rPr>
              <w:t>Gap closed</w:t>
            </w:r>
          </w:p>
        </w:tc>
        <w:tc>
          <w:tcPr>
            <w:tcW w:type="dxa" w:w="3175"/>
          </w:tcPr>
          <w:p>
            <w:pPr>
              <w:spacing w:after="20"/>
            </w:pPr>
            <w:r/>
            <w:r>
              <w:rPr>
                <w:sz w:val="18"/>
              </w:rPr>
              <w:t>(method - nearest) / (oracle - nearest)</w:t>
            </w:r>
          </w:p>
        </w:tc>
        <w:tc>
          <w:tcPr>
            <w:tcW w:type="dxa" w:w="4762"/>
          </w:tcPr>
          <w:p>
            <w:pPr>
              <w:spacing w:after="20"/>
            </w:pPr>
            <w:r/>
            <w:r>
              <w:rPr>
                <w:sz w:val="18"/>
              </w:rPr>
              <w:t>0 = as bad as nearest mandi; 1 = oracle.</w:t>
            </w:r>
          </w:p>
        </w:tc>
      </w:tr>
      <w:tr>
        <w:tc>
          <w:tcPr>
            <w:tcW w:type="dxa" w:w="1701"/>
            <w:shd w:val="clear" w:color="auto" w:fill="EEF4F9"/>
          </w:tcPr>
          <w:p>
            <w:pPr>
              <w:spacing w:after="20"/>
            </w:pPr>
            <w:r/>
            <w:r>
              <w:rPr>
                <w:sz w:val="18"/>
              </w:rPr>
              <w:t>SPO+ loss</w:t>
            </w:r>
          </w:p>
        </w:tc>
        <w:tc>
          <w:tcPr>
            <w:tcW w:type="dxa" w:w="3175"/>
            <w:shd w:val="clear" w:color="auto" w:fill="EEF4F9"/>
          </w:tcPr>
          <w:p>
            <w:pPr>
              <w:spacing w:after="20"/>
            </w:pPr>
            <w:r/>
            <w:r>
              <w:rPr>
                <w:sz w:val="18"/>
              </w:rPr>
              <w:t>max_a (2 r-hat_a - r_a) - 2 r-hat_a + r_a</w:t>
            </w:r>
          </w:p>
        </w:tc>
        <w:tc>
          <w:tcPr>
            <w:tcW w:type="dxa" w:w="4762"/>
            <w:shd w:val="clear" w:color="auto" w:fill="EEF4F9"/>
          </w:tcPr>
          <w:p>
            <w:pPr>
              <w:spacing w:after="20"/>
            </w:pPr>
            <w:r/>
            <w:r>
              <w:rPr>
                <w:sz w:val="18"/>
              </w:rPr>
              <w:t>Penalises the harm of the decision a prediction leads to; an upper bound on regret, zero at the truth.</w:t>
            </w:r>
          </w:p>
        </w:tc>
      </w:tr>
      <w:tr>
        <w:tc>
          <w:tcPr>
            <w:tcW w:type="dxa" w:w="1701"/>
          </w:tcPr>
          <w:p>
            <w:pPr>
              <w:spacing w:after="20"/>
            </w:pPr>
            <w:r/>
            <w:r>
              <w:rPr>
                <w:sz w:val="18"/>
              </w:rPr>
              <w:t>Floor</w:t>
            </w:r>
          </w:p>
        </w:tc>
        <w:tc>
          <w:tcPr>
            <w:tcW w:type="dxa" w:w="3175"/>
          </w:tcPr>
          <w:p>
            <w:pPr>
              <w:spacing w:after="20"/>
            </w:pPr>
            <w:r/>
            <w:r>
              <w:rPr>
                <w:sz w:val="18"/>
              </w:rPr>
              <w:t>L = r-hat - q x sigma-hat</w:t>
            </w:r>
          </w:p>
        </w:tc>
        <w:tc>
          <w:tcPr>
            <w:tcW w:type="dxa" w:w="4762"/>
          </w:tcPr>
          <w:p>
            <w:pPr>
              <w:spacing w:after="20"/>
            </w:pPr>
            <w:r/>
            <w:r>
              <w:rPr>
                <w:sz w:val="18"/>
              </w:rPr>
              <w:t>Predicted revenue minus a learned margin: the amount we say you can count on.</w:t>
            </w:r>
          </w:p>
        </w:tc>
      </w:tr>
      <w:tr>
        <w:tc>
          <w:tcPr>
            <w:tcW w:type="dxa" w:w="1701"/>
            <w:shd w:val="clear" w:color="auto" w:fill="EEF4F9"/>
          </w:tcPr>
          <w:p>
            <w:pPr>
              <w:spacing w:after="20"/>
            </w:pPr>
            <w:r/>
            <w:r>
              <w:rPr>
                <w:sz w:val="18"/>
              </w:rPr>
              <w:t>Adaptive level</w:t>
            </w:r>
          </w:p>
        </w:tc>
        <w:tc>
          <w:tcPr>
            <w:tcW w:type="dxa" w:w="3175"/>
            <w:shd w:val="clear" w:color="auto" w:fill="EEF4F9"/>
          </w:tcPr>
          <w:p>
            <w:pPr>
              <w:spacing w:after="20"/>
            </w:pPr>
            <w:r/>
            <w:r>
              <w:rPr>
                <w:sz w:val="18"/>
              </w:rPr>
              <w:t>alpha_{t+1} = alpha_t + gamma (alpha - 1[R &lt; L])</w:t>
            </w:r>
          </w:p>
        </w:tc>
        <w:tc>
          <w:tcPr>
            <w:tcW w:type="dxa" w:w="4762"/>
            <w:shd w:val="clear" w:color="auto" w:fill="EEF4F9"/>
          </w:tcPr>
          <w:p>
            <w:pPr>
              <w:spacing w:after="20"/>
            </w:pPr>
            <w:r/>
            <w:r>
              <w:rPr>
                <w:sz w:val="18"/>
              </w:rPr>
              <w:t>After a miss alpha falls by 0.009 (floors get safer); after a hit it rises by 0.001.</w:t>
            </w:r>
          </w:p>
        </w:tc>
      </w:tr>
      <w:tr>
        <w:tc>
          <w:tcPr>
            <w:tcW w:type="dxa" w:w="1701"/>
          </w:tcPr>
          <w:p>
            <w:pPr>
              <w:spacing w:after="20"/>
            </w:pPr>
            <w:r/>
            <w:r>
              <w:rPr>
                <w:sz w:val="18"/>
              </w:rPr>
              <w:t>Silence tax</w:t>
            </w:r>
          </w:p>
        </w:tc>
        <w:tc>
          <w:tcPr>
            <w:tcW w:type="dxa" w:w="3175"/>
          </w:tcPr>
          <w:p>
            <w:pPr>
              <w:spacing w:after="20"/>
            </w:pPr>
            <w:r/>
            <w:r>
              <w:rPr>
                <w:sz w:val="18"/>
              </w:rPr>
              <w:t>T = s x max(P_m - 0.85 x P_day, 0)</w:t>
            </w:r>
          </w:p>
        </w:tc>
        <w:tc>
          <w:tcPr>
            <w:tcW w:type="dxa" w:w="4762"/>
          </w:tcPr>
          <w:p>
            <w:pPr>
              <w:spacing w:after="20"/>
            </w:pPr>
            <w:r/>
            <w:r>
              <w:rPr>
                <w:sz w:val="18"/>
              </w:rPr>
              <w:t>Expected rupees lost per quintal to surprise silence.</w:t>
            </w:r>
          </w:p>
        </w:tc>
      </w:tr>
      <w:tr>
        <w:tc>
          <w:tcPr>
            <w:tcW w:type="dxa" w:w="1701"/>
            <w:shd w:val="clear" w:color="auto" w:fill="EEF4F9"/>
          </w:tcPr>
          <w:p>
            <w:pPr>
              <w:spacing w:after="20"/>
            </w:pPr>
            <w:r/>
            <w:r>
              <w:rPr>
                <w:sz w:val="18"/>
              </w:rPr>
              <w:t>Crowd price</w:t>
            </w:r>
          </w:p>
        </w:tc>
        <w:tc>
          <w:tcPr>
            <w:tcW w:type="dxa" w:w="3175"/>
            <w:shd w:val="clear" w:color="auto" w:fill="EEF4F9"/>
          </w:tcPr>
          <w:p>
            <w:pPr>
              <w:spacing w:after="20"/>
            </w:pPr>
            <w:r/>
            <w:r>
              <w:rPr>
                <w:sz w:val="18"/>
              </w:rPr>
              <w:t>P(x) = P x (1 + x/A)^(-b)</w:t>
            </w:r>
          </w:p>
        </w:tc>
        <w:tc>
          <w:tcPr>
            <w:tcW w:type="dxa" w:w="4762"/>
            <w:shd w:val="clear" w:color="auto" w:fill="EEF4F9"/>
          </w:tcPr>
          <w:p>
            <w:pPr>
              <w:spacing w:after="20"/>
            </w:pPr>
            <w:r/>
            <w:r>
              <w:rPr>
                <w:sz w:val="18"/>
              </w:rPr>
              <w:t>Price after x extra quintals arrive; A usual arrivals, b flexibility.</w:t>
            </w:r>
          </w:p>
        </w:tc>
      </w:tr>
      <w:tr>
        <w:tc>
          <w:tcPr>
            <w:tcW w:type="dxa" w:w="1701"/>
          </w:tcPr>
          <w:p>
            <w:pPr>
              <w:spacing w:after="20"/>
            </w:pPr>
            <w:r/>
            <w:r>
              <w:rPr>
                <w:sz w:val="18"/>
              </w:rPr>
              <w:t>Spillover effect</w:t>
            </w:r>
          </w:p>
        </w:tc>
        <w:tc>
          <w:tcPr>
            <w:tcW w:type="dxa" w:w="3175"/>
          </w:tcPr>
          <w:p>
            <w:pPr>
              <w:spacing w:after="20"/>
            </w:pPr>
            <w:r/>
            <w:r>
              <w:rPr>
                <w:sz w:val="18"/>
              </w:rPr>
              <w:t>mean over episodes of cumulative target return over h weeks, minus baseline</w:t>
            </w:r>
          </w:p>
        </w:tc>
        <w:tc>
          <w:tcPr>
            <w:tcW w:type="dxa" w:w="4762"/>
          </w:tcPr>
          <w:p>
            <w:pPr>
              <w:spacing w:after="20"/>
            </w:pPr>
            <w:r/>
            <w:r>
              <w:rPr>
                <w:sz w:val="18"/>
              </w:rPr>
              <w:t>Response of a crop after another crop's shock.</w:t>
            </w:r>
          </w:p>
        </w:tc>
      </w:tr>
      <w:tr>
        <w:tc>
          <w:tcPr>
            <w:tcW w:type="dxa" w:w="1701"/>
            <w:shd w:val="clear" w:color="auto" w:fill="EEF4F9"/>
          </w:tcPr>
          <w:p>
            <w:pPr>
              <w:spacing w:after="20"/>
            </w:pPr>
            <w:r/>
            <w:r>
              <w:rPr>
                <w:sz w:val="18"/>
              </w:rPr>
              <w:t>Skill</w:t>
            </w:r>
          </w:p>
        </w:tc>
        <w:tc>
          <w:tcPr>
            <w:tcW w:type="dxa" w:w="3175"/>
            <w:shd w:val="clear" w:color="auto" w:fill="EEF4F9"/>
          </w:tcPr>
          <w:p>
            <w:pPr>
              <w:spacing w:after="20"/>
            </w:pPr>
            <w:r/>
            <w:r>
              <w:rPr>
                <w:sz w:val="18"/>
              </w:rPr>
              <w:t>1 - error of model / error of random walk</w:t>
            </w:r>
          </w:p>
        </w:tc>
        <w:tc>
          <w:tcPr>
            <w:tcW w:type="dxa" w:w="4762"/>
            <w:shd w:val="clear" w:color="auto" w:fill="EEF4F9"/>
          </w:tcPr>
          <w:p>
            <w:pPr>
              <w:spacing w:after="20"/>
            </w:pPr>
            <w:r/>
            <w:r>
              <w:rPr>
                <w:sz w:val="18"/>
              </w:rPr>
              <w:t>Positive is better than 'tomorrow = today'.</w:t>
            </w:r>
          </w:p>
        </w:tc>
      </w:tr>
    </w:tbl>
    <w:p>
      <w:pPr>
        <w:spacing w:after="40"/>
      </w:pPr>
    </w:p>
    <w:p>
      <w:pPr>
        <w:pStyle w:val="Heading1"/>
      </w:pPr>
      <w:r>
        <w:t>Part D. Numbers that look contradictory but are not</w:t>
      </w:r>
    </w:p>
    <w:tbl>
      <w:tblPr>
        <w:tblStyle w:val="TableGrid"/>
        <w:tblW w:type="auto" w:w="0"/>
        <w:jc w:val="center"/>
        <w:tblLayout w:type="fixed"/>
        <w:tblLook w:firstColumn="1" w:firstRow="1" w:lastColumn="0" w:lastRow="0" w:noHBand="0" w:noVBand="1" w:val="04A0"/>
      </w:tblPr>
      <w:tblGrid>
        <w:gridCol w:w="3175"/>
        <w:gridCol w:w="6463"/>
      </w:tblGrid>
      <w:tr>
        <w:tc>
          <w:tcPr>
            <w:tcW w:type="dxa" w:w="3175"/>
            <w:shd w:val="clear" w:color="auto" w:fill="1F4E79"/>
          </w:tcPr>
          <w:p>
            <w:pPr>
              <w:spacing w:after="20"/>
            </w:pPr>
            <w:r>
              <w:rPr>
                <w:b/>
                <w:color w:val="FFFFFF"/>
              </w:rPr>
            </w:r>
            <w:r>
              <w:rPr>
                <w:b/>
                <w:color w:val="FFFFFF"/>
                <w:sz w:val="19"/>
              </w:rPr>
              <w:t>Looks odd</w:t>
            </w:r>
          </w:p>
        </w:tc>
        <w:tc>
          <w:tcPr>
            <w:tcW w:type="dxa" w:w="6463"/>
            <w:shd w:val="clear" w:color="auto" w:fill="1F4E79"/>
          </w:tcPr>
          <w:p>
            <w:pPr>
              <w:spacing w:after="20"/>
            </w:pPr>
            <w:r>
              <w:rPr>
                <w:b/>
                <w:color w:val="FFFFFF"/>
              </w:rPr>
            </w:r>
            <w:r>
              <w:rPr>
                <w:b/>
                <w:color w:val="FFFFFF"/>
                <w:sz w:val="19"/>
              </w:rPr>
              <w:t>Explanation</w:t>
            </w:r>
          </w:p>
        </w:tc>
      </w:tr>
      <w:tr>
        <w:tc>
          <w:tcPr>
            <w:tcW w:type="dxa" w:w="3175"/>
          </w:tcPr>
          <w:p>
            <w:pPr>
              <w:spacing w:after="20"/>
            </w:pPr>
            <w:r/>
            <w:r>
              <w:rPr>
                <w:sz w:val="19"/>
              </w:rPr>
              <w:t>Floor 9.0 percent violated (slide 17) versus floor held 84 percent (slide 19)</w:t>
            </w:r>
          </w:p>
        </w:tc>
        <w:tc>
          <w:tcPr>
            <w:tcW w:type="dxa" w:w="6463"/>
          </w:tcPr>
          <w:p>
            <w:pPr>
              <w:spacing w:after="20"/>
            </w:pPr>
            <w:r/>
            <w:r>
              <w:rPr>
                <w:sz w:val="19"/>
              </w:rPr>
              <w:t>Different evaluations. Slide 17: five outer walk-forward blocks with the adaptive rule (violation 9.0 percent for tomato). Slide 19: replay of the served engine on 165 days with one multiplier fitted on half of the window and frozen, the strictest view (16 percent violated, 84 percent held). Say: the floors are close to, not exactly at, their level, and slide 19 is the harshest test.</w:t>
            </w:r>
          </w:p>
        </w:tc>
      </w:tr>
      <w:tr>
        <w:tc>
          <w:tcPr>
            <w:tcW w:type="dxa" w:w="3175"/>
            <w:shd w:val="clear" w:color="auto" w:fill="EEF4F9"/>
          </w:tcPr>
          <w:p>
            <w:pPr>
              <w:spacing w:after="20"/>
            </w:pPr>
            <w:r/>
            <w:r>
              <w:rPr>
                <w:sz w:val="19"/>
              </w:rPr>
              <w:t>Gap closed 0.57 (slide 25) versus 62 percent (slide 17)</w:t>
            </w:r>
          </w:p>
        </w:tc>
        <w:tc>
          <w:tcPr>
            <w:tcW w:type="dxa" w:w="6463"/>
            <w:shd w:val="clear" w:color="auto" w:fill="EEF4F9"/>
          </w:tcPr>
          <w:p>
            <w:pPr>
              <w:spacing w:after="20"/>
            </w:pPr>
            <w:r/>
            <w:r>
              <w:rPr>
                <w:sz w:val="19"/>
              </w:rPr>
              <w:t>Different windows and models: research evaluation over 963 test days versus the served engine over the last 330 days.</w:t>
            </w:r>
          </w:p>
        </w:tc>
      </w:tr>
      <w:tr>
        <w:tc>
          <w:tcPr>
            <w:tcW w:type="dxa" w:w="3175"/>
          </w:tcPr>
          <w:p>
            <w:pPr>
              <w:spacing w:after="20"/>
            </w:pPr>
            <w:r/>
            <w:r>
              <w:rPr>
                <w:sz w:val="19"/>
              </w:rPr>
              <w:t>63,524 records versus 36,821 mandi-days</w:t>
            </w:r>
          </w:p>
        </w:tc>
        <w:tc>
          <w:tcPr>
            <w:tcW w:type="dxa" w:w="6463"/>
          </w:tcPr>
          <w:p>
            <w:pPr>
              <w:spacing w:after="20"/>
            </w:pPr>
            <w:r/>
            <w:r>
              <w:rPr>
                <w:sz w:val="19"/>
              </w:rPr>
              <w:t>Records are the cleaned rows from the exports; mandi-days are the cells of the aligned panel (one per mandi per crop per day) after combining the two export types and removing duplicates.</w:t>
            </w:r>
          </w:p>
        </w:tc>
      </w:tr>
      <w:tr>
        <w:tc>
          <w:tcPr>
            <w:tcW w:type="dxa" w:w="3175"/>
            <w:shd w:val="clear" w:color="auto" w:fill="EEF4F9"/>
          </w:tcPr>
          <w:p>
            <w:pPr>
              <w:spacing w:after="20"/>
            </w:pPr>
            <w:r/>
            <w:r>
              <w:rPr>
                <w:sz w:val="19"/>
              </w:rPr>
              <w:t>+27 to +62 percent skill versus our claim that nothing beats the random walk</w:t>
            </w:r>
          </w:p>
        </w:tc>
        <w:tc>
          <w:tcPr>
            <w:tcW w:type="dxa" w:w="6463"/>
            <w:shd w:val="clear" w:color="auto" w:fill="EEF4F9"/>
          </w:tcPr>
          <w:p>
            <w:pPr>
              <w:spacing w:after="20"/>
            </w:pPr>
            <w:r/>
            <w:r>
              <w:rPr>
                <w:sz w:val="19"/>
              </w:rPr>
              <w:t>The +27 to +62 are what the published protocol reports; under the causal protocol the same models score -15 to -1 percent.</w:t>
            </w:r>
          </w:p>
        </w:tc>
      </w:tr>
      <w:tr>
        <w:tc>
          <w:tcPr>
            <w:tcW w:type="dxa" w:w="3175"/>
          </w:tcPr>
          <w:p>
            <w:pPr>
              <w:spacing w:after="20"/>
            </w:pPr>
            <w:r/>
            <w:r>
              <w:rPr>
                <w:sz w:val="19"/>
              </w:rPr>
              <w:t>Potato: strong floors (92 percent held) but limited evidence</w:t>
            </w:r>
          </w:p>
        </w:tc>
        <w:tc>
          <w:tcPr>
            <w:tcW w:type="dxa" w:w="6463"/>
          </w:tcPr>
          <w:p>
            <w:pPr>
              <w:spacing w:after="20"/>
            </w:pPr>
            <w:r/>
            <w:r>
              <w:rPr>
                <w:sz w:val="19"/>
              </w:rPr>
              <w:t>The floor held often, but the advice's gain over the best simple rule cannot be separated from zero. The app serves potato prices only in the digest.</w:t>
            </w:r>
          </w:p>
        </w:tc>
      </w:tr>
      <w:tr>
        <w:tc>
          <w:tcPr>
            <w:tcW w:type="dxa" w:w="3175"/>
            <w:shd w:val="clear" w:color="auto" w:fill="EEF4F9"/>
          </w:tcPr>
          <w:p>
            <w:pPr>
              <w:spacing w:after="20"/>
            </w:pPr>
            <w:r/>
            <w:r>
              <w:rPr>
                <w:sz w:val="19"/>
              </w:rPr>
              <w:t>Rs 0 silence tax for Kolar versus 'not reliable'</w:t>
            </w:r>
          </w:p>
        </w:tc>
        <w:tc>
          <w:tcPr>
            <w:tcW w:type="dxa" w:w="6463"/>
            <w:shd w:val="clear" w:color="auto" w:fill="EEF4F9"/>
          </w:tcPr>
          <w:p>
            <w:pPr>
              <w:spacing w:after="20"/>
            </w:pPr>
            <w:r/>
            <w:r>
              <w:rPr>
                <w:sz w:val="19"/>
              </w:rPr>
              <w:t>Kolar's price is below the silent fallback, so silence costs nothing on price. Surprise silence is shown beside the tax for that reason.</w:t>
            </w:r>
          </w:p>
        </w:tc>
      </w:tr>
      <w:tr>
        <w:tc>
          <w:tcPr>
            <w:tcW w:type="dxa" w:w="3175"/>
          </w:tcPr>
          <w:p>
            <w:pPr>
              <w:spacing w:after="20"/>
            </w:pPr>
            <w:r/>
            <w:r>
              <w:rPr>
                <w:sz w:val="19"/>
              </w:rPr>
              <w:t>7 objectives met, but spillover 'null' counts as an objective</w:t>
            </w:r>
          </w:p>
        </w:tc>
        <w:tc>
          <w:tcPr>
            <w:tcW w:type="dxa" w:w="6463"/>
          </w:tcPr>
          <w:p>
            <w:pPr>
              <w:spacing w:after="20"/>
            </w:pPr>
            <w:r/>
            <w:r>
              <w:rPr>
                <w:sz w:val="19"/>
              </w:rPr>
              <w:t>A null result is a valid outcome: the engine correctly refuses to publish. We list it separately instead of counting it as met.</w:t>
            </w:r>
          </w:p>
        </w:tc>
      </w:tr>
      <w:tr>
        <w:tc>
          <w:tcPr>
            <w:tcW w:type="dxa" w:w="3175"/>
            <w:shd w:val="clear" w:color="auto" w:fill="EEF4F9"/>
          </w:tcPr>
          <w:p>
            <w:pPr>
              <w:spacing w:after="20"/>
            </w:pPr>
            <w:r/>
            <w:r>
              <w:rPr>
                <w:sz w:val="19"/>
              </w:rPr>
              <w:t>Why do positive Delta-regret numbers mean 'worse'?</w:t>
            </w:r>
          </w:p>
        </w:tc>
        <w:tc>
          <w:tcPr>
            <w:tcW w:type="dxa" w:w="6463"/>
            <w:shd w:val="clear" w:color="auto" w:fill="EEF4F9"/>
          </w:tcPr>
          <w:p>
            <w:pPr>
              <w:spacing w:after="20"/>
            </w:pPr>
            <w:r/>
            <w:r>
              <w:rPr>
                <w:sz w:val="19"/>
              </w:rPr>
              <w:t>Delta regret is the change in regret. Regret is a loss; positive change means more loss.</w:t>
            </w:r>
          </w:p>
        </w:tc>
      </w:tr>
    </w:tbl>
    <w:p>
      <w:pPr>
        <w:spacing w:after="40"/>
      </w:pPr>
    </w:p>
    <w:p>
      <w:pPr>
        <w:pStyle w:val="Heading1"/>
      </w:pPr>
      <w:r>
        <w:t>Part E. Fix these on the slides before presenting</w:t>
      </w:r>
    </w:p>
    <w:p>
      <w:pPr>
        <w:pStyle w:val="ListBullet"/>
        <w:spacing w:after="60"/>
      </w:pPr>
      <w:r>
        <w:rPr>
          <w:sz w:val="21"/>
        </w:rPr>
        <w:t>Slide 3: the citations [7], [8] for 'information frictions' should point to Jensen [3] and Aker [4] (or reorder the reference list).</w:t>
      </w:r>
    </w:p>
    <w:p>
      <w:pPr>
        <w:pStyle w:val="ListBullet"/>
        <w:spacing w:after="60"/>
      </w:pPr>
      <w:r>
        <w:rPr>
          <w:sz w:val="21"/>
        </w:rPr>
        <w:t>Slide 30: update '83 pages' and '40 IEEE-style entries' to the current thesis (about 113 pages, 63 references; check the PDF).</w:t>
      </w:r>
    </w:p>
    <w:p>
      <w:pPr>
        <w:pStyle w:val="ListBullet"/>
        <w:spacing w:after="60"/>
      </w:pPr>
      <w:r>
        <w:rPr>
          <w:sz w:val="21"/>
        </w:rPr>
        <w:t>Slide 34: the closing line says 'Full 40-entry list'; the thesis list now has 63 entries.</w:t>
      </w:r>
    </w:p>
    <w:p>
      <w:pPr>
        <w:pStyle w:val="ListBullet"/>
        <w:spacing w:after="60"/>
      </w:pPr>
      <w:r>
        <w:rPr>
          <w:sz w:val="21"/>
        </w:rPr>
        <w:t>Slide 26 and 34: check that the numbers of cited references match the list as above.</w:t>
      </w:r>
    </w:p>
    <w:p>
      <w:pPr>
        <w:pStyle w:val="ListBullet"/>
        <w:spacing w:after="60"/>
      </w:pPr>
      <w:r>
        <w:rPr>
          <w:sz w:val="21"/>
        </w:rPr>
        <w:t>If you change the data load date, the demo figures (Rs 1,824, Rs 1,316, 84 percent and so on) will change: re-check slide 11 and 12 on the day.</w:t>
      </w:r>
    </w:p>
    <w:p>
      <w:pPr>
        <w:pStyle w:val="Heading1"/>
      </w:pPr>
      <w:r>
        <w:t>Part F. Question bank by theme</w:t>
      </w:r>
    </w:p>
    <w:p>
      <w:pPr>
        <w:spacing w:after="60"/>
      </w:pPr>
      <w:r>
        <w:rPr>
          <w:b w:val="0"/>
          <w:i/>
          <w:sz w:val="21"/>
        </w:rPr>
        <w:t>Short, honest answers. Say the first sentence and stop.</w:t>
      </w:r>
    </w:p>
    <w:p>
      <w:pPr>
        <w:keepNext/>
        <w:spacing w:before="120" w:after="40"/>
      </w:pPr>
      <w:r>
        <w:rPr>
          <w:b/>
          <w:color w:val="1F2A44"/>
          <w:sz w:val="19"/>
        </w:rPr>
        <w:t>DATA</w:t>
      </w:r>
    </w:p>
    <w:p>
      <w:pPr>
        <w:spacing w:after="20"/>
      </w:pPr>
      <w:r>
        <w:rPr>
          <w:b/>
          <w:sz w:val="21"/>
        </w:rPr>
        <w:t>Q. Is the data real?</w:t>
      </w:r>
    </w:p>
    <w:p>
      <w:pPr>
        <w:spacing w:after="100"/>
      </w:pPr>
      <w:r>
        <w:rPr>
          <w:sz w:val="21"/>
        </w:rPr>
        <w:t>Yes. Real Agmarknet exports (63,524 records after cleaning). An earlier dataset turned out to be synthetic; we discarded it and re-ran everything. The two exports agree where they overlap (correlation 0.99996 on 3,307 tomato market-days).</w:t>
      </w:r>
    </w:p>
    <w:p>
      <w:pPr>
        <w:spacing w:after="20"/>
      </w:pPr>
      <w:r>
        <w:rPr>
          <w:b/>
          <w:sz w:val="21"/>
        </w:rPr>
        <w:t>Q. Why only four crops?</w:t>
      </w:r>
    </w:p>
    <w:p>
      <w:pPr>
        <w:spacing w:after="100"/>
      </w:pPr>
      <w:r>
        <w:rPr>
          <w:sz w:val="21"/>
        </w:rPr>
        <w:t>Garlic has one eligible mandi so there is no choice; tomato, onion, potato and ginger have 3 to 12.</w:t>
      </w:r>
    </w:p>
    <w:p>
      <w:pPr>
        <w:spacing w:after="20"/>
      </w:pPr>
      <w:r>
        <w:rPr>
          <w:b/>
          <w:sz w:val="21"/>
        </w:rPr>
        <w:t>Q. How do you handle missing prices?</w:t>
      </w:r>
    </w:p>
    <w:p>
      <w:pPr>
        <w:spacing w:after="100"/>
      </w:pPr>
      <w:r>
        <w:rPr>
          <w:sz w:val="21"/>
        </w:rPr>
        <w:t>We do not fill them in. A silent cell is a real event: the label for a trip to a silent mandi is the fallback revenue. We keep a counter of how stale a forward-filled view is.</w:t>
      </w:r>
    </w:p>
    <w:p>
      <w:pPr>
        <w:keepNext/>
        <w:spacing w:before="120" w:after="40"/>
      </w:pPr>
      <w:r>
        <w:rPr>
          <w:b/>
          <w:color w:val="1F2A44"/>
          <w:sz w:val="19"/>
        </w:rPr>
        <w:t>METHOD</w:t>
      </w:r>
    </w:p>
    <w:p>
      <w:pPr>
        <w:spacing w:after="20"/>
      </w:pPr>
      <w:r>
        <w:rPr>
          <w:b/>
          <w:sz w:val="21"/>
        </w:rPr>
        <w:t>Q. What is new compared with decision-focused learning?</w:t>
      </w:r>
    </w:p>
    <w:p>
      <w:pPr>
        <w:spacing w:after="100"/>
      </w:pPr>
      <w:r>
        <w:rPr>
          <w:sz w:val="21"/>
        </w:rPr>
        <w:t>We apply the idea to a real reporting-gap problem and find that the benefit comes from the realised-revenue labels, not from the SPO+ loss. We also adapt conformal floors to actions whose outcome arrives later.</w:t>
      </w:r>
    </w:p>
    <w:p>
      <w:pPr>
        <w:spacing w:after="20"/>
      </w:pPr>
      <w:r>
        <w:rPr>
          <w:b/>
          <w:sz w:val="21"/>
        </w:rPr>
        <w:t>Q. Why conformal and not a normal margin?</w:t>
      </w:r>
    </w:p>
    <w:p>
      <w:pPr>
        <w:spacing w:after="100"/>
      </w:pPr>
      <w:r>
        <w:rPr>
          <w:sz w:val="21"/>
        </w:rPr>
        <w:t>Conformal needs no assumption about the error shape and adapts over time. The normal-margin floor was broken on 26 to 35 percent of days in three crops.</w:t>
      </w:r>
    </w:p>
    <w:p>
      <w:pPr>
        <w:spacing w:after="20"/>
      </w:pPr>
      <w:r>
        <w:rPr>
          <w:b/>
          <w:sz w:val="21"/>
        </w:rPr>
        <w:t>Q. What does 'adaptive' mean in ACI?</w:t>
      </w:r>
    </w:p>
    <w:p>
      <w:pPr>
        <w:spacing w:after="100"/>
      </w:pPr>
      <w:r>
        <w:rPr>
          <w:sz w:val="21"/>
        </w:rPr>
        <w:t>The tolerance level is adjusted every day: lowered after a miss, raised slightly after a hit, so the long-run miss rate stays near 10 percent.</w:t>
      </w:r>
    </w:p>
    <w:p>
      <w:pPr>
        <w:spacing w:after="20"/>
      </w:pPr>
      <w:r>
        <w:rPr>
          <w:b/>
          <w:sz w:val="21"/>
        </w:rPr>
        <w:t>Q. Why train on realised revenue?</w:t>
      </w:r>
    </w:p>
    <w:p>
      <w:pPr>
        <w:spacing w:after="100"/>
      </w:pPr>
      <w:r>
        <w:rPr>
          <w:sz w:val="21"/>
        </w:rPr>
        <w:t>Because that is what the farmer receives; it contains transport, fee, spoilage and the chance of a wasted trip, and it teaches the model about silent mandis.</w:t>
      </w:r>
    </w:p>
    <w:p>
      <w:pPr>
        <w:keepNext/>
        <w:spacing w:before="120" w:after="40"/>
      </w:pPr>
      <w:r>
        <w:rPr>
          <w:b/>
          <w:color w:val="1F2A44"/>
          <w:sz w:val="19"/>
        </w:rPr>
        <w:t>RESULTS</w:t>
      </w:r>
    </w:p>
    <w:p>
      <w:pPr>
        <w:spacing w:after="20"/>
      </w:pPr>
      <w:r>
        <w:rPr>
          <w:b/>
          <w:sz w:val="21"/>
        </w:rPr>
        <w:t>Q. How much better is it?</w:t>
      </w:r>
    </w:p>
    <w:p>
      <w:pPr>
        <w:spacing w:after="100"/>
      </w:pPr>
      <w:r>
        <w:rPr>
          <w:sz w:val="21"/>
        </w:rPr>
        <w:t>Tomato: Rs 2,156 versus Rs 1,600 for the nearest mandi (+Rs 556) and Rs 2,021 for the strongest simple rule; back-test gain over the strongest rule Rs 170 (tomato), Rs 202 (ginger), Rs 60 (onion), Rs 15 (potato, not significant).</w:t>
      </w:r>
    </w:p>
    <w:p>
      <w:pPr>
        <w:spacing w:after="20"/>
      </w:pPr>
      <w:r>
        <w:rPr>
          <w:b/>
          <w:sz w:val="21"/>
        </w:rPr>
        <w:t>Q. Is the improvement statistically real?</w:t>
      </w:r>
    </w:p>
    <w:p>
      <w:pPr>
        <w:spacing w:after="100"/>
      </w:pPr>
      <w:r>
        <w:rPr>
          <w:sz w:val="21"/>
        </w:rPr>
        <w:t>Yes for labels: Holm p below 0.002 in all four crops, with intervals that exclude zero. No for SPO+: intervals include zero.</w:t>
      </w:r>
    </w:p>
    <w:p>
      <w:pPr>
        <w:spacing w:after="20"/>
      </w:pPr>
      <w:r>
        <w:rPr>
          <w:b/>
          <w:sz w:val="21"/>
        </w:rPr>
        <w:t>Q. Why do the floors hold only 84 to 92 percent in the replay?</w:t>
      </w:r>
    </w:p>
    <w:p>
      <w:pPr>
        <w:spacing w:after="100"/>
      </w:pPr>
      <w:r>
        <w:rPr>
          <w:sz w:val="21"/>
        </w:rPr>
        <w:t>It is the strictest view (one multiplier fitted on half the window). On the main evaluation they are 6 to 11 percent violated. We say floors are close to, not exactly at, their level.</w:t>
      </w:r>
    </w:p>
    <w:p>
      <w:pPr>
        <w:spacing w:after="20"/>
      </w:pPr>
      <w:r>
        <w:rPr>
          <w:b/>
          <w:sz w:val="21"/>
        </w:rPr>
        <w:t>Q. What does the leakage audit prove?</w:t>
      </w:r>
    </w:p>
    <w:p>
      <w:pPr>
        <w:spacing w:after="100"/>
      </w:pPr>
      <w:r>
        <w:rPr>
          <w:sz w:val="21"/>
        </w:rPr>
        <w:t>That decomposing the whole series before splitting leaks the future: published-protocol skill +27 to +62 percent falls to -15 to -1 percent when done causally. We audited the protocol, not specific papers.</w:t>
      </w:r>
    </w:p>
    <w:p>
      <w:pPr>
        <w:spacing w:after="20"/>
      </w:pPr>
      <w:r>
        <w:rPr>
          <w:b/>
          <w:sz w:val="21"/>
        </w:rPr>
        <w:t>Q. Why no gain from the language model?</w:t>
      </w:r>
    </w:p>
    <w:p>
      <w:pPr>
        <w:spacing w:after="100"/>
      </w:pPr>
      <w:r>
        <w:rPr>
          <w:sz w:val="21"/>
        </w:rPr>
        <w:t>The language layer is for explanation, not accuracy. Its quality is measured by grounding (every number traceable) and by an independent judge.</w:t>
      </w:r>
    </w:p>
    <w:p>
      <w:pPr>
        <w:keepNext/>
        <w:spacing w:before="120" w:after="40"/>
      </w:pPr>
      <w:r>
        <w:rPr>
          <w:b/>
          <w:color w:val="1F2A44"/>
          <w:sz w:val="19"/>
        </w:rPr>
        <w:t>LIMITS</w:t>
      </w:r>
    </w:p>
    <w:p>
      <w:pPr>
        <w:spacing w:after="20"/>
      </w:pPr>
      <w:r>
        <w:rPr>
          <w:b/>
          <w:sz w:val="21"/>
        </w:rPr>
        <w:t>Q. What is the biggest weakness?</w:t>
      </w:r>
    </w:p>
    <w:p>
      <w:pPr>
        <w:spacing w:after="100"/>
      </w:pPr>
      <w:r>
        <w:rPr>
          <w:sz w:val="21"/>
        </w:rPr>
        <w:t>No field trial: all results are offline. Also one region and one source, and assumed costs.</w:t>
      </w:r>
    </w:p>
    <w:p>
      <w:pPr>
        <w:spacing w:after="20"/>
      </w:pPr>
      <w:r>
        <w:rPr>
          <w:b/>
          <w:sz w:val="21"/>
        </w:rPr>
        <w:t>Q. Could the crowd result be wrong?</w:t>
      </w:r>
    </w:p>
    <w:p>
      <w:pPr>
        <w:spacing w:after="100"/>
      </w:pPr>
      <w:r>
        <w:rPr>
          <w:sz w:val="21"/>
        </w:rPr>
        <w:t>It depends on an association (b = 0.115) that is not a proven cause. We present it as a scenario and show that with b = 0 all policies are equal.</w:t>
      </w:r>
    </w:p>
    <w:p>
      <w:pPr>
        <w:spacing w:after="20"/>
      </w:pPr>
      <w:r>
        <w:rPr>
          <w:b/>
          <w:sz w:val="21"/>
        </w:rPr>
        <w:t>Q. Why is the spillover empty?</w:t>
      </w:r>
    </w:p>
    <w:p>
      <w:pPr>
        <w:spacing w:after="100"/>
      </w:pPr>
      <w:r>
        <w:rPr>
          <w:sz w:val="21"/>
        </w:rPr>
        <w:t>Zero shock episodes: the labelling stage did not mark any week as squeeze or glut. The engine refused to publish; diagnosing the labelling is future work.</w:t>
      </w:r>
    </w:p>
    <w:p>
      <w:pPr>
        <w:keepNext/>
        <w:spacing w:before="120" w:after="40"/>
      </w:pPr>
      <w:r>
        <w:rPr>
          <w:b/>
          <w:color w:val="1F2A44"/>
          <w:sz w:val="19"/>
        </w:rPr>
        <w:t>SYSTEM</w:t>
      </w:r>
    </w:p>
    <w:p>
      <w:pPr>
        <w:spacing w:after="20"/>
      </w:pPr>
      <w:r>
        <w:rPr>
          <w:b/>
          <w:sz w:val="21"/>
        </w:rPr>
        <w:t>Q. How do you know the system works?</w:t>
      </w:r>
    </w:p>
    <w:p>
      <w:pPr>
        <w:spacing w:after="100"/>
      </w:pPr>
      <w:r>
        <w:rPr>
          <w:sz w:val="21"/>
        </w:rPr>
        <w:t>669 backend tests, 11 web tests, a 60-check smoke test of every endpoint, a fresh-clone check and CI, and the demo from the repository.</w:t>
      </w:r>
    </w:p>
    <w:p>
      <w:pPr>
        <w:spacing w:after="20"/>
      </w:pPr>
      <w:r>
        <w:rPr>
          <w:b/>
          <w:sz w:val="21"/>
        </w:rPr>
        <w:t>Q. Is it deployed?</w:t>
      </w:r>
    </w:p>
    <w:p>
      <w:pPr>
        <w:spacing w:after="100"/>
      </w:pPr>
      <w:r>
        <w:rPr>
          <w:sz w:val="21"/>
        </w:rPr>
        <w:t>Docker and Render files exist but deployment is not verified live.</w:t>
      </w:r>
    </w:p>
    <w:p>
      <w:pPr>
        <w:spacing w:after="20"/>
      </w:pPr>
      <w:r>
        <w:rPr>
          <w:b/>
          <w:sz w:val="21"/>
        </w:rPr>
        <w:t>Q. Does the bot use a live price feed?</w:t>
      </w:r>
    </w:p>
    <w:p>
      <w:pPr>
        <w:spacing w:after="100"/>
      </w:pPr>
      <w:r>
        <w:rPr>
          <w:sz w:val="21"/>
        </w:rPr>
        <w:t>No. It is built from the stored Agmarknet exports and states the data age on its second line.</w:t>
      </w:r>
    </w:p>
    <w:p>
      <w:pPr>
        <w:spacing w:after="20"/>
      </w:pPr>
      <w:r>
        <w:rPr>
          <w:b/>
          <w:sz w:val="21"/>
        </w:rPr>
        <w:t>Q. How is the language model prevented from inventing numbers?</w:t>
      </w:r>
    </w:p>
    <w:p>
      <w:pPr>
        <w:spacing w:after="100"/>
      </w:pPr>
      <w:r>
        <w:rPr>
          <w:sz w:val="21"/>
        </w:rPr>
        <w:t>Fixed schema, every figure checked within 1 percent against evidence, cited keys must exist, only markets from the evidence may be named, and a deterministic fallback if the provider fails.</w:t>
      </w:r>
    </w:p>
    <w:p>
      <w:pPr>
        <w:keepNext/>
        <w:spacing w:before="120" w:after="40"/>
      </w:pPr>
      <w:r>
        <w:rPr>
          <w:b/>
          <w:color w:val="1F2A44"/>
          <w:sz w:val="19"/>
        </w:rPr>
        <w:t>PLAN</w:t>
      </w:r>
    </w:p>
    <w:p>
      <w:pPr>
        <w:spacing w:after="20"/>
      </w:pPr>
      <w:r>
        <w:rPr>
          <w:b/>
          <w:sz w:val="21"/>
        </w:rPr>
        <w:t>Q. What caused the schedule slip?</w:t>
      </w:r>
    </w:p>
    <w:p>
      <w:pPr>
        <w:spacing w:after="100"/>
      </w:pPr>
      <w:r>
        <w:rPr>
          <w:sz w:val="21"/>
        </w:rPr>
        <w:t>The first dataset was synthetic; data was reopened, pushing the critical path by about 3.3 weeks (14 percent).</w:t>
      </w:r>
    </w:p>
    <w:p>
      <w:pPr>
        <w:spacing w:after="20"/>
      </w:pPr>
      <w:r>
        <w:rPr>
          <w:b/>
          <w:sz w:val="21"/>
        </w:rPr>
        <w:t>Q. Who did what?</w:t>
      </w:r>
    </w:p>
    <w:p>
      <w:pPr>
        <w:spacing w:after="100"/>
      </w:pPr>
      <w:r>
        <w:rPr>
          <w:sz w:val="21"/>
        </w:rPr>
        <w:t>Manohara: data and models and research (about 430 h); Srijan: application (360 h); Shreejith: management, documentation and verification (about 180 h).</w:t>
      </w:r>
    </w:p>
    <w:p>
      <w:pPr>
        <w:keepNext/>
        <w:spacing w:before="120" w:after="40"/>
      </w:pPr>
      <w:r>
        <w:rPr>
          <w:b/>
          <w:color w:val="1F2A44"/>
          <w:sz w:val="19"/>
        </w:rPr>
        <w:t>OTHER</w:t>
      </w:r>
    </w:p>
    <w:p>
      <w:pPr>
        <w:spacing w:after="20"/>
      </w:pPr>
      <w:r>
        <w:rPr>
          <w:b/>
          <w:sz w:val="21"/>
        </w:rPr>
        <w:t>Q. What would you change?</w:t>
      </w:r>
    </w:p>
    <w:p>
      <w:pPr>
        <w:spacing w:after="100"/>
      </w:pPr>
      <w:r>
        <w:rPr>
          <w:sz w:val="21"/>
        </w:rPr>
        <w:t>Run a pilot; estimate costs from data; fix the spillover labelling; add more regions.</w:t>
      </w:r>
    </w:p>
    <w:sectPr w:rsidR="00FC693F" w:rsidRPr="0006063C" w:rsidSect="00034616">
      <w:footerReference w:type="default" r:id="rId9"/>
      <w:pgSz w:w="12240" w:h="15840"/>
      <w:pgMar w:top="964" w:right="1077" w:bottom="964"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MandiSense AI · Review 2 deep-dive guide · page </w:t>
    </w:r>
    <w:r>
      <w:rPr>
        <w:sz w:val="17"/>
      </w:rPr>
      <w:fldChar w:fldCharType="begin"/>
    </w:r>
    <w:r>
      <w:rPr>
        <w:sz w:val="17"/>
      </w:rPr>
      <w:instrText xml:space="preserve">PAGE</w:instrText>
    </w:r>
    <w:r>
      <w:rPr>
        <w:sz w:val="17"/>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2A4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2A4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2A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