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0"/>
        </w:rPr>
        <w:t>MandiSense AI: Review 2</w:t>
        <w:br/>
        <w:t>Presenter's Script, Live Demo and Question Bank</w:t>
      </w:r>
    </w:p>
    <w:p>
      <w:pPr>
        <w:spacing w:after="160"/>
        <w:jc w:val="center"/>
      </w:pPr>
      <w:r>
        <w:rPr>
          <w:b w:val="0"/>
          <w:i/>
          <w:sz w:val="20"/>
        </w:rPr>
        <w:t>Project Work Phase 2 (23DS7PWPP2) · B.M.S. College of Engineering · Srijan C Vachadmath, Manohara Salmani, Shreejith Shah · Guide: Dr. Kalyan N</w:t>
      </w:r>
    </w:p>
    <w:p>
      <w:pPr>
        <w:pStyle w:val="Heading1"/>
      </w:pPr>
      <w:r>
        <w:t>How to use this document</w:t>
      </w:r>
    </w:p>
    <w:p>
      <w:pPr>
        <w:pStyle w:val="ListBullet"/>
        <w:spacing w:after="80"/>
      </w:pPr>
      <w:r>
        <w:rPr>
          <w:sz w:val="21"/>
        </w:rPr>
        <w:t xml:space="preserve">The same text is in the notes pane of every slide of </w:t>
      </w:r>
      <w:r>
        <w:rPr>
          <w:b/>
          <w:sz w:val="21"/>
        </w:rPr>
        <w:t>MandiSense_Review2_Final.pptx</w:t>
      </w:r>
      <w:r>
        <w:rPr>
          <w:sz w:val="21"/>
        </w:rPr>
        <w:t xml:space="preserve"> (open Presenter View). This document adds the set-up checklist, the demo run-of-show with the exact on-screen values, fall-backs and a question bank.</w:t>
      </w:r>
    </w:p>
    <w:p>
      <w:pPr>
        <w:pStyle w:val="ListBullet"/>
        <w:spacing w:after="80"/>
      </w:pPr>
      <w:r>
        <w:rPr>
          <w:sz w:val="21"/>
        </w:rPr>
        <w:t xml:space="preserve">Each slide is tagged </w:t>
      </w:r>
      <w:r>
        <w:rPr>
          <w:b/>
          <w:sz w:val="21"/>
        </w:rPr>
        <w:t>CORE</w:t>
      </w:r>
      <w:r>
        <w:rPr>
          <w:sz w:val="21"/>
        </w:rPr>
        <w:t xml:space="preserve"> (always present) or </w:t>
      </w:r>
      <w:r>
        <w:rPr>
          <w:b/>
          <w:sz w:val="21"/>
        </w:rPr>
        <w:t>SKIP IF SHORT</w:t>
      </w:r>
      <w:r>
        <w:rPr>
          <w:sz w:val="21"/>
        </w:rPr>
        <w:t xml:space="preserve"> (drop it if time is tight). The </w:t>
      </w:r>
      <w:r>
        <w:rPr>
          <w:b/>
          <w:sz w:val="21"/>
        </w:rPr>
        <w:t>25-minute path</w:t>
      </w:r>
      <w:r>
        <w:rPr>
          <w:sz w:val="21"/>
        </w:rPr>
        <w:t xml:space="preserve"> is listed below; the full deck with the live demo takes about 45 minutes.</w:t>
      </w:r>
    </w:p>
    <w:p>
      <w:pPr>
        <w:pStyle w:val="ListBullet"/>
        <w:spacing w:after="80"/>
      </w:pPr>
      <w:r>
        <w:rPr>
          <w:sz w:val="21"/>
        </w:rPr>
        <w:t xml:space="preserve">All numbers are from the data loaded on </w:t>
      </w:r>
      <w:r>
        <w:rPr>
          <w:b/>
          <w:sz w:val="21"/>
        </w:rPr>
        <w:t>29 October 2026</w:t>
      </w:r>
      <w:r>
        <w:rPr>
          <w:sz w:val="21"/>
        </w:rPr>
        <w:t xml:space="preserve"> (prices up to </w:t>
      </w:r>
      <w:r>
        <w:rPr>
          <w:b/>
          <w:sz w:val="21"/>
        </w:rPr>
        <w:t>26 October 2026</w:t>
      </w:r>
      <w:r>
        <w:rPr>
          <w:sz w:val="21"/>
        </w:rPr>
        <w:t xml:space="preserve">). If the data are reloaded, re-run </w:t>
      </w:r>
      <w:r>
        <w:rPr>
          <w:rFonts w:ascii="Consolas" w:hAnsi="Consolas"/>
          <w:sz w:val="21"/>
        </w:rPr>
        <w:t>python report/build_insight_assets.py</w:t>
      </w:r>
      <w:r>
        <w:rPr>
          <w:sz w:val="21"/>
        </w:rPr>
        <w:t xml:space="preserve"> and re-check every number before presenting.</w:t>
      </w:r>
    </w:p>
    <w:p>
      <w:pPr>
        <w:pStyle w:val="ListBullet"/>
        <w:spacing w:after="80"/>
      </w:pPr>
      <w:r>
        <w:rPr>
          <w:sz w:val="21"/>
        </w:rPr>
        <w:t>Speak the numbers as written in SAY; read the SHOW line as a stage direction, not aloud.</w:t>
      </w:r>
    </w:p>
    <w:p>
      <w:pPr>
        <w:pStyle w:val="Heading1"/>
      </w:pPr>
      <w:r>
        <w:t>Time plan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567"/>
            <w:shd w:val="clear" w:color="auto" w:fill="1F4E79"/>
          </w:tcPr>
          <w:p>
            <w:pPr>
              <w:spacing w:after="20"/>
            </w:pPr>
            <w:r>
              <w:rPr>
                <w:b/>
                <w:color w:val="FFFFFF"/>
              </w:rPr>
            </w:r>
            <w:r>
              <w:rPr>
                <w:b/>
                <w:color w:val="FFFFFF"/>
                <w:sz w:val="19"/>
              </w:rPr>
              <w:t>#</w:t>
            </w:r>
          </w:p>
        </w:tc>
        <w:tc>
          <w:tcPr>
            <w:tcW w:type="dxa" w:w="5953"/>
            <w:shd w:val="clear" w:color="auto" w:fill="1F4E79"/>
          </w:tcPr>
          <w:p>
            <w:pPr>
              <w:spacing w:after="20"/>
            </w:pPr>
            <w:r>
              <w:rPr>
                <w:b/>
                <w:color w:val="FFFFFF"/>
              </w:rPr>
            </w:r>
            <w:r>
              <w:rPr>
                <w:b/>
                <w:color w:val="FFFFFF"/>
                <w:sz w:val="19"/>
              </w:rPr>
              <w:t>Slide</w:t>
            </w:r>
          </w:p>
        </w:tc>
        <w:tc>
          <w:tcPr>
            <w:tcW w:type="dxa" w:w="1814"/>
            <w:shd w:val="clear" w:color="auto" w:fill="1F4E79"/>
          </w:tcPr>
          <w:p>
            <w:pPr>
              <w:spacing w:after="20"/>
            </w:pPr>
            <w:r>
              <w:rPr>
                <w:b/>
                <w:color w:val="FFFFFF"/>
              </w:rPr>
            </w:r>
            <w:r>
              <w:rPr>
                <w:b/>
                <w:color w:val="FFFFFF"/>
                <w:sz w:val="19"/>
              </w:rPr>
              <w:t>Tag</w:t>
            </w:r>
          </w:p>
        </w:tc>
        <w:tc>
          <w:tcPr>
            <w:tcW w:type="dxa" w:w="850"/>
            <w:shd w:val="clear" w:color="auto" w:fill="1F4E79"/>
          </w:tcPr>
          <w:p>
            <w:pPr>
              <w:spacing w:after="20"/>
            </w:pPr>
            <w:r>
              <w:rPr>
                <w:b/>
                <w:color w:val="FFFFFF"/>
              </w:rPr>
            </w:r>
            <w:r>
              <w:rPr>
                <w:b/>
                <w:color w:val="FFFFFF"/>
                <w:sz w:val="19"/>
              </w:rPr>
              <w:t>Min</w:t>
            </w:r>
          </w:p>
        </w:tc>
      </w:tr>
      <w:tr>
        <w:tc>
          <w:tcPr>
            <w:tcW w:type="dxa" w:w="567"/>
          </w:tcPr>
          <w:p>
            <w:pPr>
              <w:spacing w:after="20"/>
            </w:pPr>
            <w:r/>
            <w:r>
              <w:rPr>
                <w:sz w:val="19"/>
              </w:rPr>
              <w:t>1</w:t>
            </w:r>
          </w:p>
        </w:tc>
        <w:tc>
          <w:tcPr>
            <w:tcW w:type="dxa" w:w="5953"/>
          </w:tcPr>
          <w:p>
            <w:pPr>
              <w:spacing w:after="20"/>
            </w:pPr>
            <w:r/>
            <w:r>
              <w:rPr>
                <w:sz w:val="19"/>
              </w:rPr>
              <w:t>Title</w:t>
            </w:r>
          </w:p>
        </w:tc>
        <w:tc>
          <w:tcPr>
            <w:tcW w:type="dxa" w:w="1814"/>
          </w:tcPr>
          <w:p>
            <w:pPr>
              <w:spacing w:after="20"/>
            </w:pPr>
            <w:r/>
            <w:r>
              <w:rPr>
                <w:sz w:val="19"/>
              </w:rPr>
              <w:t>CORE</w:t>
            </w:r>
          </w:p>
        </w:tc>
        <w:tc>
          <w:tcPr>
            <w:tcW w:type="dxa" w:w="850"/>
          </w:tcPr>
          <w:p>
            <w:pPr>
              <w:spacing w:after="20"/>
            </w:pPr>
            <w:r/>
            <w:r>
              <w:rPr>
                <w:sz w:val="19"/>
              </w:rPr>
              <w:t>0.5</w:t>
            </w:r>
          </w:p>
        </w:tc>
      </w:tr>
      <w:tr>
        <w:tc>
          <w:tcPr>
            <w:tcW w:type="dxa" w:w="567"/>
            <w:shd w:val="clear" w:color="auto" w:fill="EEF4F9"/>
          </w:tcPr>
          <w:p>
            <w:pPr>
              <w:spacing w:after="20"/>
            </w:pPr>
            <w:r/>
            <w:r>
              <w:rPr>
                <w:sz w:val="19"/>
              </w:rPr>
              <w:t>2</w:t>
            </w:r>
          </w:p>
        </w:tc>
        <w:tc>
          <w:tcPr>
            <w:tcW w:type="dxa" w:w="5953"/>
            <w:shd w:val="clear" w:color="auto" w:fill="EEF4F9"/>
          </w:tcPr>
          <w:p>
            <w:pPr>
              <w:spacing w:after="20"/>
            </w:pPr>
            <w:r/>
            <w:r>
              <w:rPr>
                <w:sz w:val="19"/>
              </w:rPr>
              <w:t>Table of contents</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0.3</w:t>
            </w:r>
          </w:p>
        </w:tc>
      </w:tr>
      <w:tr>
        <w:tc>
          <w:tcPr>
            <w:tcW w:type="dxa" w:w="567"/>
          </w:tcPr>
          <w:p>
            <w:pPr>
              <w:spacing w:after="20"/>
            </w:pPr>
            <w:r/>
            <w:r>
              <w:rPr>
                <w:sz w:val="19"/>
              </w:rPr>
              <w:t>3</w:t>
            </w:r>
          </w:p>
        </w:tc>
        <w:tc>
          <w:tcPr>
            <w:tcW w:type="dxa" w:w="5953"/>
          </w:tcPr>
          <w:p>
            <w:pPr>
              <w:spacing w:after="20"/>
            </w:pPr>
            <w:r/>
            <w:r>
              <w:rPr>
                <w:sz w:val="19"/>
              </w:rPr>
              <w:t>Introduction and problem statement</w:t>
            </w:r>
          </w:p>
        </w:tc>
        <w:tc>
          <w:tcPr>
            <w:tcW w:type="dxa" w:w="1814"/>
          </w:tcPr>
          <w:p>
            <w:pPr>
              <w:spacing w:after="20"/>
            </w:pPr>
            <w:r/>
            <w:r>
              <w:rPr>
                <w:sz w:val="19"/>
              </w:rPr>
              <w:t>CORE</w:t>
            </w:r>
          </w:p>
        </w:tc>
        <w:tc>
          <w:tcPr>
            <w:tcW w:type="dxa" w:w="850"/>
          </w:tcPr>
          <w:p>
            <w:pPr>
              <w:spacing w:after="20"/>
            </w:pPr>
            <w:r/>
            <w:r>
              <w:rPr>
                <w:sz w:val="19"/>
              </w:rPr>
              <w:t>1.5</w:t>
            </w:r>
          </w:p>
        </w:tc>
      </w:tr>
      <w:tr>
        <w:tc>
          <w:tcPr>
            <w:tcW w:type="dxa" w:w="567"/>
            <w:shd w:val="clear" w:color="auto" w:fill="EEF4F9"/>
          </w:tcPr>
          <w:p>
            <w:pPr>
              <w:spacing w:after="20"/>
            </w:pPr>
            <w:r/>
            <w:r>
              <w:rPr>
                <w:sz w:val="19"/>
              </w:rPr>
              <w:t>4</w:t>
            </w:r>
          </w:p>
        </w:tc>
        <w:tc>
          <w:tcPr>
            <w:tcW w:type="dxa" w:w="5953"/>
            <w:shd w:val="clear" w:color="auto" w:fill="EEF4F9"/>
          </w:tcPr>
          <w:p>
            <w:pPr>
              <w:spacing w:after="20"/>
            </w:pPr>
            <w:r/>
            <w:r>
              <w:rPr>
                <w:sz w:val="19"/>
              </w:rPr>
              <w:t>Objectives</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1.5</w:t>
            </w:r>
          </w:p>
        </w:tc>
      </w:tr>
      <w:tr>
        <w:tc>
          <w:tcPr>
            <w:tcW w:type="dxa" w:w="567"/>
          </w:tcPr>
          <w:p>
            <w:pPr>
              <w:spacing w:after="20"/>
            </w:pPr>
            <w:r/>
            <w:r>
              <w:rPr>
                <w:sz w:val="19"/>
              </w:rPr>
              <w:t>5</w:t>
            </w:r>
          </w:p>
        </w:tc>
        <w:tc>
          <w:tcPr>
            <w:tcW w:type="dxa" w:w="5953"/>
          </w:tcPr>
          <w:p>
            <w:pPr>
              <w:spacing w:after="20"/>
            </w:pPr>
            <w:r/>
            <w:r>
              <w:rPr>
                <w:sz w:val="19"/>
              </w:rPr>
              <w:t>Methodology and architecture</w:t>
            </w:r>
          </w:p>
        </w:tc>
        <w:tc>
          <w:tcPr>
            <w:tcW w:type="dxa" w:w="1814"/>
          </w:tcPr>
          <w:p>
            <w:pPr>
              <w:spacing w:after="20"/>
            </w:pPr>
            <w:r/>
            <w:r>
              <w:rPr>
                <w:sz w:val="19"/>
              </w:rPr>
              <w:t>CORE</w:t>
            </w:r>
          </w:p>
        </w:tc>
        <w:tc>
          <w:tcPr>
            <w:tcW w:type="dxa" w:w="850"/>
          </w:tcPr>
          <w:p>
            <w:pPr>
              <w:spacing w:after="20"/>
            </w:pPr>
            <w:r/>
            <w:r>
              <w:rPr>
                <w:sz w:val="19"/>
              </w:rPr>
              <w:t>2</w:t>
            </w:r>
          </w:p>
        </w:tc>
      </w:tr>
      <w:tr>
        <w:tc>
          <w:tcPr>
            <w:tcW w:type="dxa" w:w="567"/>
            <w:shd w:val="clear" w:color="auto" w:fill="EEF4F9"/>
          </w:tcPr>
          <w:p>
            <w:pPr>
              <w:spacing w:after="20"/>
            </w:pPr>
            <w:r/>
            <w:r>
              <w:rPr>
                <w:sz w:val="19"/>
              </w:rPr>
              <w:t>6</w:t>
            </w:r>
          </w:p>
        </w:tc>
        <w:tc>
          <w:tcPr>
            <w:tcW w:type="dxa" w:w="5953"/>
            <w:shd w:val="clear" w:color="auto" w:fill="EEF4F9"/>
          </w:tcPr>
          <w:p>
            <w:pPr>
              <w:spacing w:after="20"/>
            </w:pPr>
            <w:r/>
            <w:r>
              <w:rPr>
                <w:sz w:val="19"/>
              </w:rPr>
              <w:t>Key formulation</w:t>
            </w:r>
          </w:p>
        </w:tc>
        <w:tc>
          <w:tcPr>
            <w:tcW w:type="dxa" w:w="1814"/>
            <w:shd w:val="clear" w:color="auto" w:fill="EEF4F9"/>
          </w:tcPr>
          <w:p>
            <w:pPr>
              <w:spacing w:after="20"/>
            </w:pPr>
            <w:r/>
            <w:r>
              <w:rPr>
                <w:sz w:val="19"/>
              </w:rPr>
              <w:t>SKIP IF SHORT</w:t>
            </w:r>
          </w:p>
        </w:tc>
        <w:tc>
          <w:tcPr>
            <w:tcW w:type="dxa" w:w="850"/>
            <w:shd w:val="clear" w:color="auto" w:fill="EEF4F9"/>
          </w:tcPr>
          <w:p>
            <w:pPr>
              <w:spacing w:after="20"/>
            </w:pPr>
            <w:r/>
            <w:r>
              <w:rPr>
                <w:sz w:val="19"/>
              </w:rPr>
              <w:t>1.5</w:t>
            </w:r>
          </w:p>
        </w:tc>
      </w:tr>
      <w:tr>
        <w:tc>
          <w:tcPr>
            <w:tcW w:type="dxa" w:w="567"/>
          </w:tcPr>
          <w:p>
            <w:pPr>
              <w:spacing w:after="20"/>
            </w:pPr>
            <w:r/>
            <w:r>
              <w:rPr>
                <w:sz w:val="19"/>
              </w:rPr>
              <w:t>7</w:t>
            </w:r>
          </w:p>
        </w:tc>
        <w:tc>
          <w:tcPr>
            <w:tcW w:type="dxa" w:w="5953"/>
          </w:tcPr>
          <w:p>
            <w:pPr>
              <w:spacing w:after="20"/>
            </w:pPr>
            <w:r/>
            <w:r>
              <w:rPr>
                <w:sz w:val="19"/>
              </w:rPr>
              <w:t>Decision intelligence and spillover</w:t>
            </w:r>
          </w:p>
        </w:tc>
        <w:tc>
          <w:tcPr>
            <w:tcW w:type="dxa" w:w="1814"/>
          </w:tcPr>
          <w:p>
            <w:pPr>
              <w:spacing w:after="20"/>
            </w:pPr>
            <w:r/>
            <w:r>
              <w:rPr>
                <w:sz w:val="19"/>
              </w:rPr>
              <w:t>SKIP IF SHORT</w:t>
            </w:r>
          </w:p>
        </w:tc>
        <w:tc>
          <w:tcPr>
            <w:tcW w:type="dxa" w:w="850"/>
          </w:tcPr>
          <w:p>
            <w:pPr>
              <w:spacing w:after="20"/>
            </w:pPr>
            <w:r/>
            <w:r>
              <w:rPr>
                <w:sz w:val="19"/>
              </w:rPr>
              <w:t>1.5</w:t>
            </w:r>
          </w:p>
        </w:tc>
      </w:tr>
      <w:tr>
        <w:tc>
          <w:tcPr>
            <w:tcW w:type="dxa" w:w="567"/>
            <w:shd w:val="clear" w:color="auto" w:fill="EEF4F9"/>
          </w:tcPr>
          <w:p>
            <w:pPr>
              <w:spacing w:after="20"/>
            </w:pPr>
            <w:r/>
            <w:r>
              <w:rPr>
                <w:sz w:val="19"/>
              </w:rPr>
              <w:t>8</w:t>
            </w:r>
          </w:p>
        </w:tc>
        <w:tc>
          <w:tcPr>
            <w:tcW w:type="dxa" w:w="5953"/>
            <w:shd w:val="clear" w:color="auto" w:fill="EEF4F9"/>
          </w:tcPr>
          <w:p>
            <w:pPr>
              <w:spacing w:after="20"/>
            </w:pPr>
            <w:r/>
            <w:r>
              <w:rPr>
                <w:sz w:val="19"/>
              </w:rPr>
              <w:t>Insight features: method</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1.5</w:t>
            </w:r>
          </w:p>
        </w:tc>
      </w:tr>
      <w:tr>
        <w:tc>
          <w:tcPr>
            <w:tcW w:type="dxa" w:w="567"/>
          </w:tcPr>
          <w:p>
            <w:pPr>
              <w:spacing w:after="20"/>
            </w:pPr>
            <w:r/>
            <w:r>
              <w:rPr>
                <w:sz w:val="19"/>
              </w:rPr>
              <w:t>9</w:t>
            </w:r>
          </w:p>
        </w:tc>
        <w:tc>
          <w:tcPr>
            <w:tcW w:type="dxa" w:w="5953"/>
          </w:tcPr>
          <w:p>
            <w:pPr>
              <w:spacing w:after="20"/>
            </w:pPr>
            <w:r/>
            <w:r>
              <w:rPr>
                <w:sz w:val="19"/>
              </w:rPr>
              <w:t>Implementation and integration</w:t>
            </w:r>
          </w:p>
        </w:tc>
        <w:tc>
          <w:tcPr>
            <w:tcW w:type="dxa" w:w="1814"/>
          </w:tcPr>
          <w:p>
            <w:pPr>
              <w:spacing w:after="20"/>
            </w:pPr>
            <w:r/>
            <w:r>
              <w:rPr>
                <w:sz w:val="19"/>
              </w:rPr>
              <w:t>CORE</w:t>
            </w:r>
          </w:p>
        </w:tc>
        <w:tc>
          <w:tcPr>
            <w:tcW w:type="dxa" w:w="850"/>
          </w:tcPr>
          <w:p>
            <w:pPr>
              <w:spacing w:after="20"/>
            </w:pPr>
            <w:r/>
            <w:r>
              <w:rPr>
                <w:sz w:val="19"/>
              </w:rPr>
              <w:t>1.5</w:t>
            </w:r>
          </w:p>
        </w:tc>
      </w:tr>
      <w:tr>
        <w:tc>
          <w:tcPr>
            <w:tcW w:type="dxa" w:w="567"/>
            <w:shd w:val="clear" w:color="auto" w:fill="EEF4F9"/>
          </w:tcPr>
          <w:p>
            <w:pPr>
              <w:spacing w:after="20"/>
            </w:pPr>
            <w:r/>
            <w:r>
              <w:rPr>
                <w:sz w:val="19"/>
              </w:rPr>
              <w:t>10</w:t>
            </w:r>
          </w:p>
        </w:tc>
        <w:tc>
          <w:tcPr>
            <w:tcW w:type="dxa" w:w="5953"/>
            <w:shd w:val="clear" w:color="auto" w:fill="EEF4F9"/>
          </w:tcPr>
          <w:p>
            <w:pPr>
              <w:spacing w:after="20"/>
            </w:pPr>
            <w:r/>
            <w:r>
              <w:rPr>
                <w:sz w:val="19"/>
              </w:rPr>
              <w:t>What you will see</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w:t>
            </w:r>
          </w:p>
        </w:tc>
      </w:tr>
      <w:tr>
        <w:tc>
          <w:tcPr>
            <w:tcW w:type="dxa" w:w="567"/>
          </w:tcPr>
          <w:p>
            <w:pPr>
              <w:spacing w:after="20"/>
            </w:pPr>
            <w:r/>
            <w:r>
              <w:rPr>
                <w:sz w:val="19"/>
              </w:rPr>
              <w:t>11</w:t>
            </w:r>
          </w:p>
        </w:tc>
        <w:tc>
          <w:tcPr>
            <w:tcW w:type="dxa" w:w="5953"/>
          </w:tcPr>
          <w:p>
            <w:pPr>
              <w:spacing w:after="20"/>
            </w:pPr>
            <w:r/>
            <w:r>
              <w:rPr>
                <w:sz w:val="19"/>
              </w:rPr>
              <w:t>LIVE DEMO 1/2: farmer tool</w:t>
            </w:r>
          </w:p>
        </w:tc>
        <w:tc>
          <w:tcPr>
            <w:tcW w:type="dxa" w:w="1814"/>
          </w:tcPr>
          <w:p>
            <w:pPr>
              <w:spacing w:after="20"/>
            </w:pPr>
            <w:r/>
            <w:r>
              <w:rPr>
                <w:sz w:val="19"/>
              </w:rPr>
              <w:t>CORE</w:t>
            </w:r>
          </w:p>
        </w:tc>
        <w:tc>
          <w:tcPr>
            <w:tcW w:type="dxa" w:w="850"/>
          </w:tcPr>
          <w:p>
            <w:pPr>
              <w:spacing w:after="20"/>
            </w:pPr>
            <w:r/>
            <w:r>
              <w:rPr>
                <w:sz w:val="19"/>
              </w:rPr>
              <w:t>4</w:t>
            </w:r>
          </w:p>
        </w:tc>
      </w:tr>
      <w:tr>
        <w:tc>
          <w:tcPr>
            <w:tcW w:type="dxa" w:w="567"/>
            <w:shd w:val="clear" w:color="auto" w:fill="EEF4F9"/>
          </w:tcPr>
          <w:p>
            <w:pPr>
              <w:spacing w:after="20"/>
            </w:pPr>
            <w:r/>
            <w:r>
              <w:rPr>
                <w:sz w:val="19"/>
              </w:rPr>
              <w:t>12</w:t>
            </w:r>
          </w:p>
        </w:tc>
        <w:tc>
          <w:tcPr>
            <w:tcW w:type="dxa" w:w="5953"/>
            <w:shd w:val="clear" w:color="auto" w:fill="EEF4F9"/>
          </w:tcPr>
          <w:p>
            <w:pPr>
              <w:spacing w:after="20"/>
            </w:pPr>
            <w:r/>
            <w:r>
              <w:rPr>
                <w:sz w:val="19"/>
              </w:rPr>
              <w:t>LIVE DEMO 2/2: trader desk and Telegram</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4</w:t>
            </w:r>
          </w:p>
        </w:tc>
      </w:tr>
      <w:tr>
        <w:tc>
          <w:tcPr>
            <w:tcW w:type="dxa" w:w="567"/>
          </w:tcPr>
          <w:p>
            <w:pPr>
              <w:spacing w:after="20"/>
            </w:pPr>
            <w:r/>
            <w:r>
              <w:rPr>
                <w:sz w:val="19"/>
              </w:rPr>
              <w:t>13</w:t>
            </w:r>
          </w:p>
        </w:tc>
        <w:tc>
          <w:tcPr>
            <w:tcW w:type="dxa" w:w="5953"/>
          </w:tcPr>
          <w:p>
            <w:pPr>
              <w:spacing w:after="20"/>
            </w:pPr>
            <w:r/>
            <w:r>
              <w:rPr>
                <w:sz w:val="19"/>
              </w:rPr>
              <w:t>Tools and code quality</w:t>
            </w:r>
          </w:p>
        </w:tc>
        <w:tc>
          <w:tcPr>
            <w:tcW w:type="dxa" w:w="1814"/>
          </w:tcPr>
          <w:p>
            <w:pPr>
              <w:spacing w:after="20"/>
            </w:pPr>
            <w:r/>
            <w:r>
              <w:rPr>
                <w:sz w:val="19"/>
              </w:rPr>
              <w:t>SKIP IF SHORT</w:t>
            </w:r>
          </w:p>
        </w:tc>
        <w:tc>
          <w:tcPr>
            <w:tcW w:type="dxa" w:w="850"/>
          </w:tcPr>
          <w:p>
            <w:pPr>
              <w:spacing w:after="20"/>
            </w:pPr>
            <w:r/>
            <w:r>
              <w:rPr>
                <w:sz w:val="19"/>
              </w:rPr>
              <w:t>1</w:t>
            </w:r>
          </w:p>
        </w:tc>
      </w:tr>
      <w:tr>
        <w:tc>
          <w:tcPr>
            <w:tcW w:type="dxa" w:w="567"/>
            <w:shd w:val="clear" w:color="auto" w:fill="EEF4F9"/>
          </w:tcPr>
          <w:p>
            <w:pPr>
              <w:spacing w:after="20"/>
            </w:pPr>
            <w:r/>
            <w:r>
              <w:rPr>
                <w:sz w:val="19"/>
              </w:rPr>
              <w:t>14</w:t>
            </w:r>
          </w:p>
        </w:tc>
        <w:tc>
          <w:tcPr>
            <w:tcW w:type="dxa" w:w="5953"/>
            <w:shd w:val="clear" w:color="auto" w:fill="EEF4F9"/>
          </w:tcPr>
          <w:p>
            <w:pPr>
              <w:spacing w:after="20"/>
            </w:pPr>
            <w:r/>
            <w:r>
              <w:rPr>
                <w:sz w:val="19"/>
              </w:rPr>
              <w:t>Experimental setup</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1.2</w:t>
            </w:r>
          </w:p>
        </w:tc>
      </w:tr>
      <w:tr>
        <w:tc>
          <w:tcPr>
            <w:tcW w:type="dxa" w:w="567"/>
          </w:tcPr>
          <w:p>
            <w:pPr>
              <w:spacing w:after="20"/>
            </w:pPr>
            <w:r/>
            <w:r>
              <w:rPr>
                <w:sz w:val="19"/>
              </w:rPr>
              <w:t>15</w:t>
            </w:r>
          </w:p>
        </w:tc>
        <w:tc>
          <w:tcPr>
            <w:tcW w:type="dxa" w:w="5953"/>
          </w:tcPr>
          <w:p>
            <w:pPr>
              <w:spacing w:after="20"/>
            </w:pPr>
            <w:r/>
            <w:r>
              <w:rPr>
                <w:sz w:val="19"/>
              </w:rPr>
              <w:t>Results: decision quality</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16</w:t>
            </w:r>
          </w:p>
        </w:tc>
        <w:tc>
          <w:tcPr>
            <w:tcW w:type="dxa" w:w="5953"/>
            <w:shd w:val="clear" w:color="auto" w:fill="EEF4F9"/>
          </w:tcPr>
          <w:p>
            <w:pPr>
              <w:spacing w:after="20"/>
            </w:pPr>
            <w:r/>
            <w:r>
              <w:rPr>
                <w:sz w:val="19"/>
              </w:rPr>
              <w:t>Statistical validation</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w:t>
            </w:r>
          </w:p>
        </w:tc>
      </w:tr>
      <w:tr>
        <w:tc>
          <w:tcPr>
            <w:tcW w:type="dxa" w:w="567"/>
          </w:tcPr>
          <w:p>
            <w:pPr>
              <w:spacing w:after="20"/>
            </w:pPr>
            <w:r/>
            <w:r>
              <w:rPr>
                <w:sz w:val="19"/>
              </w:rPr>
              <w:t>17</w:t>
            </w:r>
          </w:p>
        </w:tc>
        <w:tc>
          <w:tcPr>
            <w:tcW w:type="dxa" w:w="5953"/>
          </w:tcPr>
          <w:p>
            <w:pPr>
              <w:spacing w:after="20"/>
            </w:pPr>
            <w:r/>
            <w:r>
              <w:rPr>
                <w:sz w:val="19"/>
              </w:rPr>
              <w:t>Verified floors and back-test</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18</w:t>
            </w:r>
          </w:p>
        </w:tc>
        <w:tc>
          <w:tcPr>
            <w:tcW w:type="dxa" w:w="5953"/>
            <w:shd w:val="clear" w:color="auto" w:fill="EEF4F9"/>
          </w:tcPr>
          <w:p>
            <w:pPr>
              <w:spacing w:after="20"/>
            </w:pPr>
            <w:r/>
            <w:r>
              <w:rPr>
                <w:sz w:val="19"/>
              </w:rPr>
              <w:t>Why this mandi, what if</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1.2</w:t>
            </w:r>
          </w:p>
        </w:tc>
      </w:tr>
      <w:tr>
        <w:tc>
          <w:tcPr>
            <w:tcW w:type="dxa" w:w="567"/>
          </w:tcPr>
          <w:p>
            <w:pPr>
              <w:spacing w:after="20"/>
            </w:pPr>
            <w:r/>
            <w:r>
              <w:rPr>
                <w:sz w:val="19"/>
              </w:rPr>
              <w:t>19</w:t>
            </w:r>
          </w:p>
        </w:tc>
        <w:tc>
          <w:tcPr>
            <w:tcW w:type="dxa" w:w="5953"/>
          </w:tcPr>
          <w:p>
            <w:pPr>
              <w:spacing w:after="20"/>
            </w:pPr>
            <w:r/>
            <w:r>
              <w:rPr>
                <w:sz w:val="19"/>
              </w:rPr>
              <w:t>Public track record</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20</w:t>
            </w:r>
          </w:p>
        </w:tc>
        <w:tc>
          <w:tcPr>
            <w:tcW w:type="dxa" w:w="5953"/>
            <w:shd w:val="clear" w:color="auto" w:fill="EEF4F9"/>
          </w:tcPr>
          <w:p>
            <w:pPr>
              <w:spacing w:after="20"/>
            </w:pPr>
            <w:r/>
            <w:r>
              <w:rPr>
                <w:sz w:val="19"/>
              </w:rPr>
              <w:t>Silence tax</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w:t>
            </w:r>
          </w:p>
        </w:tc>
      </w:tr>
      <w:tr>
        <w:tc>
          <w:tcPr>
            <w:tcW w:type="dxa" w:w="567"/>
          </w:tcPr>
          <w:p>
            <w:pPr>
              <w:spacing w:after="20"/>
            </w:pPr>
            <w:r/>
            <w:r>
              <w:rPr>
                <w:sz w:val="19"/>
              </w:rPr>
              <w:t>21</w:t>
            </w:r>
          </w:p>
        </w:tc>
        <w:tc>
          <w:tcPr>
            <w:tcW w:type="dxa" w:w="5953"/>
          </w:tcPr>
          <w:p>
            <w:pPr>
              <w:spacing w:after="20"/>
            </w:pPr>
            <w:r/>
            <w:r>
              <w:rPr>
                <w:sz w:val="19"/>
              </w:rPr>
              <w:t>Crowd simulator</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22</w:t>
            </w:r>
          </w:p>
        </w:tc>
        <w:tc>
          <w:tcPr>
            <w:tcW w:type="dxa" w:w="5953"/>
            <w:shd w:val="clear" w:color="auto" w:fill="EEF4F9"/>
          </w:tcPr>
          <w:p>
            <w:pPr>
              <w:spacing w:after="20"/>
            </w:pPr>
            <w:r/>
            <w:r>
              <w:rPr>
                <w:sz w:val="19"/>
              </w:rPr>
              <w:t>Daily digest on Telegram</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w:t>
            </w:r>
          </w:p>
        </w:tc>
      </w:tr>
      <w:tr>
        <w:tc>
          <w:tcPr>
            <w:tcW w:type="dxa" w:w="567"/>
          </w:tcPr>
          <w:p>
            <w:pPr>
              <w:spacing w:after="20"/>
            </w:pPr>
            <w:r/>
            <w:r>
              <w:rPr>
                <w:sz w:val="19"/>
              </w:rPr>
              <w:t>23</w:t>
            </w:r>
          </w:p>
        </w:tc>
        <w:tc>
          <w:tcPr>
            <w:tcW w:type="dxa" w:w="5953"/>
          </w:tcPr>
          <w:p>
            <w:pPr>
              <w:spacing w:after="20"/>
            </w:pPr>
            <w:r/>
            <w:r>
              <w:rPr>
                <w:sz w:val="19"/>
              </w:rPr>
              <w:t>Look-ahead audit</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24</w:t>
            </w:r>
          </w:p>
        </w:tc>
        <w:tc>
          <w:tcPr>
            <w:tcW w:type="dxa" w:w="5953"/>
            <w:shd w:val="clear" w:color="auto" w:fill="EEF4F9"/>
          </w:tcPr>
          <w:p>
            <w:pPr>
              <w:spacing w:after="20"/>
            </w:pPr>
            <w:r/>
            <w:r>
              <w:rPr>
                <w:sz w:val="19"/>
              </w:rPr>
              <w:t>Council, shocks, spillover, language layer</w:t>
            </w:r>
          </w:p>
        </w:tc>
        <w:tc>
          <w:tcPr>
            <w:tcW w:type="dxa" w:w="1814"/>
            <w:shd w:val="clear" w:color="auto" w:fill="EEF4F9"/>
          </w:tcPr>
          <w:p>
            <w:pPr>
              <w:spacing w:after="20"/>
            </w:pPr>
            <w:r/>
            <w:r>
              <w:rPr>
                <w:sz w:val="19"/>
              </w:rPr>
              <w:t>SKIP IF SHORT</w:t>
            </w:r>
          </w:p>
        </w:tc>
        <w:tc>
          <w:tcPr>
            <w:tcW w:type="dxa" w:w="850"/>
            <w:shd w:val="clear" w:color="auto" w:fill="EEF4F9"/>
          </w:tcPr>
          <w:p>
            <w:pPr>
              <w:spacing w:after="20"/>
            </w:pPr>
            <w:r/>
            <w:r>
              <w:rPr>
                <w:sz w:val="19"/>
              </w:rPr>
              <w:t>1.2</w:t>
            </w:r>
          </w:p>
        </w:tc>
      </w:tr>
      <w:tr>
        <w:tc>
          <w:tcPr>
            <w:tcW w:type="dxa" w:w="567"/>
          </w:tcPr>
          <w:p>
            <w:pPr>
              <w:spacing w:after="20"/>
            </w:pPr>
            <w:r/>
            <w:r>
              <w:rPr>
                <w:sz w:val="19"/>
              </w:rPr>
              <w:t>25</w:t>
            </w:r>
          </w:p>
        </w:tc>
        <w:tc>
          <w:tcPr>
            <w:tcW w:type="dxa" w:w="5953"/>
          </w:tcPr>
          <w:p>
            <w:pPr>
              <w:spacing w:after="20"/>
            </w:pPr>
            <w:r/>
            <w:r>
              <w:rPr>
                <w:sz w:val="19"/>
              </w:rPr>
              <w:t>Comparative benchmarking</w:t>
            </w:r>
          </w:p>
        </w:tc>
        <w:tc>
          <w:tcPr>
            <w:tcW w:type="dxa" w:w="1814"/>
          </w:tcPr>
          <w:p>
            <w:pPr>
              <w:spacing w:after="20"/>
            </w:pPr>
            <w:r/>
            <w:r>
              <w:rPr>
                <w:sz w:val="19"/>
              </w:rPr>
              <w:t>SKIP IF SHORT</w:t>
            </w:r>
          </w:p>
        </w:tc>
        <w:tc>
          <w:tcPr>
            <w:tcW w:type="dxa" w:w="850"/>
          </w:tcPr>
          <w:p>
            <w:pPr>
              <w:spacing w:after="20"/>
            </w:pPr>
            <w:r/>
            <w:r>
              <w:rPr>
                <w:sz w:val="19"/>
              </w:rPr>
              <w:t>0.8</w:t>
            </w:r>
          </w:p>
        </w:tc>
      </w:tr>
      <w:tr>
        <w:tc>
          <w:tcPr>
            <w:tcW w:type="dxa" w:w="567"/>
            <w:shd w:val="clear" w:color="auto" w:fill="EEF4F9"/>
          </w:tcPr>
          <w:p>
            <w:pPr>
              <w:spacing w:after="20"/>
            </w:pPr>
            <w:r/>
            <w:r>
              <w:rPr>
                <w:sz w:val="19"/>
              </w:rPr>
              <w:t>26</w:t>
            </w:r>
          </w:p>
        </w:tc>
        <w:tc>
          <w:tcPr>
            <w:tcW w:type="dxa" w:w="5953"/>
            <w:shd w:val="clear" w:color="auto" w:fill="EEF4F9"/>
          </w:tcPr>
          <w:p>
            <w:pPr>
              <w:spacing w:after="20"/>
            </w:pPr>
            <w:r/>
            <w:r>
              <w:rPr>
                <w:sz w:val="19"/>
              </w:rPr>
              <w:t>Novelty</w:t>
            </w:r>
          </w:p>
        </w:tc>
        <w:tc>
          <w:tcPr>
            <w:tcW w:type="dxa" w:w="1814"/>
            <w:shd w:val="clear" w:color="auto" w:fill="EEF4F9"/>
          </w:tcPr>
          <w:p>
            <w:pPr>
              <w:spacing w:after="20"/>
            </w:pPr>
            <w:r/>
            <w:r>
              <w:rPr>
                <w:sz w:val="19"/>
              </w:rPr>
              <w:t>SKIP IF SHORT</w:t>
            </w:r>
          </w:p>
        </w:tc>
        <w:tc>
          <w:tcPr>
            <w:tcW w:type="dxa" w:w="850"/>
            <w:shd w:val="clear" w:color="auto" w:fill="EEF4F9"/>
          </w:tcPr>
          <w:p>
            <w:pPr>
              <w:spacing w:after="20"/>
            </w:pPr>
            <w:r/>
            <w:r>
              <w:rPr>
                <w:sz w:val="19"/>
              </w:rPr>
              <w:t>1</w:t>
            </w:r>
          </w:p>
        </w:tc>
      </w:tr>
      <w:tr>
        <w:tc>
          <w:tcPr>
            <w:tcW w:type="dxa" w:w="567"/>
          </w:tcPr>
          <w:p>
            <w:pPr>
              <w:spacing w:after="20"/>
            </w:pPr>
            <w:r/>
            <w:r>
              <w:rPr>
                <w:sz w:val="19"/>
              </w:rPr>
              <w:t>27</w:t>
            </w:r>
          </w:p>
        </w:tc>
        <w:tc>
          <w:tcPr>
            <w:tcW w:type="dxa" w:w="5953"/>
          </w:tcPr>
          <w:p>
            <w:pPr>
              <w:spacing w:after="20"/>
            </w:pPr>
            <w:r/>
            <w:r>
              <w:rPr>
                <w:sz w:val="19"/>
              </w:rPr>
              <w:t>Optimisation and ablation</w:t>
            </w:r>
          </w:p>
        </w:tc>
        <w:tc>
          <w:tcPr>
            <w:tcW w:type="dxa" w:w="1814"/>
          </w:tcPr>
          <w:p>
            <w:pPr>
              <w:spacing w:after="20"/>
            </w:pPr>
            <w:r/>
            <w:r>
              <w:rPr>
                <w:sz w:val="19"/>
              </w:rPr>
              <w:t>SKIP IF SHORT</w:t>
            </w:r>
          </w:p>
        </w:tc>
        <w:tc>
          <w:tcPr>
            <w:tcW w:type="dxa" w:w="850"/>
          </w:tcPr>
          <w:p>
            <w:pPr>
              <w:spacing w:after="20"/>
            </w:pPr>
            <w:r/>
            <w:r>
              <w:rPr>
                <w:sz w:val="19"/>
              </w:rPr>
              <w:t>1</w:t>
            </w:r>
          </w:p>
        </w:tc>
      </w:tr>
      <w:tr>
        <w:tc>
          <w:tcPr>
            <w:tcW w:type="dxa" w:w="567"/>
            <w:shd w:val="clear" w:color="auto" w:fill="EEF4F9"/>
          </w:tcPr>
          <w:p>
            <w:pPr>
              <w:spacing w:after="20"/>
            </w:pPr>
            <w:r/>
            <w:r>
              <w:rPr>
                <w:sz w:val="19"/>
              </w:rPr>
              <w:t>28</w:t>
            </w:r>
          </w:p>
        </w:tc>
        <w:tc>
          <w:tcPr>
            <w:tcW w:type="dxa" w:w="5953"/>
            <w:shd w:val="clear" w:color="auto" w:fill="EEF4F9"/>
          </w:tcPr>
          <w:p>
            <w:pPr>
              <w:spacing w:after="20"/>
            </w:pPr>
            <w:r/>
            <w:r>
              <w:rPr>
                <w:sz w:val="19"/>
              </w:rPr>
              <w:t>WBS and critical path</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1.5</w:t>
            </w:r>
          </w:p>
        </w:tc>
      </w:tr>
      <w:tr>
        <w:tc>
          <w:tcPr>
            <w:tcW w:type="dxa" w:w="567"/>
          </w:tcPr>
          <w:p>
            <w:pPr>
              <w:spacing w:after="20"/>
            </w:pPr>
            <w:r/>
            <w:r>
              <w:rPr>
                <w:sz w:val="19"/>
              </w:rPr>
              <w:t>29</w:t>
            </w:r>
          </w:p>
        </w:tc>
        <w:tc>
          <w:tcPr>
            <w:tcW w:type="dxa" w:w="5953"/>
          </w:tcPr>
          <w:p>
            <w:pPr>
              <w:spacing w:after="20"/>
            </w:pPr>
            <w:r/>
            <w:r>
              <w:rPr>
                <w:sz w:val="19"/>
              </w:rPr>
              <w:t>Schedule and risk</w:t>
            </w:r>
          </w:p>
        </w:tc>
        <w:tc>
          <w:tcPr>
            <w:tcW w:type="dxa" w:w="1814"/>
          </w:tcPr>
          <w:p>
            <w:pPr>
              <w:spacing w:after="20"/>
            </w:pPr>
            <w:r/>
            <w:r>
              <w:rPr>
                <w:sz w:val="19"/>
              </w:rPr>
              <w:t>CORE</w:t>
            </w:r>
          </w:p>
        </w:tc>
        <w:tc>
          <w:tcPr>
            <w:tcW w:type="dxa" w:w="850"/>
          </w:tcPr>
          <w:p>
            <w:pPr>
              <w:spacing w:after="20"/>
            </w:pPr>
            <w:r/>
            <w:r>
              <w:rPr>
                <w:sz w:val="19"/>
              </w:rPr>
              <w:t>1.5</w:t>
            </w:r>
          </w:p>
        </w:tc>
      </w:tr>
      <w:tr>
        <w:tc>
          <w:tcPr>
            <w:tcW w:type="dxa" w:w="567"/>
            <w:shd w:val="clear" w:color="auto" w:fill="EEF4F9"/>
          </w:tcPr>
          <w:p>
            <w:pPr>
              <w:spacing w:after="20"/>
            </w:pPr>
            <w:r/>
            <w:r>
              <w:rPr>
                <w:sz w:val="19"/>
              </w:rPr>
              <w:t>30</w:t>
            </w:r>
          </w:p>
        </w:tc>
        <w:tc>
          <w:tcPr>
            <w:tcW w:type="dxa" w:w="5953"/>
            <w:shd w:val="clear" w:color="auto" w:fill="EEF4F9"/>
          </w:tcPr>
          <w:p>
            <w:pPr>
              <w:spacing w:after="20"/>
            </w:pPr>
            <w:r/>
            <w:r>
              <w:rPr>
                <w:sz w:val="19"/>
              </w:rPr>
              <w:t>Report and documentation</w:t>
            </w:r>
          </w:p>
        </w:tc>
        <w:tc>
          <w:tcPr>
            <w:tcW w:type="dxa" w:w="1814"/>
            <w:shd w:val="clear" w:color="auto" w:fill="EEF4F9"/>
          </w:tcPr>
          <w:p>
            <w:pPr>
              <w:spacing w:after="20"/>
            </w:pPr>
            <w:r/>
            <w:r>
              <w:rPr>
                <w:sz w:val="19"/>
              </w:rPr>
              <w:t>CORE</w:t>
            </w:r>
          </w:p>
        </w:tc>
        <w:tc>
          <w:tcPr>
            <w:tcW w:type="dxa" w:w="850"/>
            <w:shd w:val="clear" w:color="auto" w:fill="EEF4F9"/>
          </w:tcPr>
          <w:p>
            <w:pPr>
              <w:spacing w:after="20"/>
            </w:pPr>
            <w:r/>
            <w:r>
              <w:rPr>
                <w:sz w:val="19"/>
              </w:rPr>
              <w:t>0.8</w:t>
            </w:r>
          </w:p>
        </w:tc>
      </w:tr>
      <w:tr>
        <w:tc>
          <w:tcPr>
            <w:tcW w:type="dxa" w:w="567"/>
          </w:tcPr>
          <w:p>
            <w:pPr>
              <w:spacing w:after="20"/>
            </w:pPr>
            <w:r/>
            <w:r>
              <w:rPr>
                <w:sz w:val="19"/>
              </w:rPr>
              <w:t>31</w:t>
            </w:r>
          </w:p>
        </w:tc>
        <w:tc>
          <w:tcPr>
            <w:tcW w:type="dxa" w:w="5953"/>
          </w:tcPr>
          <w:p>
            <w:pPr>
              <w:spacing w:after="20"/>
            </w:pPr>
            <w:r/>
            <w:r>
              <w:rPr>
                <w:sz w:val="19"/>
              </w:rPr>
              <w:t>SDG mapping</w:t>
            </w:r>
          </w:p>
        </w:tc>
        <w:tc>
          <w:tcPr>
            <w:tcW w:type="dxa" w:w="1814"/>
          </w:tcPr>
          <w:p>
            <w:pPr>
              <w:spacing w:after="20"/>
            </w:pPr>
            <w:r/>
            <w:r>
              <w:rPr>
                <w:sz w:val="19"/>
              </w:rPr>
              <w:t>CORE</w:t>
            </w:r>
          </w:p>
        </w:tc>
        <w:tc>
          <w:tcPr>
            <w:tcW w:type="dxa" w:w="850"/>
          </w:tcPr>
          <w:p>
            <w:pPr>
              <w:spacing w:after="20"/>
            </w:pPr>
            <w:r/>
            <w:r>
              <w:rPr>
                <w:sz w:val="19"/>
              </w:rPr>
              <w:t>1</w:t>
            </w:r>
          </w:p>
        </w:tc>
      </w:tr>
      <w:tr>
        <w:tc>
          <w:tcPr>
            <w:tcW w:type="dxa" w:w="567"/>
            <w:shd w:val="clear" w:color="auto" w:fill="EEF4F9"/>
          </w:tcPr>
          <w:p>
            <w:pPr>
              <w:spacing w:after="20"/>
            </w:pPr>
            <w:r/>
            <w:r>
              <w:rPr>
                <w:sz w:val="19"/>
              </w:rPr>
              <w:t>32</w:t>
            </w:r>
          </w:p>
        </w:tc>
        <w:tc>
          <w:tcPr>
            <w:tcW w:type="dxa" w:w="5953"/>
            <w:shd w:val="clear" w:color="auto" w:fill="EEF4F9"/>
          </w:tcPr>
          <w:p>
            <w:pPr>
              <w:spacing w:after="20"/>
            </w:pPr>
            <w:r/>
            <w:r>
              <w:rPr>
                <w:sz w:val="19"/>
              </w:rPr>
              <w:t>Research paper status</w:t>
            </w:r>
          </w:p>
        </w:tc>
        <w:tc>
          <w:tcPr>
            <w:tcW w:type="dxa" w:w="1814"/>
            <w:shd w:val="clear" w:color="auto" w:fill="EEF4F9"/>
          </w:tcPr>
          <w:p>
            <w:pPr>
              <w:spacing w:after="20"/>
            </w:pPr>
            <w:r/>
            <w:r>
              <w:rPr>
                <w:sz w:val="19"/>
              </w:rPr>
              <w:t>SKIP IF SHORT</w:t>
            </w:r>
          </w:p>
        </w:tc>
        <w:tc>
          <w:tcPr>
            <w:tcW w:type="dxa" w:w="850"/>
            <w:shd w:val="clear" w:color="auto" w:fill="EEF4F9"/>
          </w:tcPr>
          <w:p>
            <w:pPr>
              <w:spacing w:after="20"/>
            </w:pPr>
            <w:r/>
            <w:r>
              <w:rPr>
                <w:sz w:val="19"/>
              </w:rPr>
              <w:t>0.8</w:t>
            </w:r>
          </w:p>
        </w:tc>
      </w:tr>
      <w:tr>
        <w:tc>
          <w:tcPr>
            <w:tcW w:type="dxa" w:w="567"/>
          </w:tcPr>
          <w:p>
            <w:pPr>
              <w:spacing w:after="20"/>
            </w:pPr>
            <w:r/>
            <w:r>
              <w:rPr>
                <w:sz w:val="19"/>
              </w:rPr>
              <w:t>33</w:t>
            </w:r>
          </w:p>
        </w:tc>
        <w:tc>
          <w:tcPr>
            <w:tcW w:type="dxa" w:w="5953"/>
          </w:tcPr>
          <w:p>
            <w:pPr>
              <w:spacing w:after="20"/>
            </w:pPr>
            <w:r/>
            <w:r>
              <w:rPr>
                <w:sz w:val="19"/>
              </w:rPr>
              <w:t>Conclusion and future work</w:t>
            </w:r>
          </w:p>
        </w:tc>
        <w:tc>
          <w:tcPr>
            <w:tcW w:type="dxa" w:w="1814"/>
          </w:tcPr>
          <w:p>
            <w:pPr>
              <w:spacing w:after="20"/>
            </w:pPr>
            <w:r/>
            <w:r>
              <w:rPr>
                <w:sz w:val="19"/>
              </w:rPr>
              <w:t>CORE</w:t>
            </w:r>
          </w:p>
        </w:tc>
        <w:tc>
          <w:tcPr>
            <w:tcW w:type="dxa" w:w="850"/>
          </w:tcPr>
          <w:p>
            <w:pPr>
              <w:spacing w:after="20"/>
            </w:pPr>
            <w:r/>
            <w:r>
              <w:rPr>
                <w:sz w:val="19"/>
              </w:rPr>
              <w:t>1.2</w:t>
            </w:r>
          </w:p>
        </w:tc>
      </w:tr>
      <w:tr>
        <w:tc>
          <w:tcPr>
            <w:tcW w:type="dxa" w:w="567"/>
            <w:shd w:val="clear" w:color="auto" w:fill="EEF4F9"/>
          </w:tcPr>
          <w:p>
            <w:pPr>
              <w:spacing w:after="20"/>
            </w:pPr>
            <w:r/>
            <w:r>
              <w:rPr>
                <w:sz w:val="19"/>
              </w:rPr>
              <w:t>34</w:t>
            </w:r>
          </w:p>
        </w:tc>
        <w:tc>
          <w:tcPr>
            <w:tcW w:type="dxa" w:w="5953"/>
            <w:shd w:val="clear" w:color="auto" w:fill="EEF4F9"/>
          </w:tcPr>
          <w:p>
            <w:pPr>
              <w:spacing w:after="20"/>
            </w:pPr>
            <w:r/>
            <w:r>
              <w:rPr>
                <w:sz w:val="19"/>
              </w:rPr>
              <w:t>References</w:t>
            </w:r>
          </w:p>
        </w:tc>
        <w:tc>
          <w:tcPr>
            <w:tcW w:type="dxa" w:w="1814"/>
            <w:shd w:val="clear" w:color="auto" w:fill="EEF4F9"/>
          </w:tcPr>
          <w:p>
            <w:pPr>
              <w:spacing w:after="20"/>
            </w:pPr>
            <w:r/>
            <w:r>
              <w:rPr>
                <w:sz w:val="19"/>
              </w:rPr>
              <w:t>SKIP IF SHORT</w:t>
            </w:r>
          </w:p>
        </w:tc>
        <w:tc>
          <w:tcPr>
            <w:tcW w:type="dxa" w:w="850"/>
            <w:shd w:val="clear" w:color="auto" w:fill="EEF4F9"/>
          </w:tcPr>
          <w:p>
            <w:pPr>
              <w:spacing w:after="20"/>
            </w:pPr>
            <w:r/>
            <w:r>
              <w:rPr>
                <w:sz w:val="19"/>
              </w:rPr>
              <w:t>0.2</w:t>
            </w:r>
          </w:p>
        </w:tc>
      </w:tr>
      <w:tr>
        <w:tc>
          <w:tcPr>
            <w:tcW w:type="dxa" w:w="567"/>
          </w:tcPr>
          <w:p>
            <w:pPr>
              <w:spacing w:after="20"/>
            </w:pPr>
            <w:r/>
            <w:r>
              <w:rPr>
                <w:sz w:val="19"/>
              </w:rPr>
              <w:t>35</w:t>
            </w:r>
          </w:p>
        </w:tc>
        <w:tc>
          <w:tcPr>
            <w:tcW w:type="dxa" w:w="5953"/>
          </w:tcPr>
          <w:p>
            <w:pPr>
              <w:spacing w:after="20"/>
            </w:pPr>
            <w:r/>
            <w:r>
              <w:rPr>
                <w:sz w:val="19"/>
              </w:rPr>
              <w:t>Thank you</w:t>
            </w:r>
          </w:p>
        </w:tc>
        <w:tc>
          <w:tcPr>
            <w:tcW w:type="dxa" w:w="1814"/>
          </w:tcPr>
          <w:p>
            <w:pPr>
              <w:spacing w:after="20"/>
            </w:pPr>
            <w:r/>
            <w:r>
              <w:rPr>
                <w:sz w:val="19"/>
              </w:rPr>
              <w:t>CORE</w:t>
            </w:r>
          </w:p>
        </w:tc>
        <w:tc>
          <w:tcPr>
            <w:tcW w:type="dxa" w:w="850"/>
          </w:tcPr>
          <w:p>
            <w:pPr>
              <w:spacing w:after="20"/>
            </w:pPr>
            <w:r/>
            <w:r>
              <w:rPr>
                <w:sz w:val="19"/>
              </w:rPr>
              <w:t>0.2</w:t>
            </w:r>
          </w:p>
        </w:tc>
      </w:tr>
      <w:tr>
        <w:tc>
          <w:tcPr>
            <w:tcW w:type="dxa" w:w="567"/>
            <w:shd w:val="clear" w:color="auto" w:fill="EEF4F9"/>
          </w:tcPr>
          <w:p>
            <w:pPr>
              <w:spacing w:after="20"/>
            </w:pPr>
            <w:r/>
          </w:p>
        </w:tc>
        <w:tc>
          <w:tcPr>
            <w:tcW w:type="dxa" w:w="5953"/>
            <w:shd w:val="clear" w:color="auto" w:fill="EEF4F9"/>
          </w:tcPr>
          <w:p>
            <w:pPr>
              <w:spacing w:after="20"/>
            </w:pPr>
            <w:r/>
            <w:r>
              <w:rPr>
                <w:b/>
                <w:sz w:val="19"/>
              </w:rPr>
              <w:t>Total, full deck</w:t>
            </w:r>
          </w:p>
        </w:tc>
        <w:tc>
          <w:tcPr>
            <w:tcW w:type="dxa" w:w="1814"/>
            <w:shd w:val="clear" w:color="auto" w:fill="EEF4F9"/>
          </w:tcPr>
          <w:p>
            <w:pPr>
              <w:spacing w:after="20"/>
            </w:pPr>
            <w:r/>
          </w:p>
        </w:tc>
        <w:tc>
          <w:tcPr>
            <w:tcW w:type="dxa" w:w="850"/>
            <w:shd w:val="clear" w:color="auto" w:fill="EEF4F9"/>
          </w:tcPr>
          <w:p>
            <w:pPr>
              <w:spacing w:after="20"/>
            </w:pPr>
            <w:r/>
            <w:r>
              <w:rPr>
                <w:b/>
                <w:sz w:val="19"/>
              </w:rPr>
              <w:t>44</w:t>
            </w:r>
          </w:p>
        </w:tc>
      </w:tr>
    </w:tbl>
    <w:p>
      <w:pPr>
        <w:spacing w:after="40"/>
      </w:pPr>
    </w:p>
    <w:p>
      <w:pPr>
        <w:spacing w:after="120"/>
      </w:pPr>
      <w:r>
        <w:rPr>
          <w:b/>
          <w:sz w:val="21"/>
        </w:rPr>
        <w:t>25-minute path</w:t>
      </w:r>
      <w:r>
        <w:rPr>
          <w:sz w:val="21"/>
        </w:rPr>
        <w:t xml:space="preserve"> (30 min including both demo parts): Title, Introduction and problem statement, Objectives, Methodology and architecture, Insight features: method, Implementation and integration, LIVE DEMO 1/2: farmer tool, LIVE DEMO 2/2: trader desk and Telegram, Experimental setup, Results: decision quality, Statistical validation, Verified floors and back-test, Public track record, Crowd simulator, Look-ahead audit, WBS and critical path, Schedule and risk, SDG mapping, Conclusion and future work, Thank you.</w:t>
      </w:r>
    </w:p>
    <w:p>
      <w:pPr>
        <w:pStyle w:val="Heading1"/>
      </w:pPr>
      <w:r>
        <w:t>Set-up checklist (do this before the panel enters)</w:t>
      </w:r>
    </w:p>
    <w:tbl>
      <w:tblPr>
        <w:tblStyle w:val="TableGrid"/>
        <w:tblW w:type="auto" w:w="0"/>
        <w:jc w:val="center"/>
        <w:tblLook w:firstColumn="1" w:firstRow="1" w:lastColumn="0" w:lastRow="0" w:noHBand="0" w:noVBand="1" w:val="04A0"/>
      </w:tblPr>
      <w:tblGrid>
        <w:gridCol w:w="5100"/>
        <w:gridCol w:w="5100"/>
      </w:tblGrid>
      <w:tr>
        <w:tc>
          <w:tcPr>
            <w:tcW w:type="dxa" w:w="1247"/>
            <w:shd w:val="clear" w:color="auto" w:fill="1F4E79"/>
          </w:tcPr>
          <w:p>
            <w:pPr>
              <w:spacing w:after="20"/>
            </w:pPr>
            <w:r>
              <w:rPr>
                <w:b/>
                <w:color w:val="FFFFFF"/>
              </w:rPr>
            </w:r>
            <w:r>
              <w:rPr>
                <w:b/>
                <w:color w:val="FFFFFF"/>
                <w:sz w:val="19"/>
              </w:rPr>
              <w:t>When</w:t>
            </w:r>
          </w:p>
        </w:tc>
        <w:tc>
          <w:tcPr>
            <w:tcW w:type="dxa" w:w="8391"/>
            <w:shd w:val="clear" w:color="auto" w:fill="1F4E79"/>
          </w:tcPr>
          <w:p>
            <w:pPr>
              <w:spacing w:after="20"/>
            </w:pPr>
            <w:r>
              <w:rPr>
                <w:b/>
                <w:color w:val="FFFFFF"/>
              </w:rPr>
            </w:r>
            <w:r>
              <w:rPr>
                <w:b/>
                <w:color w:val="FFFFFF"/>
                <w:sz w:val="19"/>
              </w:rPr>
              <w:t>Action</w:t>
            </w:r>
          </w:p>
        </w:tc>
      </w:tr>
      <w:tr>
        <w:tc>
          <w:tcPr>
            <w:tcW w:type="dxa" w:w="1247"/>
          </w:tcPr>
          <w:p>
            <w:pPr>
              <w:spacing w:after="20"/>
            </w:pPr>
            <w:r/>
            <w:r>
              <w:rPr>
                <w:sz w:val="19"/>
              </w:rPr>
              <w:t>T-60 min</w:t>
            </w:r>
          </w:p>
        </w:tc>
        <w:tc>
          <w:tcPr>
            <w:tcW w:type="dxa" w:w="8391"/>
          </w:tcPr>
          <w:p>
            <w:pPr>
              <w:spacing w:after="20"/>
            </w:pPr>
            <w:r/>
            <w:r>
              <w:rPr>
                <w:sz w:val="19"/>
              </w:rPr>
              <w:t>Charge the laptop and the phone. Close other apps. Connect to a stable network (the bot needs internet; everything else runs locally).</w:t>
            </w:r>
          </w:p>
        </w:tc>
      </w:tr>
      <w:tr>
        <w:tc>
          <w:tcPr>
            <w:tcW w:type="dxa" w:w="1247"/>
            <w:shd w:val="clear" w:color="auto" w:fill="EEF4F9"/>
          </w:tcPr>
          <w:p>
            <w:pPr>
              <w:spacing w:after="20"/>
            </w:pPr>
            <w:r/>
            <w:r>
              <w:rPr>
                <w:sz w:val="19"/>
              </w:rPr>
              <w:t>T-45</w:t>
            </w:r>
          </w:p>
        </w:tc>
        <w:tc>
          <w:tcPr>
            <w:tcW w:type="dxa" w:w="8391"/>
            <w:shd w:val="clear" w:color="auto" w:fill="EEF4F9"/>
          </w:tcPr>
          <w:p>
            <w:pPr>
              <w:spacing w:after="20"/>
            </w:pPr>
            <w:r/>
            <w:r>
              <w:rPr>
                <w:sz w:val="19"/>
              </w:rPr>
              <w:t xml:space="preserve">Terminal 1: open the repository, activate the environment, start the API: </w:t>
            </w:r>
            <w:r>
              <w:rPr>
                <w:rFonts w:ascii="Consolas" w:hAnsi="Consolas"/>
                <w:sz w:val="19"/>
              </w:rPr>
              <w:t>ms_env\Scripts\python.exe -m uvicorn api.main:app --host 127.0.0.1 --port 8000</w:t>
            </w:r>
            <w:r>
              <w:rPr>
                <w:sz w:val="19"/>
              </w:rPr>
              <w:t>. Wait for 'Application startup complete'. If port 8000 is taken, stop the older process first; an old server answers the new endpoints with 'not found'.</w:t>
            </w:r>
          </w:p>
        </w:tc>
      </w:tr>
      <w:tr>
        <w:tc>
          <w:tcPr>
            <w:tcW w:type="dxa" w:w="1247"/>
          </w:tcPr>
          <w:p>
            <w:pPr>
              <w:spacing w:after="20"/>
            </w:pPr>
            <w:r/>
            <w:r>
              <w:rPr>
                <w:sz w:val="19"/>
              </w:rPr>
              <w:t>T-40</w:t>
            </w:r>
          </w:p>
        </w:tc>
        <w:tc>
          <w:tcPr>
            <w:tcW w:type="dxa" w:w="8391"/>
          </w:tcPr>
          <w:p>
            <w:pPr>
              <w:spacing w:after="20"/>
            </w:pPr>
            <w:r/>
            <w:r>
              <w:rPr>
                <w:sz w:val="19"/>
              </w:rPr>
              <w:t xml:space="preserve">Terminal 2: </w:t>
            </w:r>
            <w:r>
              <w:rPr>
                <w:rFonts w:ascii="Consolas" w:hAnsi="Consolas"/>
                <w:sz w:val="19"/>
              </w:rPr>
              <w:t>cd frontend</w:t>
            </w:r>
            <w:r>
              <w:rPr>
                <w:sz w:val="19"/>
              </w:rPr>
              <w:t xml:space="preserve"> then </w:t>
            </w:r>
            <w:r>
              <w:rPr>
                <w:rFonts w:ascii="Consolas" w:hAnsi="Consolas"/>
                <w:sz w:val="19"/>
              </w:rPr>
              <w:t>npm run dev</w:t>
            </w:r>
            <w:r>
              <w:rPr>
                <w:sz w:val="19"/>
              </w:rPr>
              <w:t xml:space="preserve"> (port 3000). Open http://localhost:3000/tools once to warm the pages.</w:t>
            </w:r>
          </w:p>
        </w:tc>
      </w:tr>
      <w:tr>
        <w:tc>
          <w:tcPr>
            <w:tcW w:type="dxa" w:w="1247"/>
            <w:shd w:val="clear" w:color="auto" w:fill="EEF4F9"/>
          </w:tcPr>
          <w:p>
            <w:pPr>
              <w:spacing w:after="20"/>
            </w:pPr>
            <w:r/>
            <w:r>
              <w:rPr>
                <w:sz w:val="19"/>
              </w:rPr>
              <w:t>T-35</w:t>
            </w:r>
          </w:p>
        </w:tc>
        <w:tc>
          <w:tcPr>
            <w:tcW w:type="dxa" w:w="8391"/>
            <w:shd w:val="clear" w:color="auto" w:fill="EEF4F9"/>
          </w:tcPr>
          <w:p>
            <w:pPr>
              <w:spacing w:after="20"/>
            </w:pPr>
            <w:r/>
            <w:r>
              <w:rPr>
                <w:sz w:val="19"/>
              </w:rPr>
              <w:t xml:space="preserve">Terminal 3: start the bot: </w:t>
            </w:r>
            <w:r>
              <w:rPr>
                <w:rFonts w:ascii="Consolas" w:hAnsi="Consolas"/>
                <w:sz w:val="19"/>
              </w:rPr>
              <w:t>ms_env\Scripts\python.exe scripts/telegram_bot.py</w:t>
            </w:r>
            <w:r>
              <w:rPr>
                <w:sz w:val="19"/>
              </w:rPr>
              <w:t>. It must print 'MandiSense bot @MandiAis_BOT is running'.</w:t>
            </w:r>
          </w:p>
        </w:tc>
      </w:tr>
      <w:tr>
        <w:tc>
          <w:tcPr>
            <w:tcW w:type="dxa" w:w="1247"/>
          </w:tcPr>
          <w:p>
            <w:pPr>
              <w:spacing w:after="20"/>
            </w:pPr>
            <w:r/>
            <w:r>
              <w:rPr>
                <w:sz w:val="19"/>
              </w:rPr>
              <w:t>T-30</w:t>
            </w:r>
          </w:p>
        </w:tc>
        <w:tc>
          <w:tcPr>
            <w:tcW w:type="dxa" w:w="8391"/>
          </w:tcPr>
          <w:p>
            <w:pPr>
              <w:spacing w:after="20"/>
            </w:pPr>
            <w:r/>
            <w:r>
              <w:rPr>
                <w:sz w:val="19"/>
              </w:rPr>
              <w:t>Phone: open https://t.me/MandiAis_BOT, press Start, choose English, Kolar, tomato and onion, press Done. You should receive the first digest within seconds. This pre-subscribes the phone so /today and the broadcast work live. Check the data/farmer/telegram_outbox.jsonl log has a 'sent' line.</w:t>
            </w:r>
          </w:p>
        </w:tc>
      </w:tr>
      <w:tr>
        <w:tc>
          <w:tcPr>
            <w:tcW w:type="dxa" w:w="1247"/>
            <w:shd w:val="clear" w:color="auto" w:fill="EEF4F9"/>
          </w:tcPr>
          <w:p>
            <w:pPr>
              <w:spacing w:after="20"/>
            </w:pPr>
            <w:r/>
            <w:r>
              <w:rPr>
                <w:sz w:val="19"/>
              </w:rPr>
              <w:t>T-25</w:t>
            </w:r>
          </w:p>
        </w:tc>
        <w:tc>
          <w:tcPr>
            <w:tcW w:type="dxa" w:w="8391"/>
            <w:shd w:val="clear" w:color="auto" w:fill="EEF4F9"/>
          </w:tcPr>
          <w:p>
            <w:pPr>
              <w:spacing w:after="20"/>
            </w:pPr>
            <w:r/>
            <w:r>
              <w:rPr>
                <w:sz w:val="19"/>
              </w:rPr>
              <w:t xml:space="preserve">Smoke test: </w:t>
            </w:r>
            <w:r>
              <w:rPr>
                <w:rFonts w:ascii="Consolas" w:hAnsi="Consolas"/>
                <w:sz w:val="19"/>
              </w:rPr>
              <w:t>ms_env\Scripts\python.exe scripts/smoke_ui.py --only market-choice</w:t>
            </w:r>
            <w:r>
              <w:rPr>
                <w:sz w:val="19"/>
              </w:rPr>
              <w:t xml:space="preserve"> must end with ALL PASSED. Then </w:t>
            </w:r>
            <w:r>
              <w:rPr>
                <w:rFonts w:ascii="Consolas" w:hAnsi="Consolas"/>
                <w:sz w:val="19"/>
              </w:rPr>
              <w:t>--only trader-tools/</w:t>
            </w:r>
            <w:r>
              <w:rPr>
                <w:sz w:val="19"/>
              </w:rPr>
              <w:t>.</w:t>
            </w:r>
          </w:p>
        </w:tc>
      </w:tr>
      <w:tr>
        <w:tc>
          <w:tcPr>
            <w:tcW w:type="dxa" w:w="1247"/>
          </w:tcPr>
          <w:p>
            <w:pPr>
              <w:spacing w:after="20"/>
            </w:pPr>
            <w:r/>
            <w:r>
              <w:rPr>
                <w:sz w:val="19"/>
              </w:rPr>
              <w:t>T-20</w:t>
            </w:r>
          </w:p>
        </w:tc>
        <w:tc>
          <w:tcPr>
            <w:tcW w:type="dxa" w:w="8391"/>
          </w:tcPr>
          <w:p>
            <w:pPr>
              <w:spacing w:after="20"/>
            </w:pPr>
            <w:r/>
            <w:r>
              <w:rPr>
                <w:sz w:val="19"/>
              </w:rPr>
              <w:t>Browser tabs, in this order: (1) http://localhost:3000/tools (farmer), (2) /trader-tools/reporting-value, (3) /trader-tools/crowd-simulator, (4) /trader-tools/market-choice, (5) http://localhost:8000/docs. Set the farmer app language to English with the language pill at the top right; you will switch to Kannada on stage.</w:t>
            </w:r>
          </w:p>
        </w:tc>
      </w:tr>
      <w:tr>
        <w:tc>
          <w:tcPr>
            <w:tcW w:type="dxa" w:w="1247"/>
            <w:shd w:val="clear" w:color="auto" w:fill="EEF4F9"/>
          </w:tcPr>
          <w:p>
            <w:pPr>
              <w:spacing w:after="20"/>
            </w:pPr>
            <w:r/>
            <w:r>
              <w:rPr>
                <w:sz w:val="19"/>
              </w:rPr>
              <w:t>T-15</w:t>
            </w:r>
          </w:p>
        </w:tc>
        <w:tc>
          <w:tcPr>
            <w:tcW w:type="dxa" w:w="8391"/>
            <w:shd w:val="clear" w:color="auto" w:fill="EEF4F9"/>
          </w:tcPr>
          <w:p>
            <w:pPr>
              <w:spacing w:after="20"/>
            </w:pPr>
            <w:r/>
            <w:r>
              <w:rPr>
                <w:sz w:val="19"/>
              </w:rPr>
              <w:t>Open the slides in presenter view (notes visible). Press F5 from slide 1. Keep the report PDF open in another window for questions.</w:t>
            </w:r>
          </w:p>
        </w:tc>
      </w:tr>
      <w:tr>
        <w:tc>
          <w:tcPr>
            <w:tcW w:type="dxa" w:w="1247"/>
          </w:tcPr>
          <w:p>
            <w:pPr>
              <w:spacing w:after="20"/>
            </w:pPr>
            <w:r/>
            <w:r>
              <w:rPr>
                <w:sz w:val="19"/>
              </w:rPr>
              <w:t>T-10</w:t>
            </w:r>
          </w:p>
        </w:tc>
        <w:tc>
          <w:tcPr>
            <w:tcW w:type="dxa" w:w="8391"/>
          </w:tcPr>
          <w:p>
            <w:pPr>
              <w:spacing w:after="20"/>
            </w:pPr>
            <w:r/>
            <w:r>
              <w:rPr>
                <w:sz w:val="19"/>
              </w:rPr>
              <w:t>Rehearse the three clicks that matter: Best Place tool, the spoilage slider, the farmers slider. Reset the farmer tool with 'Back to standard costs'.</w:t>
            </w:r>
          </w:p>
        </w:tc>
      </w:tr>
      <w:tr>
        <w:tc>
          <w:tcPr>
            <w:tcW w:type="dxa" w:w="1247"/>
            <w:shd w:val="clear" w:color="auto" w:fill="EEF4F9"/>
          </w:tcPr>
          <w:p>
            <w:pPr>
              <w:spacing w:after="20"/>
            </w:pPr>
            <w:r/>
            <w:r>
              <w:rPr>
                <w:sz w:val="19"/>
              </w:rPr>
              <w:t>T-5</w:t>
            </w:r>
          </w:p>
        </w:tc>
        <w:tc>
          <w:tcPr>
            <w:tcW w:type="dxa" w:w="8391"/>
            <w:shd w:val="clear" w:color="auto" w:fill="EEF4F9"/>
          </w:tcPr>
          <w:p>
            <w:pPr>
              <w:spacing w:after="20"/>
            </w:pPr>
            <w:r/>
            <w:r>
              <w:rPr>
                <w:sz w:val="19"/>
              </w:rPr>
              <w:t>Silence notifications. Turn the phone brightness up and rotate nothing. Have the backup images ready (the slides contain screenshots of every screen).</w:t>
            </w:r>
          </w:p>
        </w:tc>
      </w:tr>
    </w:tbl>
    <w:p>
      <w:pPr>
        <w:spacing w:after="40"/>
      </w:pPr>
    </w:p>
    <w:p>
      <w:r>
        <w:br w:type="page"/>
      </w:r>
    </w:p>
    <w:p>
      <w:pPr>
        <w:pStyle w:val="Heading1"/>
      </w:pPr>
      <w:r>
        <w:t>Slide-by-slide script</w:t>
      </w:r>
    </w:p>
    <w:p>
      <w:pPr>
        <w:pStyle w:val="Heading2"/>
      </w:pPr>
      <w:r>
        <w:t>Slide 1 · Title</w:t>
      </w:r>
    </w:p>
    <w:p>
      <w:pPr>
        <w:spacing w:after="40"/>
      </w:pPr>
      <w:r>
        <w:rPr>
          <w:b w:val="0"/>
          <w:i/>
          <w:color w:val="1F4E79"/>
          <w:sz w:val="19"/>
        </w:rPr>
        <w:t>[CORE · about 0.5 min]</w:t>
      </w:r>
    </w:p>
    <w:p>
      <w:pPr>
        <w:spacing w:after="20"/>
      </w:pPr>
      <w:r>
        <w:rPr>
          <w:b/>
          <w:i w:val="0"/>
          <w:color w:val="1F2A44"/>
          <w:sz w:val="19"/>
        </w:rPr>
        <w:t>SAY</w:t>
      </w:r>
    </w:p>
    <w:p>
      <w:pPr>
        <w:spacing w:after="60"/>
      </w:pPr>
      <w:r>
        <w:rPr>
          <w:sz w:val="21"/>
        </w:rPr>
        <w:t>Good morning, respected panel. We are Srijan, Manohara and Shreejith, and our guide is Dr. Kalyan N.</w:t>
      </w:r>
    </w:p>
    <w:p>
      <w:pPr>
        <w:spacing w:after="60"/>
      </w:pPr>
      <w:r>
        <w:rPr>
          <w:sz w:val="21"/>
        </w:rPr>
        <w:t>Our project is MandiSense AI. It answers one question for a farmer in the Bengaluru and Kolar belt: where should I sell this load, and should I wait. It also states a minimum amount the farmer can count on, and we have tested that minimum.</w:t>
      </w:r>
    </w:p>
    <w:p>
      <w:pPr>
        <w:spacing w:after="60"/>
      </w:pPr>
      <w:r>
        <w:rPr>
          <w:sz w:val="21"/>
        </w:rPr>
        <w:t>In the next twenty-odd minutes we will show the method, the results including what did not work, a live demonstration, and our plan and status.</w:t>
      </w:r>
    </w:p>
    <w:p>
      <w:pPr>
        <w:spacing w:after="20"/>
      </w:pPr>
      <w:r>
        <w:rPr>
          <w:b/>
          <w:i w:val="0"/>
          <w:color w:val="1F2A44"/>
          <w:sz w:val="19"/>
        </w:rPr>
        <w:t>SHOW / CLICK</w:t>
      </w:r>
    </w:p>
    <w:p>
      <w:pPr>
        <w:spacing w:after="60"/>
      </w:pPr>
      <w:r>
        <w:rPr>
          <w:sz w:val="21"/>
        </w:rPr>
        <w:t>Title slide. Stand still; do not read the title aloud, say the project name once.</w:t>
      </w:r>
    </w:p>
    <w:p>
      <w:pPr>
        <w:spacing w:after="120"/>
      </w:pPr>
      <w:r>
        <w:rPr>
          <w:b/>
          <w:sz w:val="20"/>
        </w:rPr>
        <w:t>Transition:</w:t>
      </w:r>
      <w:r>
        <w:rPr>
          <w:sz w:val="20"/>
        </w:rPr>
        <w:t xml:space="preserve"> Move to contents.</w:t>
      </w:r>
    </w:p>
    <w:p>
      <w:pPr>
        <w:pStyle w:val="Heading2"/>
      </w:pPr>
      <w:r>
        <w:t>Slide 2 · Table of contents</w:t>
      </w:r>
    </w:p>
    <w:p>
      <w:pPr>
        <w:spacing w:after="40"/>
      </w:pPr>
      <w:r>
        <w:rPr>
          <w:b w:val="0"/>
          <w:i/>
          <w:color w:val="1F4E79"/>
          <w:sz w:val="19"/>
        </w:rPr>
        <w:t>[CORE · about 0.3 min]</w:t>
      </w:r>
    </w:p>
    <w:p>
      <w:pPr>
        <w:spacing w:after="20"/>
      </w:pPr>
      <w:r>
        <w:rPr>
          <w:b/>
          <w:i w:val="0"/>
          <w:color w:val="1F2A44"/>
          <w:sz w:val="19"/>
        </w:rPr>
        <w:t>SAY</w:t>
      </w:r>
    </w:p>
    <w:p>
      <w:pPr>
        <w:spacing w:after="60"/>
      </w:pPr>
      <w:r>
        <w:rPr>
          <w:sz w:val="21"/>
        </w:rPr>
        <w:t>The deck follows the review rubric: introduction and objectives, method, implementation with the live demonstration, results and benchmarking, novelty and optimisation, planning and risk, report and SDGs, paper status, and conclusion.</w:t>
      </w:r>
    </w:p>
    <w:p>
      <w:pPr>
        <w:spacing w:after="20"/>
      </w:pPr>
      <w:r>
        <w:rPr>
          <w:b/>
          <w:i w:val="0"/>
          <w:color w:val="1F2A44"/>
          <w:sz w:val="19"/>
        </w:rPr>
        <w:t>SHOW / CLICK</w:t>
      </w:r>
    </w:p>
    <w:p>
      <w:pPr>
        <w:spacing w:after="60"/>
      </w:pPr>
      <w:r>
        <w:rPr>
          <w:sz w:val="21"/>
        </w:rPr>
        <w:t>Contents. Do not linger.</w:t>
      </w:r>
    </w:p>
    <w:p>
      <w:pPr>
        <w:pStyle w:val="Heading2"/>
      </w:pPr>
      <w:r>
        <w:t>Slide 3 · Introduction and problem statement</w:t>
      </w:r>
    </w:p>
    <w:p>
      <w:pPr>
        <w:spacing w:after="40"/>
      </w:pPr>
      <w:r>
        <w:rPr>
          <w:b w:val="0"/>
          <w:i/>
          <w:color w:val="1F4E79"/>
          <w:sz w:val="19"/>
        </w:rPr>
        <w:t>[CORE · about 1.5 min]</w:t>
      </w:r>
    </w:p>
    <w:p>
      <w:pPr>
        <w:spacing w:after="20"/>
      </w:pPr>
      <w:r>
        <w:rPr>
          <w:b/>
          <w:i w:val="0"/>
          <w:color w:val="1F2A44"/>
          <w:sz w:val="19"/>
        </w:rPr>
        <w:t>SAY</w:t>
      </w:r>
    </w:p>
    <w:p>
      <w:pPr>
        <w:spacing w:after="60"/>
      </w:pPr>
      <w:r>
        <w:rPr>
          <w:sz w:val="21"/>
        </w:rPr>
        <w:t>A farmer in Kolar chooses a mandi and a day using only yesterday's price. That is a poor guide. This chart is tomato at Kolar APMC over five years: the modal price ranged from one hundred rupees to more than nine thousand per quintal, and on one hundred and eighty-nine of two thousand one hundred and twenty-five calendar days the mandi posted no price at all. The red marks are those silent days.</w:t>
      </w:r>
    </w:p>
    <w:p>
      <w:pPr>
        <w:spacing w:after="60"/>
      </w:pPr>
      <w:r>
        <w:rPr>
          <w:sz w:val="21"/>
        </w:rPr>
        <w:t>So the problem is a decision, not a forecast: choose a mandi and a holding period, zero to three days, or the farm gate, to maximise what the farmer actually keeps after transport, fees and spoilage, and state a minimum that holds.</w:t>
      </w:r>
    </w:p>
    <w:p>
      <w:pPr>
        <w:spacing w:after="60"/>
      </w:pPr>
      <w:r>
        <w:rPr>
          <w:sz w:val="21"/>
        </w:rPr>
        <w:t>The gap in the literature is that price models are judged on forecast error, they ignore that mandis go silent, and the large gains reported by decompose-then-forecast models were never audited.</w:t>
      </w:r>
    </w:p>
    <w:p>
      <w:pPr>
        <w:spacing w:after="60"/>
      </w:pPr>
      <w:r>
        <w:rPr>
          <w:sz w:val="21"/>
        </w:rPr>
        <w:t>We used sixty-three thousand real Agmarknet records, thirty-six thousand eight hundred mandi-days, for tomato, onion, potato and ginger. Garlic is refused by design because only one mandi has enough reports, so there is no choice to make.</w:t>
      </w:r>
    </w:p>
    <w:p>
      <w:pPr>
        <w:spacing w:after="20"/>
      </w:pPr>
      <w:r>
        <w:rPr>
          <w:b/>
          <w:i w:val="0"/>
          <w:color w:val="1F2A44"/>
          <w:sz w:val="19"/>
        </w:rPr>
        <w:t>SHOW / CLICK</w:t>
      </w:r>
    </w:p>
    <w:p>
      <w:pPr>
        <w:spacing w:after="60"/>
      </w:pPr>
      <w:r>
        <w:rPr>
          <w:sz w:val="21"/>
        </w:rPr>
        <w:t>Point at the red marks on the chart, then at the three stat boxes.</w:t>
      </w:r>
    </w:p>
    <w:p>
      <w:pPr>
        <w:spacing w:after="20"/>
      </w:pPr>
      <w:r>
        <w:rPr>
          <w:b/>
          <w:i w:val="0"/>
          <w:color w:val="1F2A44"/>
          <w:sz w:val="19"/>
        </w:rPr>
        <w:t>NUMBERS TO QUOTE</w:t>
      </w:r>
    </w:p>
    <w:p>
      <w:pPr>
        <w:pStyle w:val="ListBullet"/>
        <w:spacing w:after="20"/>
      </w:pPr>
      <w:r>
        <w:rPr>
          <w:sz w:val="21"/>
        </w:rPr>
        <w:t>63,524 records; 36,821 mandi-days</w:t>
      </w:r>
    </w:p>
    <w:p>
      <w:pPr>
        <w:pStyle w:val="ListBullet"/>
        <w:spacing w:after="20"/>
      </w:pPr>
      <w:r>
        <w:rPr>
          <w:sz w:val="21"/>
        </w:rPr>
        <w:t>Tomato Kolar: Rs 100 to Rs 9,330 per quintal</w:t>
      </w:r>
    </w:p>
    <w:p>
      <w:pPr>
        <w:pStyle w:val="ListBullet"/>
        <w:spacing w:after="20"/>
      </w:pPr>
      <w:r>
        <w:rPr>
          <w:sz w:val="21"/>
        </w:rPr>
        <w:t>189 silent days of 2,125</w:t>
      </w:r>
    </w:p>
    <w:p>
      <w:pPr>
        <w:pStyle w:val="ListBullet"/>
        <w:spacing w:after="20"/>
      </w:pPr>
      <w:r>
        <w:rPr>
          <w:sz w:val="21"/>
        </w:rPr>
        <w:t>Garlic refused: one eligible mandi</w:t>
      </w:r>
    </w:p>
    <w:p>
      <w:pPr>
        <w:spacing w:after="20"/>
      </w:pPr>
      <w:r>
        <w:rPr>
          <w:b/>
          <w:i w:val="0"/>
          <w:color w:val="1F2A44"/>
          <w:sz w:val="19"/>
        </w:rPr>
        <w:t>IF ASKED</w:t>
      </w:r>
    </w:p>
    <w:p>
      <w:pPr>
        <w:spacing w:after="20"/>
      </w:pPr>
      <w:r>
        <w:rPr>
          <w:b/>
          <w:sz w:val="21"/>
        </w:rPr>
        <w:t>Q:</w:t>
      </w:r>
      <w:r>
        <w:rPr>
          <w:sz w:val="21"/>
        </w:rPr>
        <w:t xml:space="preserve"> Why not just forecast the price?</w:t>
      </w:r>
    </w:p>
    <w:p>
      <w:pPr>
        <w:spacing w:after="60"/>
      </w:pPr>
      <w:r>
        <w:rPr>
          <w:b/>
          <w:sz w:val="21"/>
        </w:rPr>
        <w:t>A:</w:t>
      </w:r>
      <w:r>
        <w:rPr>
          <w:sz w:val="21"/>
        </w:rPr>
        <w:t xml:space="preserve"> Because a forecast is only useful through the decision it supports. We train on what the farmer would have received, including the cost of a silent mandi, and we show that this matters more than the forecasting model.</w:t>
      </w:r>
    </w:p>
    <w:p>
      <w:pPr>
        <w:spacing w:after="20"/>
      </w:pPr>
      <w:r>
        <w:rPr>
          <w:b/>
          <w:sz w:val="21"/>
        </w:rPr>
        <w:t>Q:</w:t>
      </w:r>
      <w:r>
        <w:rPr>
          <w:sz w:val="21"/>
        </w:rPr>
        <w:t xml:space="preserve"> Is the data real?</w:t>
      </w:r>
    </w:p>
    <w:p>
      <w:pPr>
        <w:spacing w:after="60"/>
      </w:pPr>
      <w:r>
        <w:rPr>
          <w:b/>
          <w:sz w:val="21"/>
        </w:rPr>
        <w:t>A:</w:t>
      </w:r>
      <w:r>
        <w:rPr>
          <w:sz w:val="21"/>
        </w:rPr>
        <w:t xml:space="preserve"> Yes. Two Agmarknet exports that agree on 3,307 overlapping tomato market-days (correlation 0.99996). There is no synthetic data in any result. An early synthetic dataset was found and removed; it is in our risk register.</w:t>
      </w:r>
    </w:p>
    <w:p>
      <w:pPr>
        <w:spacing w:after="120"/>
      </w:pPr>
      <w:r>
        <w:rPr>
          <w:b/>
          <w:sz w:val="20"/>
        </w:rPr>
        <w:t>Transition:</w:t>
      </w:r>
      <w:r>
        <w:rPr>
          <w:sz w:val="20"/>
        </w:rPr>
        <w:t xml:space="preserve"> Now the objectives and where each one stands.</w:t>
      </w:r>
    </w:p>
    <w:p>
      <w:pPr>
        <w:pStyle w:val="Heading2"/>
      </w:pPr>
      <w:r>
        <w:t>Slide 4 · Objectives</w:t>
      </w:r>
    </w:p>
    <w:p>
      <w:pPr>
        <w:spacing w:after="40"/>
      </w:pPr>
      <w:r>
        <w:rPr>
          <w:b w:val="0"/>
          <w:i/>
          <w:color w:val="1F4E79"/>
          <w:sz w:val="19"/>
        </w:rPr>
        <w:t>[CORE · about 1.5 min]</w:t>
      </w:r>
    </w:p>
    <w:p>
      <w:pPr>
        <w:spacing w:after="20"/>
      </w:pPr>
      <w:r>
        <w:rPr>
          <w:b/>
          <w:i w:val="0"/>
          <w:color w:val="1F2A44"/>
          <w:sz w:val="19"/>
        </w:rPr>
        <w:t>SAY</w:t>
      </w:r>
    </w:p>
    <w:p>
      <w:pPr>
        <w:spacing w:after="60"/>
      </w:pPr>
      <w:r>
        <w:rPr>
          <w:sz w:val="21"/>
        </w:rPr>
        <w:t>We set ten objectives and the status of each is on the slide, including the ones that did not fully succeed.</w:t>
      </w:r>
    </w:p>
    <w:p>
      <w:pPr>
        <w:spacing w:after="60"/>
      </w:pPr>
      <w:r>
        <w:rPr>
          <w:sz w:val="21"/>
        </w:rPr>
        <w:t>Seven are met: the data panel, the revenue model, the label and loss tests, the application and pipeline, the leakage audit, the grounded language briefs, and the five insight features.</w:t>
      </w:r>
    </w:p>
    <w:p>
      <w:pPr>
        <w:spacing w:after="60"/>
      </w:pPr>
      <w:r>
        <w:rPr>
          <w:sz w:val="21"/>
        </w:rPr>
        <w:t>One is partly met: the floor. We aimed for the violation rate to be within two points of ten percent; tomato and ginger meet that, onion and potato were more cautious than needed.</w:t>
      </w:r>
    </w:p>
    <w:p>
      <w:pPr>
        <w:spacing w:after="60"/>
      </w:pPr>
      <w:r>
        <w:rPr>
          <w:sz w:val="21"/>
        </w:rPr>
        <w:t>One is a null result: spillover between crops. The engine ran on all forty combinations and published none, because no shock episode reached the evidence floor. We report that rather than force a number.</w:t>
      </w:r>
    </w:p>
    <w:p>
      <w:pPr>
        <w:spacing w:after="60"/>
      </w:pPr>
      <w:r>
        <w:rPr>
          <w:sz w:val="21"/>
        </w:rPr>
        <w:t>The last, the morning digest, is built and tested and you will see it live in a few minutes.</w:t>
      </w:r>
    </w:p>
    <w:p>
      <w:pPr>
        <w:spacing w:after="20"/>
      </w:pPr>
      <w:r>
        <w:rPr>
          <w:b/>
          <w:i w:val="0"/>
          <w:color w:val="1F2A44"/>
          <w:sz w:val="19"/>
        </w:rPr>
        <w:t>SHOW / CLICK</w:t>
      </w:r>
    </w:p>
    <w:p>
      <w:pPr>
        <w:spacing w:after="60"/>
      </w:pPr>
      <w:r>
        <w:rPr>
          <w:sz w:val="21"/>
        </w:rPr>
        <w:t>Run a finger down the Status column: green, one orange, one red, then the last row.</w:t>
      </w:r>
    </w:p>
    <w:p>
      <w:pPr>
        <w:spacing w:after="20"/>
      </w:pPr>
      <w:r>
        <w:rPr>
          <w:b/>
          <w:i w:val="0"/>
          <w:color w:val="1F2A44"/>
          <w:sz w:val="19"/>
        </w:rPr>
        <w:t>NUMBERS TO QUOTE</w:t>
      </w:r>
    </w:p>
    <w:p>
      <w:pPr>
        <w:pStyle w:val="ListBullet"/>
        <w:spacing w:after="20"/>
      </w:pPr>
      <w:r>
        <w:rPr>
          <w:sz w:val="21"/>
        </w:rPr>
        <w:t>7 met · 1 partly · 1 null result · 1 built and tested</w:t>
      </w:r>
    </w:p>
    <w:p>
      <w:pPr>
        <w:pStyle w:val="ListBullet"/>
        <w:spacing w:after="20"/>
      </w:pPr>
      <w:r>
        <w:rPr>
          <w:sz w:val="21"/>
        </w:rPr>
        <w:t>650 tests then; 669 backend tests and 11 web tests now</w:t>
      </w:r>
    </w:p>
    <w:p>
      <w:pPr>
        <w:spacing w:after="20"/>
      </w:pPr>
      <w:r>
        <w:rPr>
          <w:b/>
          <w:i w:val="0"/>
          <w:color w:val="1F2A44"/>
          <w:sz w:val="19"/>
        </w:rPr>
        <w:t>IF ASKED</w:t>
      </w:r>
    </w:p>
    <w:p>
      <w:pPr>
        <w:spacing w:after="20"/>
      </w:pPr>
      <w:r>
        <w:rPr>
          <w:b/>
          <w:sz w:val="21"/>
        </w:rPr>
        <w:t>Q:</w:t>
      </w:r>
      <w:r>
        <w:rPr>
          <w:sz w:val="21"/>
        </w:rPr>
        <w:t xml:space="preserve"> Why report a null result?</w:t>
      </w:r>
    </w:p>
    <w:p>
      <w:pPr>
        <w:spacing w:after="60"/>
      </w:pPr>
      <w:r>
        <w:rPr>
          <w:b/>
          <w:sz w:val="21"/>
        </w:rPr>
        <w:t>A:</w:t>
      </w:r>
      <w:r>
        <w:rPr>
          <w:sz w:val="21"/>
        </w:rPr>
        <w:t xml:space="preserve"> Because publishing an unsupported number is worse. The engine's rule is to publish an edge only with at least eight shock episodes. It found zero. We also state that this points to a gap in the shock-labelling step, which is in future work.</w:t>
      </w:r>
    </w:p>
    <w:p>
      <w:pPr>
        <w:spacing w:after="20"/>
      </w:pPr>
      <w:r>
        <w:rPr>
          <w:b/>
          <w:sz w:val="21"/>
        </w:rPr>
        <w:t>Q:</w:t>
      </w:r>
      <w:r>
        <w:rPr>
          <w:sz w:val="21"/>
        </w:rPr>
        <w:t xml:space="preserve"> Is objective 4 really failed?</w:t>
      </w:r>
    </w:p>
    <w:p>
      <w:pPr>
        <w:spacing w:after="60"/>
      </w:pPr>
      <w:r>
        <w:rPr>
          <w:b/>
          <w:sz w:val="21"/>
        </w:rPr>
        <w:t>A:</w:t>
      </w:r>
      <w:r>
        <w:rPr>
          <w:sz w:val="21"/>
        </w:rPr>
        <w:t xml:space="preserve"> Partly met. At the 10 percent level tomato violated 9.0 percent and ginger 10.5, onion 6.3 and potato 6.9. The cautious side is the safe side, but it misses the stated two-point band.</w:t>
      </w:r>
    </w:p>
    <w:p>
      <w:pPr>
        <w:spacing w:after="120"/>
      </w:pPr>
      <w:r>
        <w:rPr>
          <w:b/>
          <w:sz w:val="20"/>
        </w:rPr>
        <w:t>Transition:</w:t>
      </w:r>
      <w:r>
        <w:rPr>
          <w:sz w:val="20"/>
        </w:rPr>
        <w:t xml:space="preserve"> Next, the method in plain language.</w:t>
      </w:r>
    </w:p>
    <w:p>
      <w:pPr>
        <w:pStyle w:val="Heading2"/>
      </w:pPr>
      <w:r>
        <w:t>Slide 5 · Methodology and architecture</w:t>
      </w:r>
    </w:p>
    <w:p>
      <w:pPr>
        <w:spacing w:after="40"/>
      </w:pPr>
      <w:r>
        <w:rPr>
          <w:b w:val="0"/>
          <w:i/>
          <w:color w:val="1F4E79"/>
          <w:sz w:val="19"/>
        </w:rPr>
        <w:t>[CORE · about 2 min]</w:t>
      </w:r>
    </w:p>
    <w:p>
      <w:pPr>
        <w:spacing w:after="20"/>
      </w:pPr>
      <w:r>
        <w:rPr>
          <w:b/>
          <w:i w:val="0"/>
          <w:color w:val="1F2A44"/>
          <w:sz w:val="19"/>
        </w:rPr>
        <w:t>SAY</w:t>
      </w:r>
    </w:p>
    <w:p>
      <w:pPr>
        <w:spacing w:after="60"/>
      </w:pPr>
      <w:r>
        <w:rPr>
          <w:sz w:val="21"/>
        </w:rPr>
        <w:t>The idea is simple. A conventional model predicts the posted price and picks the best predicted market. But it never sees a silent market, so it cannot learn that a mandi may be closed. We instead train on what the farmer would actually receive: price after the fee, after spoilage while waiting, after transport, and a penalty if the mandi turns out silent.</w:t>
      </w:r>
    </w:p>
    <w:p>
      <w:pPr>
        <w:spacing w:after="60"/>
      </w:pPr>
      <w:r>
        <w:rPr>
          <w:sz w:val="21"/>
        </w:rPr>
        <w:t>The action is a mandi and a holding period, or the farm gate. The recommendation is the action with the best guaranteed revenue, using an adaptive conformal floor.</w:t>
      </w:r>
    </w:p>
    <w:p>
      <w:pPr>
        <w:spacing w:after="60"/>
      </w:pPr>
      <w:r>
        <w:rPr>
          <w:sz w:val="21"/>
        </w:rPr>
        <w:t>We rejected two alternatives: predict-then-optimise on posted prices, and decompose-then-forecast hybrids, because they never see silent markets and, as our audit shows, they leak the future.</w:t>
      </w:r>
    </w:p>
    <w:p>
      <w:pPr>
        <w:spacing w:after="60"/>
      </w:pPr>
      <w:r>
        <w:rPr>
          <w:sz w:val="21"/>
        </w:rPr>
        <w:t>The architecture: Agmarknet exports are cleaned and audited into a market panel; engines, forecasters and the shock study feed one FastAPI service; a language layer, the insight features and a Telegram bot sit on top; the Next.js app serves English, Kannada and Hindi.</w:t>
      </w:r>
    </w:p>
    <w:p>
      <w:pPr>
        <w:spacing w:after="20"/>
      </w:pPr>
      <w:r>
        <w:rPr>
          <w:b/>
          <w:i w:val="0"/>
          <w:color w:val="1F2A44"/>
          <w:sz w:val="19"/>
        </w:rPr>
        <w:t>SHOW / CLICK</w:t>
      </w:r>
    </w:p>
    <w:p>
      <w:pPr>
        <w:spacing w:after="60"/>
      </w:pPr>
      <w:r>
        <w:rPr>
          <w:sz w:val="21"/>
        </w:rPr>
        <w:t>Trace the arrows left to right: exports, clean, panel, three engines, FastAPI, Next.js. Point at the orange language box and the Telegram bot box.</w:t>
      </w:r>
    </w:p>
    <w:p>
      <w:pPr>
        <w:spacing w:after="20"/>
      </w:pPr>
      <w:r>
        <w:rPr>
          <w:b/>
          <w:i w:val="0"/>
          <w:color w:val="1F2A44"/>
          <w:sz w:val="19"/>
        </w:rPr>
        <w:t>NUMBERS TO QUOTE</w:t>
      </w:r>
    </w:p>
    <w:p>
      <w:pPr>
        <w:pStyle w:val="ListBullet"/>
        <w:spacing w:after="20"/>
      </w:pPr>
      <w:r>
        <w:rPr>
          <w:sz w:val="21"/>
        </w:rPr>
        <w:t>Five layers: data, model, service, language, presentation</w:t>
      </w:r>
    </w:p>
    <w:p>
      <w:pPr>
        <w:pStyle w:val="ListBullet"/>
        <w:spacing w:after="20"/>
      </w:pPr>
      <w:r>
        <w:rPr>
          <w:sz w:val="21"/>
        </w:rPr>
        <w:t>No synthetic data in any result</w:t>
      </w:r>
    </w:p>
    <w:p>
      <w:pPr>
        <w:spacing w:after="20"/>
      </w:pPr>
      <w:r>
        <w:rPr>
          <w:b/>
          <w:i w:val="0"/>
          <w:color w:val="1F2A44"/>
          <w:sz w:val="19"/>
        </w:rPr>
        <w:t>IF ASKED</w:t>
      </w:r>
    </w:p>
    <w:p>
      <w:pPr>
        <w:spacing w:after="20"/>
      </w:pPr>
      <w:r>
        <w:rPr>
          <w:b/>
          <w:sz w:val="21"/>
        </w:rPr>
        <w:t>Q:</w:t>
      </w:r>
      <w:r>
        <w:rPr>
          <w:sz w:val="21"/>
        </w:rPr>
        <w:t xml:space="preserve"> Why conformal and not a normal-distribution floor?</w:t>
      </w:r>
    </w:p>
    <w:p>
      <w:pPr>
        <w:spacing w:after="60"/>
      </w:pPr>
      <w:r>
        <w:rPr>
          <w:b/>
          <w:sz w:val="21"/>
        </w:rPr>
        <w:t>A:</w:t>
      </w:r>
      <w:r>
        <w:rPr>
          <w:sz w:val="21"/>
        </w:rPr>
        <w:t xml:space="preserve"> A normal floor assumes normal errors; on our data it was breached on 26 to 35 percent of days in three crops when the target was 10 percent. Conformal inference gives a coverage guarantee under shift, and we calibrate it online with delayed feedback.</w:t>
      </w:r>
    </w:p>
    <w:p>
      <w:pPr>
        <w:spacing w:after="120"/>
      </w:pPr>
      <w:r>
        <w:rPr>
          <w:b/>
          <w:sz w:val="20"/>
        </w:rPr>
        <w:t>Transition:</w:t>
      </w:r>
      <w:r>
        <w:rPr>
          <w:sz w:val="20"/>
        </w:rPr>
        <w:t xml:space="preserve"> Now the formulation, with every symbol defined.</w:t>
      </w:r>
    </w:p>
    <w:p>
      <w:pPr>
        <w:pStyle w:val="Heading2"/>
      </w:pPr>
      <w:r>
        <w:t>Slide 6 · Key formulation</w:t>
      </w:r>
    </w:p>
    <w:p>
      <w:pPr>
        <w:spacing w:after="40"/>
      </w:pPr>
      <w:r>
        <w:rPr>
          <w:b w:val="0"/>
          <w:i/>
          <w:color w:val="1F4E79"/>
          <w:sz w:val="19"/>
        </w:rPr>
        <w:t>[SKIP IF SHORT · about 1.5 min]</w:t>
      </w:r>
    </w:p>
    <w:p>
      <w:pPr>
        <w:spacing w:after="20"/>
      </w:pPr>
      <w:r>
        <w:rPr>
          <w:b/>
          <w:i w:val="0"/>
          <w:color w:val="1F2A44"/>
          <w:sz w:val="19"/>
        </w:rPr>
        <w:t>SAY</w:t>
      </w:r>
    </w:p>
    <w:p>
      <w:pPr>
        <w:spacing w:after="60"/>
      </w:pPr>
      <w:r>
        <w:rPr>
          <w:sz w:val="21"/>
        </w:rPr>
        <w:t>Three formulas. The first is the revenue of an action: the price after the fee, after spoilage for each day of waiting, minus transport and handling. If the mandi is silent the farmer gets a fraction of the day's mean price instead.</w:t>
      </w:r>
    </w:p>
    <w:p>
      <w:pPr>
        <w:spacing w:after="60"/>
      </w:pPr>
      <w:r>
        <w:rPr>
          <w:sz w:val="21"/>
        </w:rPr>
        <w:t>The second is the decision-focused loss, SPO-plus, which trains the model on the regret of the decision. It is exact here because revenue is linear in prices.</w:t>
      </w:r>
    </w:p>
    <w:p>
      <w:pPr>
        <w:spacing w:after="60"/>
      </w:pPr>
      <w:r>
        <w:rPr>
          <w:sz w:val="21"/>
        </w:rPr>
        <w:t>The third is the floor: the predicted revenue minus a multiple of the recent error, and the confidence level updates after each outcome, but only once the sale date has passed, because a three-day hold resolves three days later.</w:t>
      </w:r>
    </w:p>
    <w:p>
      <w:pPr>
        <w:spacing w:after="60"/>
      </w:pPr>
      <w:r>
        <w:rPr>
          <w:sz w:val="21"/>
        </w:rPr>
        <w:t>The cost parameters are scenario assumptions, not estimates. We sweep them and the conclusions hold across ten settings per crop.</w:t>
      </w:r>
    </w:p>
    <w:p>
      <w:pPr>
        <w:spacing w:after="20"/>
      </w:pPr>
      <w:r>
        <w:rPr>
          <w:b/>
          <w:i w:val="0"/>
          <w:color w:val="1F2A44"/>
          <w:sz w:val="19"/>
        </w:rPr>
        <w:t>SHOW / CLICK</w:t>
      </w:r>
    </w:p>
    <w:p>
      <w:pPr>
        <w:spacing w:after="60"/>
      </w:pPr>
      <w:r>
        <w:rPr>
          <w:sz w:val="21"/>
        </w:rPr>
        <w:t>Do not read symbols. Point at the three boxes and the parameter table on the right.</w:t>
      </w:r>
    </w:p>
    <w:p>
      <w:pPr>
        <w:spacing w:after="20"/>
      </w:pPr>
      <w:r>
        <w:rPr>
          <w:b/>
          <w:i w:val="0"/>
          <w:color w:val="1F2A44"/>
          <w:sz w:val="19"/>
        </w:rPr>
        <w:t>NUMBERS TO QUOTE</w:t>
      </w:r>
    </w:p>
    <w:p>
      <w:pPr>
        <w:pStyle w:val="ListBullet"/>
        <w:spacing w:after="20"/>
      </w:pPr>
      <w:r>
        <w:rPr>
          <w:sz w:val="21"/>
        </w:rPr>
        <w:t>Fee 4 percent; handling Rs 20; transport Rs 0.35 per quintal-km; spoilage 3, 0.8, 0.4 percent a day</w:t>
      </w:r>
    </w:p>
    <w:p>
      <w:pPr>
        <w:spacing w:after="20"/>
      </w:pPr>
      <w:r>
        <w:rPr>
          <w:b/>
          <w:i w:val="0"/>
          <w:color w:val="1F2A44"/>
          <w:sz w:val="19"/>
        </w:rPr>
        <w:t>IF ASKED</w:t>
      </w:r>
    </w:p>
    <w:p>
      <w:pPr>
        <w:spacing w:after="20"/>
      </w:pPr>
      <w:r>
        <w:rPr>
          <w:b/>
          <w:sz w:val="21"/>
        </w:rPr>
        <w:t>Q:</w:t>
      </w:r>
      <w:r>
        <w:rPr>
          <w:sz w:val="21"/>
        </w:rPr>
        <w:t xml:space="preserve"> Where do the parameters come from?</w:t>
      </w:r>
    </w:p>
    <w:p>
      <w:pPr>
        <w:spacing w:after="60"/>
      </w:pPr>
      <w:r>
        <w:rPr>
          <w:b/>
          <w:sz w:val="21"/>
        </w:rPr>
        <w:t>A:</w:t>
      </w:r>
      <w:r>
        <w:rPr>
          <w:sz w:val="21"/>
        </w:rPr>
        <w:t xml:space="preserve"> They are scenario assumptions and the app shows them. The farmer can change them in the what-if panel, and we report sensitivity across ten settings per crop.</w:t>
      </w:r>
    </w:p>
    <w:p>
      <w:pPr>
        <w:spacing w:after="120"/>
      </w:pPr>
      <w:r>
        <w:rPr>
          <w:b/>
          <w:sz w:val="20"/>
        </w:rPr>
        <w:t>Transition:</w:t>
      </w:r>
      <w:r>
        <w:rPr>
          <w:sz w:val="20"/>
        </w:rPr>
        <w:t xml:space="preserve"> Two supporting services: grounded briefs and spillover.</w:t>
      </w:r>
    </w:p>
    <w:p>
      <w:pPr>
        <w:pStyle w:val="Heading2"/>
      </w:pPr>
      <w:r>
        <w:t>Slide 7 · Decision intelligence and spillover</w:t>
      </w:r>
    </w:p>
    <w:p>
      <w:pPr>
        <w:spacing w:after="40"/>
      </w:pPr>
      <w:r>
        <w:rPr>
          <w:b w:val="0"/>
          <w:i/>
          <w:color w:val="1F4E79"/>
          <w:sz w:val="19"/>
        </w:rPr>
        <w:t>[SKIP IF SHORT · about 1.5 min]</w:t>
      </w:r>
    </w:p>
    <w:p>
      <w:pPr>
        <w:spacing w:after="20"/>
      </w:pPr>
      <w:r>
        <w:rPr>
          <w:b/>
          <w:i w:val="0"/>
          <w:color w:val="1F2A44"/>
          <w:sz w:val="19"/>
        </w:rPr>
        <w:t>SAY</w:t>
      </w:r>
    </w:p>
    <w:p>
      <w:pPr>
        <w:spacing w:after="60"/>
      </w:pPr>
      <w:r>
        <w:rPr>
          <w:sz w:val="21"/>
        </w:rPr>
        <w:t>Two supporting components, each with the same rule: publish a claim only when the evidence supports it.</w:t>
      </w:r>
    </w:p>
    <w:p>
      <w:pPr>
        <w:spacing w:after="60"/>
      </w:pPr>
      <w:r>
        <w:rPr>
          <w:sz w:val="21"/>
        </w:rPr>
        <w:t>On the left, the decision-intelligence service. It gathers an evidence bundle, asks a language model to fill a fixed schema, and a verifier checks every figure against the evidence within one percent and every cited key. A brief that fails is shown as ungrounded with the issues listed; a failing provider falls back to rules. An independent judge model caught all nine deliberately corrupted explanations and rejected none of three faithful ones; the sample is small and we say so.</w:t>
      </w:r>
    </w:p>
    <w:p>
      <w:pPr>
        <w:spacing w:after="60"/>
      </w:pPr>
      <w:r>
        <w:rPr>
          <w:sz w:val="21"/>
        </w:rPr>
        <w:t>On the right, the spillover engine: weekly returns of five crops, the common market factor and seasonality removed, shock episodes, a bootstrap over episodes and false-discovery control. It needs eight episodes per edge. It found none, so it published none.</w:t>
      </w:r>
    </w:p>
    <w:p>
      <w:pPr>
        <w:spacing w:after="20"/>
      </w:pPr>
      <w:r>
        <w:rPr>
          <w:b/>
          <w:i w:val="0"/>
          <w:color w:val="1F2A44"/>
          <w:sz w:val="19"/>
        </w:rPr>
        <w:t>SHOW / CLICK</w:t>
      </w:r>
    </w:p>
    <w:p>
      <w:pPr>
        <w:spacing w:after="60"/>
      </w:pPr>
      <w:r>
        <w:rPr>
          <w:sz w:val="21"/>
        </w:rPr>
        <w:t>Left card then right card.</w:t>
      </w:r>
    </w:p>
    <w:p>
      <w:pPr>
        <w:spacing w:after="20"/>
      </w:pPr>
      <w:r>
        <w:rPr>
          <w:b/>
          <w:i w:val="0"/>
          <w:color w:val="1F2A44"/>
          <w:sz w:val="19"/>
        </w:rPr>
        <w:t>NUMBERS TO QUOTE</w:t>
      </w:r>
    </w:p>
    <w:p>
      <w:pPr>
        <w:pStyle w:val="ListBullet"/>
        <w:spacing w:after="20"/>
      </w:pPr>
      <w:r>
        <w:rPr>
          <w:sz w:val="21"/>
        </w:rPr>
        <w:t>Judge: 9 of 9 corrupted caught, 0 of 3 faithful rejected</w:t>
      </w:r>
    </w:p>
    <w:p>
      <w:pPr>
        <w:pStyle w:val="ListBullet"/>
        <w:spacing w:after="20"/>
      </w:pPr>
      <w:r>
        <w:rPr>
          <w:sz w:val="21"/>
        </w:rPr>
        <w:t>Spillover: 40 edges, 0 published, 0 shock episodes</w:t>
      </w:r>
    </w:p>
    <w:p>
      <w:pPr>
        <w:spacing w:after="20"/>
      </w:pPr>
      <w:r>
        <w:rPr>
          <w:b/>
          <w:i w:val="0"/>
          <w:color w:val="1F2A44"/>
          <w:sz w:val="19"/>
        </w:rPr>
        <w:t>IF ASKED</w:t>
      </w:r>
    </w:p>
    <w:p>
      <w:pPr>
        <w:spacing w:after="20"/>
      </w:pPr>
      <w:r>
        <w:rPr>
          <w:b/>
          <w:sz w:val="21"/>
        </w:rPr>
        <w:t>Q:</w:t>
      </w:r>
      <w:r>
        <w:rPr>
          <w:sz w:val="21"/>
        </w:rPr>
        <w:t xml:space="preserve"> Does the language model decide the advice?</w:t>
      </w:r>
    </w:p>
    <w:p>
      <w:pPr>
        <w:spacing w:after="60"/>
      </w:pPr>
      <w:r>
        <w:rPr>
          <w:b/>
          <w:sz w:val="21"/>
        </w:rPr>
        <w:t>A:</w:t>
      </w:r>
      <w:r>
        <w:rPr>
          <w:sz w:val="21"/>
        </w:rPr>
        <w:t xml:space="preserve"> No. The engines decide. The model only words a sentence that code has already computed, and a validator rejects any change to a number.</w:t>
      </w:r>
    </w:p>
    <w:p>
      <w:pPr>
        <w:spacing w:after="120"/>
      </w:pPr>
      <w:r>
        <w:rPr>
          <w:b/>
          <w:sz w:val="20"/>
        </w:rPr>
        <w:t>Transition:</w:t>
      </w:r>
      <w:r>
        <w:rPr>
          <w:sz w:val="20"/>
        </w:rPr>
        <w:t xml:space="preserve"> Now the five insight features that make the advice inspectable.</w:t>
      </w:r>
    </w:p>
    <w:p>
      <w:pPr>
        <w:pStyle w:val="Heading2"/>
      </w:pPr>
      <w:r>
        <w:t>Slide 8 · Insight features: method</w:t>
      </w:r>
    </w:p>
    <w:p>
      <w:pPr>
        <w:spacing w:after="40"/>
      </w:pPr>
      <w:r>
        <w:rPr>
          <w:b w:val="0"/>
          <w:i/>
          <w:color w:val="1F4E79"/>
          <w:sz w:val="19"/>
        </w:rPr>
        <w:t>[CORE · about 1.5 min]</w:t>
      </w:r>
    </w:p>
    <w:p>
      <w:pPr>
        <w:spacing w:after="20"/>
      </w:pPr>
      <w:r>
        <w:rPr>
          <w:b/>
          <w:i w:val="0"/>
          <w:color w:val="1F2A44"/>
          <w:sz w:val="19"/>
        </w:rPr>
        <w:t>SAY</w:t>
      </w:r>
    </w:p>
    <w:p>
      <w:pPr>
        <w:spacing w:after="60"/>
      </w:pPr>
      <w:r>
        <w:rPr>
          <w:sz w:val="21"/>
        </w:rPr>
        <w:t>Advice has to be inspectable. We built five features, all from the served engine and the ingested panel, none fitting a model at request time.</w:t>
      </w:r>
    </w:p>
    <w:p>
      <w:pPr>
        <w:spacing w:after="60"/>
      </w:pPr>
      <w:r>
        <w:rPr>
          <w:sz w:val="21"/>
        </w:rPr>
        <w:t>The breakdown writes the net revenue as its parts, and the code asserts that the parts add up to the served figure.</w:t>
      </w:r>
    </w:p>
    <w:p>
      <w:pPr>
        <w:spacing w:after="60"/>
      </w:pPr>
      <w:r>
        <w:rPr>
          <w:sz w:val="21"/>
        </w:rPr>
        <w:t>The what-if re-prices every action under the farmer's own costs and finds the exact cost at which the advice flips.</w:t>
      </w:r>
    </w:p>
    <w:p>
      <w:pPr>
        <w:spacing w:after="60"/>
      </w:pPr>
      <w:r>
        <w:rPr>
          <w:sz w:val="21"/>
        </w:rPr>
        <w:t>The track record replays the back-test day by day on days the floor was not fitted on.</w:t>
      </w:r>
    </w:p>
    <w:p>
      <w:pPr>
        <w:spacing w:after="60"/>
      </w:pPr>
      <w:r>
        <w:rPr>
          <w:sz w:val="21"/>
        </w:rPr>
        <w:t>The silence tax is the expected rupees lost per quintal on a trip to a mandi because it reports no price, after ignoring weekdays that are known closed days.</w:t>
      </w:r>
    </w:p>
    <w:p>
      <w:pPr>
        <w:spacing w:after="60"/>
      </w:pPr>
      <w:r>
        <w:rPr>
          <w:sz w:val="21"/>
        </w:rPr>
        <w:t>The crowd simulator asks what happens to a mandi's price if many farmers follow the same advice. The price flexibility, 0.115, is an association in past data, not a causal estimate, so it is a scenario with a slider.</w:t>
      </w:r>
    </w:p>
    <w:p>
      <w:pPr>
        <w:spacing w:after="20"/>
      </w:pPr>
      <w:r>
        <w:rPr>
          <w:b/>
          <w:i w:val="0"/>
          <w:color w:val="1F2A44"/>
          <w:sz w:val="19"/>
        </w:rPr>
        <w:t>SHOW / CLICK</w:t>
      </w:r>
    </w:p>
    <w:p>
      <w:pPr>
        <w:spacing w:after="60"/>
      </w:pPr>
      <w:r>
        <w:rPr>
          <w:sz w:val="21"/>
        </w:rPr>
        <w:t>Point at the four formulas: breakdown identity, silence tax, crowd price impact, track-record definition.</w:t>
      </w:r>
    </w:p>
    <w:p>
      <w:pPr>
        <w:spacing w:after="20"/>
      </w:pPr>
      <w:r>
        <w:rPr>
          <w:b/>
          <w:i w:val="0"/>
          <w:color w:val="1F2A44"/>
          <w:sz w:val="19"/>
        </w:rPr>
        <w:t>NUMBERS TO QUOTE</w:t>
      </w:r>
    </w:p>
    <w:p>
      <w:pPr>
        <w:pStyle w:val="ListBullet"/>
        <w:spacing w:after="20"/>
      </w:pPr>
      <w:r>
        <w:rPr>
          <w:sz w:val="21"/>
        </w:rPr>
        <w:t>Flexibility b = 0.115, standard error 0.023</w:t>
      </w:r>
    </w:p>
    <w:p>
      <w:pPr>
        <w:pStyle w:val="ListBullet"/>
        <w:spacing w:after="20"/>
      </w:pPr>
      <w:r>
        <w:rPr>
          <w:sz w:val="21"/>
        </w:rPr>
        <w:t>Closed day = silent on 90 percent or more of that weekday</w:t>
      </w:r>
    </w:p>
    <w:p>
      <w:pPr>
        <w:spacing w:after="20"/>
      </w:pPr>
      <w:r>
        <w:rPr>
          <w:b/>
          <w:i w:val="0"/>
          <w:color w:val="1F2A44"/>
          <w:sz w:val="19"/>
        </w:rPr>
        <w:t>IF ASKED</w:t>
      </w:r>
    </w:p>
    <w:p>
      <w:pPr>
        <w:spacing w:after="20"/>
      </w:pPr>
      <w:r>
        <w:rPr>
          <w:b/>
          <w:sz w:val="21"/>
        </w:rPr>
        <w:t>Q:</w:t>
      </w:r>
      <w:r>
        <w:rPr>
          <w:sz w:val="21"/>
        </w:rPr>
        <w:t xml:space="preserve"> Is the crowd result a measured effect?</w:t>
      </w:r>
    </w:p>
    <w:p>
      <w:pPr>
        <w:spacing w:after="60"/>
      </w:pPr>
      <w:r>
        <w:rPr>
          <w:b/>
          <w:sz w:val="21"/>
        </w:rPr>
        <w:t>A:</w:t>
      </w:r>
      <w:r>
        <w:rPr>
          <w:sz w:val="21"/>
        </w:rPr>
        <w:t xml:space="preserve"> No, and we say so on the screen. It is a scenario. At b equal to zero every policy is equal; the conclusion strengthens as b rises. A field pilot would be needed to measure the real response.</w:t>
      </w:r>
    </w:p>
    <w:p>
      <w:pPr>
        <w:spacing w:after="120"/>
      </w:pPr>
      <w:r>
        <w:rPr>
          <w:b/>
          <w:sz w:val="20"/>
        </w:rPr>
        <w:t>Transition:</w:t>
      </w:r>
      <w:r>
        <w:rPr>
          <w:sz w:val="20"/>
        </w:rPr>
        <w:t xml:space="preserve"> Now the implementation and the live demonstration.</w:t>
      </w:r>
    </w:p>
    <w:p>
      <w:pPr>
        <w:pStyle w:val="Heading2"/>
      </w:pPr>
      <w:r>
        <w:t>Slide 9 · Implementation and integration</w:t>
      </w:r>
    </w:p>
    <w:p>
      <w:pPr>
        <w:spacing w:after="40"/>
      </w:pPr>
      <w:r>
        <w:rPr>
          <w:b w:val="0"/>
          <w:i/>
          <w:color w:val="1F4E79"/>
          <w:sz w:val="19"/>
        </w:rPr>
        <w:t>[CORE · about 1.5 min]</w:t>
      </w:r>
    </w:p>
    <w:p>
      <w:pPr>
        <w:spacing w:after="20"/>
      </w:pPr>
      <w:r>
        <w:rPr>
          <w:b/>
          <w:i w:val="0"/>
          <w:color w:val="1F2A44"/>
          <w:sz w:val="19"/>
        </w:rPr>
        <w:t>SAY</w:t>
      </w:r>
    </w:p>
    <w:p>
      <w:pPr>
        <w:spacing w:after="60"/>
      </w:pPr>
      <w:r>
        <w:rPr>
          <w:sz w:val="21"/>
        </w:rPr>
        <w:t>The system is integrated end to end. One command, pipeline dot py, runs the stages in dependency order, from the farmer world and forecasts to the engines, the track record, shocks, spillover, council, evidence, results and the tests. Each stage declares its inputs and outputs and can be run alone.</w:t>
      </w:r>
    </w:p>
    <w:p>
      <w:pPr>
        <w:spacing w:after="60"/>
      </w:pPr>
      <w:r>
        <w:rPr>
          <w:sz w:val="21"/>
        </w:rPr>
        <w:t>What is manual: refreshing the Agmarknet exports, which we download by hand, and verifying the public deployment, whose configuration exists but which we have not tested live.</w:t>
      </w:r>
    </w:p>
    <w:p>
      <w:pPr>
        <w:spacing w:after="60"/>
      </w:pPr>
      <w:r>
        <w:rPr>
          <w:sz w:val="21"/>
        </w:rPr>
        <w:t>Defects found during integration, and fixed: a NumPy upgrade broke pandas, a fresh clone was missing the observation store, a hard delete emptied the trader pages, the council weights summed above one, and a stale server answered new endpoints with not-found during testing.</w:t>
      </w:r>
    </w:p>
    <w:p>
      <w:pPr>
        <w:spacing w:after="60"/>
      </w:pPr>
      <w:r>
        <w:rPr>
          <w:sz w:val="21"/>
        </w:rPr>
        <w:t>The next two slides are the demonstration. It is live.</w:t>
      </w:r>
    </w:p>
    <w:p>
      <w:pPr>
        <w:spacing w:after="20"/>
      </w:pPr>
      <w:r>
        <w:rPr>
          <w:b/>
          <w:i w:val="0"/>
          <w:color w:val="1F2A44"/>
          <w:sz w:val="19"/>
        </w:rPr>
        <w:t>SHOW / CLICK</w:t>
      </w:r>
    </w:p>
    <w:p>
      <w:pPr>
        <w:spacing w:after="60"/>
      </w:pPr>
      <w:r>
        <w:rPr>
          <w:sz w:val="21"/>
        </w:rPr>
        <w:t>Point along the pipeline boxes. The screenshots are only a reminder of the three screens.</w:t>
      </w:r>
    </w:p>
    <w:p>
      <w:pPr>
        <w:spacing w:after="20"/>
      </w:pPr>
      <w:r>
        <w:rPr>
          <w:b/>
          <w:i w:val="0"/>
          <w:color w:val="1F2A44"/>
          <w:sz w:val="19"/>
        </w:rPr>
        <w:t>NUMBERS TO QUOTE</w:t>
      </w:r>
    </w:p>
    <w:p>
      <w:pPr>
        <w:pStyle w:val="ListBullet"/>
        <w:spacing w:after="20"/>
      </w:pPr>
      <w:r>
        <w:rPr>
          <w:sz w:val="21"/>
        </w:rPr>
        <w:t>Pipeline stages with declared outputs; 669 backend tests; 11 web tests; 60-check smoke test</w:t>
      </w:r>
    </w:p>
    <w:p>
      <w:pPr>
        <w:spacing w:after="120"/>
      </w:pPr>
      <w:r>
        <w:rPr>
          <w:b/>
          <w:sz w:val="20"/>
        </w:rPr>
        <w:t>Transition:</w:t>
      </w:r>
      <w:r>
        <w:rPr>
          <w:sz w:val="20"/>
        </w:rPr>
        <w:t xml:space="preserve"> Overview of what you will see, then the demo.</w:t>
      </w:r>
    </w:p>
    <w:p>
      <w:pPr>
        <w:pStyle w:val="Heading2"/>
      </w:pPr>
      <w:r>
        <w:t>Slide 10 · What you will see</w:t>
      </w:r>
    </w:p>
    <w:p>
      <w:pPr>
        <w:spacing w:after="40"/>
      </w:pPr>
      <w:r>
        <w:rPr>
          <w:b w:val="0"/>
          <w:i/>
          <w:color w:val="1F4E79"/>
          <w:sz w:val="19"/>
        </w:rPr>
        <w:t>[CORE · about 1 min]</w:t>
      </w:r>
    </w:p>
    <w:p>
      <w:pPr>
        <w:spacing w:after="20"/>
      </w:pPr>
      <w:r>
        <w:rPr>
          <w:b/>
          <w:i w:val="0"/>
          <w:color w:val="1F2A44"/>
          <w:sz w:val="19"/>
        </w:rPr>
        <w:t>SAY</w:t>
      </w:r>
    </w:p>
    <w:p>
      <w:pPr>
        <w:spacing w:after="60"/>
      </w:pPr>
      <w:r>
        <w:rPr>
          <w:sz w:val="21"/>
        </w:rPr>
        <w:t>Before we switch to the browser, here is what you will see. Five features plus the digest, each answering one question: why this mandi, what if my costs differ, has the advice worked, what do silent mandis cost, what happens if everyone follows it, and what does the farmer receive at seven in the morning.</w:t>
      </w:r>
    </w:p>
    <w:p>
      <w:pPr>
        <w:spacing w:after="60"/>
      </w:pPr>
      <w:r>
        <w:rPr>
          <w:sz w:val="21"/>
        </w:rPr>
        <w:t>Three are inside the farmer tool, two are trader tools, and the digest is a Telegram bot.</w:t>
      </w:r>
    </w:p>
    <w:p>
      <w:pPr>
        <w:spacing w:after="20"/>
      </w:pPr>
      <w:r>
        <w:rPr>
          <w:b/>
          <w:i w:val="0"/>
          <w:color w:val="1F2A44"/>
          <w:sz w:val="19"/>
        </w:rPr>
        <w:t>SHOW / CLICK</w:t>
      </w:r>
    </w:p>
    <w:p>
      <w:pPr>
        <w:spacing w:after="60"/>
      </w:pPr>
      <w:r>
        <w:rPr>
          <w:sz w:val="21"/>
        </w:rPr>
        <w:t>The six cards. Say the question on each card.</w:t>
      </w:r>
    </w:p>
    <w:p>
      <w:pPr>
        <w:spacing w:after="120"/>
      </w:pPr>
      <w:r>
        <w:rPr>
          <w:b/>
          <w:sz w:val="20"/>
        </w:rPr>
        <w:t>Transition:</w:t>
      </w:r>
      <w:r>
        <w:rPr>
          <w:sz w:val="20"/>
        </w:rPr>
        <w:t xml:space="preserve"> Switch to the browser: demo part one.</w:t>
      </w:r>
    </w:p>
    <w:p>
      <w:pPr>
        <w:pStyle w:val="Heading2"/>
      </w:pPr>
      <w:r>
        <w:t>Slide 11 · LIVE DEMO 1/2: farmer tool</w:t>
      </w:r>
    </w:p>
    <w:p>
      <w:pPr>
        <w:spacing w:after="40"/>
      </w:pPr>
      <w:r>
        <w:rPr>
          <w:b w:val="0"/>
          <w:i/>
          <w:color w:val="1F4E79"/>
          <w:sz w:val="19"/>
        </w:rPr>
        <w:t>[CORE · about 4 min]</w:t>
      </w:r>
    </w:p>
    <w:p>
      <w:pPr>
        <w:spacing w:after="20"/>
      </w:pPr>
      <w:r>
        <w:rPr>
          <w:b/>
          <w:i w:val="0"/>
          <w:color w:val="1F2A44"/>
          <w:sz w:val="19"/>
        </w:rPr>
        <w:t>SAY</w:t>
      </w:r>
    </w:p>
    <w:p>
      <w:pPr>
        <w:spacing w:after="60"/>
      </w:pPr>
      <w:r>
        <w:rPr>
          <w:sz w:val="21"/>
        </w:rPr>
        <w:t>(Switch to the browser, farmer app. Follow the six steps on the slide; the full click path with exact values is in the demo script.)</w:t>
      </w:r>
    </w:p>
    <w:p>
      <w:pPr>
        <w:spacing w:after="60"/>
      </w:pPr>
      <w:r>
        <w:rPr>
          <w:sz w:val="21"/>
        </w:rPr>
        <w:t>Say as you go: this is the farmer view. Kolar, tomato, ten quintals, tempo. The advice is Ramanagara, Wednesday, one day from now, a hundred and three kilometres. The farmer keeps about one thousand eight hundred and twenty-four rupees per quintal after transport and fees, and can count on at least one thousand three hundred and sixteen on nine days out of ten.</w:t>
      </w:r>
    </w:p>
    <w:p>
      <w:pPr>
        <w:spacing w:after="60"/>
      </w:pPr>
      <w:r>
        <w:rPr>
          <w:sz w:val="21"/>
        </w:rPr>
        <w:t>Open Why this mandi: the green bar is what the farmer keeps; the coloured slices are fee, spoilage, transport and handling; they add up exactly. The nearest mandi, Kolar, keeps one thousand two hundred and thirty-three.</w:t>
      </w:r>
    </w:p>
    <w:p>
      <w:pPr>
        <w:spacing w:after="60"/>
      </w:pPr>
      <w:r>
        <w:rPr>
          <w:sz w:val="21"/>
        </w:rPr>
        <w:t>Open What if my costs differ: drag transport to the maximum. Even at three rupees per quintal-kilometre the advice does not change. Now drag spoilage up: at five percent a day it flips to Ramanagara today. This tells the farmer the advice is robust to the truck but sensitive to the crop's shelf life.</w:t>
      </w:r>
    </w:p>
    <w:p>
      <w:pPr>
        <w:spacing w:after="60"/>
      </w:pPr>
      <w:r>
        <w:rPr>
          <w:sz w:val="21"/>
        </w:rPr>
        <w:t>Open Has this advice worked: ninety-three percent better than the nearest mandi on days it had not seen; and, honestly, the minimum held on eighty-four percent of days against the ninety we aim for. We show that score rather than hide it.</w:t>
      </w:r>
    </w:p>
    <w:p>
      <w:pPr>
        <w:spacing w:after="20"/>
      </w:pPr>
      <w:r>
        <w:rPr>
          <w:b/>
          <w:i w:val="0"/>
          <w:color w:val="1F2A44"/>
          <w:sz w:val="19"/>
        </w:rPr>
        <w:t>SHOW / CLICK</w:t>
      </w:r>
    </w:p>
    <w:p>
      <w:pPr>
        <w:spacing w:after="60"/>
      </w:pPr>
      <w:r>
        <w:rPr>
          <w:sz w:val="21"/>
        </w:rPr>
        <w:t>Browser: http://localhost:3000/tools, Best Place and Day to Sell. See the run-of-show for each click and the on-screen values.</w:t>
      </w:r>
    </w:p>
    <w:p>
      <w:pPr>
        <w:spacing w:after="20"/>
      </w:pPr>
      <w:r>
        <w:rPr>
          <w:b/>
          <w:i w:val="0"/>
          <w:color w:val="1F2A44"/>
          <w:sz w:val="19"/>
        </w:rPr>
        <w:t>NUMBERS TO QUOTE</w:t>
      </w:r>
    </w:p>
    <w:p>
      <w:pPr>
        <w:pStyle w:val="ListBullet"/>
        <w:spacing w:after="20"/>
      </w:pPr>
      <w:r>
        <w:rPr>
          <w:sz w:val="21"/>
        </w:rPr>
        <w:t>Ramanagara, +1 day, 103 km</w:t>
      </w:r>
    </w:p>
    <w:p>
      <w:pPr>
        <w:pStyle w:val="ListBullet"/>
        <w:spacing w:after="20"/>
      </w:pPr>
      <w:r>
        <w:rPr>
          <w:sz w:val="21"/>
        </w:rPr>
        <w:t>Rs 1,824 expected; Rs 1,316 floor; 10 quintals Rs 18,238 / Rs 13,165</w:t>
      </w:r>
    </w:p>
    <w:p>
      <w:pPr>
        <w:pStyle w:val="ListBullet"/>
        <w:spacing w:after="20"/>
      </w:pPr>
      <w:r>
        <w:rPr>
          <w:sz w:val="21"/>
        </w:rPr>
        <w:t>Nearest (Kolar) Rs 1,233; gain Rs 592 per quintal</w:t>
      </w:r>
    </w:p>
    <w:p>
      <w:pPr>
        <w:pStyle w:val="ListBullet"/>
        <w:spacing w:after="20"/>
      </w:pPr>
      <w:r>
        <w:rPr>
          <w:sz w:val="21"/>
        </w:rPr>
        <w:t>Transport Rs 3.0: still same advice, net Rs 1,515</w:t>
      </w:r>
    </w:p>
    <w:p>
      <w:pPr>
        <w:pStyle w:val="ListBullet"/>
        <w:spacing w:after="20"/>
      </w:pPr>
      <w:r>
        <w:rPr>
          <w:sz w:val="21"/>
        </w:rPr>
        <w:t>Spoilage 5.0 percent: Ramanagara today, Rs 1,789</w:t>
      </w:r>
    </w:p>
    <w:p>
      <w:pPr>
        <w:pStyle w:val="ListBullet"/>
        <w:spacing w:after="20"/>
      </w:pPr>
      <w:r>
        <w:rPr>
          <w:sz w:val="21"/>
        </w:rPr>
        <w:t>93 percent better than nearest; floor held 84 percent</w:t>
      </w:r>
    </w:p>
    <w:p>
      <w:pPr>
        <w:spacing w:after="20"/>
      </w:pPr>
      <w:r>
        <w:rPr>
          <w:b/>
          <w:i w:val="0"/>
          <w:color w:val="1F2A44"/>
          <w:sz w:val="19"/>
        </w:rPr>
        <w:t>IF ASKED</w:t>
      </w:r>
    </w:p>
    <w:p>
      <w:pPr>
        <w:spacing w:after="20"/>
      </w:pPr>
      <w:r>
        <w:rPr>
          <w:b/>
          <w:sz w:val="21"/>
        </w:rPr>
        <w:t>Q:</w:t>
      </w:r>
      <w:r>
        <w:rPr>
          <w:sz w:val="21"/>
        </w:rPr>
        <w:t xml:space="preserve"> Why does the advice ignore the mandi nearest to me?</w:t>
      </w:r>
    </w:p>
    <w:p>
      <w:pPr>
        <w:spacing w:after="60"/>
      </w:pPr>
      <w:r>
        <w:rPr>
          <w:b/>
          <w:sz w:val="21"/>
        </w:rPr>
        <w:t>A:</w:t>
      </w:r>
      <w:r>
        <w:rPr>
          <w:sz w:val="21"/>
        </w:rPr>
        <w:t xml:space="preserve"> Because the net after transport is higher elsewhere: the price it expects is Rs 776 higher and that outweighs Rs 94 extra transport and Rs 60 spoilage. The breakdown shows it line by line.</w:t>
      </w:r>
    </w:p>
    <w:p>
      <w:pPr>
        <w:spacing w:after="120"/>
      </w:pPr>
      <w:r>
        <w:rPr>
          <w:b/>
          <w:sz w:val="20"/>
        </w:rPr>
        <w:t>Transition:</w:t>
      </w:r>
      <w:r>
        <w:rPr>
          <w:sz w:val="20"/>
        </w:rPr>
        <w:t xml:space="preserve"> Demo part two: the trader desk and Telegram.</w:t>
      </w:r>
    </w:p>
    <w:p>
      <w:pPr>
        <w:pStyle w:val="Heading2"/>
      </w:pPr>
      <w:r>
        <w:t>Slide 12 · LIVE DEMO 2/2: trader desk and Telegram</w:t>
      </w:r>
    </w:p>
    <w:p>
      <w:pPr>
        <w:spacing w:after="40"/>
      </w:pPr>
      <w:r>
        <w:rPr>
          <w:b w:val="0"/>
          <w:i/>
          <w:color w:val="1F4E79"/>
          <w:sz w:val="19"/>
        </w:rPr>
        <w:t>[CORE · about 4 min]</w:t>
      </w:r>
    </w:p>
    <w:p>
      <w:pPr>
        <w:spacing w:after="20"/>
      </w:pPr>
      <w:r>
        <w:rPr>
          <w:b/>
          <w:i w:val="0"/>
          <w:color w:val="1F2A44"/>
          <w:sz w:val="19"/>
        </w:rPr>
        <w:t>SAY</w:t>
      </w:r>
    </w:p>
    <w:p>
      <w:pPr>
        <w:spacing w:after="60"/>
      </w:pPr>
      <w:r>
        <w:rPr>
          <w:sz w:val="21"/>
        </w:rPr>
        <w:t>(Trader desk and phone.) The same engine, for a trader. Open the Silence Tax. Each row is a tomato mandi. The coloured week strip shows which weekdays it reports: green reliable, red effectively closed. Kanakapura loses a trip about three hundred and thirteen rupees a quintal, sixteen and a half percent of its price, mostly on Sundays and unpredictably on other days. Chikkaballapur reported on none of last year's Thursdays, so a farmer is told not to take a Thursday load there. Note Kolar shows zero: that does not mean it is reliable; it means its usual price is below the fallback, so silence costs no money on price. The table also shows surprise silence for exactly this reason.</w:t>
      </w:r>
    </w:p>
    <w:p>
      <w:pPr>
        <w:spacing w:after="60"/>
      </w:pPr>
      <w:r>
        <w:rPr>
          <w:sz w:val="21"/>
        </w:rPr>
        <w:t>Open the Crowd Simulator. One farmer alone nets one thousand eight hundred and twenty-four. With two hundred farmers, two thousand quintals, all following the best advice, that mandi, which normally receives about sixty-eight quintals a day, drops thirty-two and a half percent and each farmer nets one thousand one hundred and ninety-four. Everyone going to the nearest mandi gives one thousand two hundred and seven. A coordinated split, where each farmer is told a different action with a stated probability, gives one thousand four hundred and thirty-six: two hundred and forty-one rupees more per quintal, about four point eight lakh for the group. Drag the flexibility to zero and every policy becomes equal: that is the assumption, and we state it.</w:t>
      </w:r>
    </w:p>
    <w:p>
      <w:pPr>
        <w:spacing w:after="60"/>
      </w:pPr>
      <w:r>
        <w:rPr>
          <w:sz w:val="21"/>
        </w:rPr>
        <w:t>Now the phone: Telegram, the MandiSense bot. Send slash today. This is the morning digest, with the date of the data, advice only where the evidence is strong, and a warning when a mandi is usually silent. Type onion Chintamani and it answers for that crop and place. In production the digest goes at seven every morning from a scheduled script.</w:t>
      </w:r>
    </w:p>
    <w:p>
      <w:pPr>
        <w:spacing w:after="20"/>
      </w:pPr>
      <w:r>
        <w:rPr>
          <w:b/>
          <w:i w:val="0"/>
          <w:color w:val="1F2A44"/>
          <w:sz w:val="19"/>
        </w:rPr>
        <w:t>SHOW / CLICK</w:t>
      </w:r>
    </w:p>
    <w:p>
      <w:pPr>
        <w:spacing w:after="60"/>
      </w:pPr>
      <w:r>
        <w:rPr>
          <w:sz w:val="21"/>
        </w:rPr>
        <w:t>Browser tabs: /trader-tools/reporting-value, /trader-tools/crowd-simulator. Then the phone with the bot chat open.</w:t>
      </w:r>
    </w:p>
    <w:p>
      <w:pPr>
        <w:spacing w:after="20"/>
      </w:pPr>
      <w:r>
        <w:rPr>
          <w:b/>
          <w:i w:val="0"/>
          <w:color w:val="1F2A44"/>
          <w:sz w:val="19"/>
        </w:rPr>
        <w:t>NUMBERS TO QUOTE</w:t>
      </w:r>
    </w:p>
    <w:p>
      <w:pPr>
        <w:pStyle w:val="ListBullet"/>
        <w:spacing w:after="20"/>
      </w:pPr>
      <w:r>
        <w:rPr>
          <w:sz w:val="21"/>
        </w:rPr>
        <w:t>Kanakapura Rs 313 per quintal (16.5 percent)</w:t>
      </w:r>
    </w:p>
    <w:p>
      <w:pPr>
        <w:pStyle w:val="ListBullet"/>
        <w:spacing w:after="20"/>
      </w:pPr>
      <w:r>
        <w:rPr>
          <w:sz w:val="21"/>
        </w:rPr>
        <w:t>Chikkaballapur: 100 percent silent on Thursdays last year</w:t>
      </w:r>
    </w:p>
    <w:p>
      <w:pPr>
        <w:pStyle w:val="ListBullet"/>
        <w:spacing w:after="20"/>
      </w:pPr>
      <w:r>
        <w:rPr>
          <w:sz w:val="21"/>
        </w:rPr>
        <w:t>200 farmers: alone Rs 1,824; all follow best Rs 1,194 (-32.5 percent); nearest Rs 1,207; coordinated Rs 1,436</w:t>
      </w:r>
    </w:p>
    <w:p>
      <w:pPr>
        <w:pStyle w:val="ListBullet"/>
        <w:spacing w:after="20"/>
      </w:pPr>
      <w:r>
        <w:rPr>
          <w:sz w:val="21"/>
        </w:rPr>
        <w:t>Coordination gain Rs 241 per quintal; Rs 4,82,705 for the group</w:t>
      </w:r>
    </w:p>
    <w:p>
      <w:pPr>
        <w:pStyle w:val="ListBullet"/>
        <w:spacing w:after="20"/>
      </w:pPr>
      <w:r>
        <w:rPr>
          <w:sz w:val="21"/>
        </w:rPr>
        <w:t>Yard usually receives about 68 quintals a day</w:t>
      </w:r>
    </w:p>
    <w:p>
      <w:pPr>
        <w:spacing w:after="20"/>
      </w:pPr>
      <w:r>
        <w:rPr>
          <w:b/>
          <w:i w:val="0"/>
          <w:color w:val="1F2A44"/>
          <w:sz w:val="19"/>
        </w:rPr>
        <w:t>IF ASKED</w:t>
      </w:r>
    </w:p>
    <w:p>
      <w:pPr>
        <w:spacing w:after="20"/>
      </w:pPr>
      <w:r>
        <w:rPr>
          <w:b/>
          <w:sz w:val="21"/>
        </w:rPr>
        <w:t>Q:</w:t>
      </w:r>
      <w:r>
        <w:rPr>
          <w:sz w:val="21"/>
        </w:rPr>
        <w:t xml:space="preserve"> Is Telegram realistic for farmers?</w:t>
      </w:r>
    </w:p>
    <w:p>
      <w:pPr>
        <w:spacing w:after="60"/>
      </w:pPr>
      <w:r>
        <w:rPr>
          <w:b/>
          <w:sz w:val="21"/>
        </w:rPr>
        <w:t>A:</w:t>
      </w:r>
      <w:r>
        <w:rPr>
          <w:sz w:val="21"/>
        </w:rPr>
        <w:t xml:space="preserve"> Not for most farmers today. It is free, needs no gateway or registration, and shows the product end to end. The same message text can go over SMS or WhatsApp once sender registration is done; we say that openly.</w:t>
      </w:r>
    </w:p>
    <w:p>
      <w:pPr>
        <w:spacing w:after="20"/>
      </w:pPr>
      <w:r>
        <w:rPr>
          <w:b/>
          <w:sz w:val="21"/>
        </w:rPr>
        <w:t>Q:</w:t>
      </w:r>
      <w:r>
        <w:rPr>
          <w:sz w:val="21"/>
        </w:rPr>
        <w:t xml:space="preserve"> Where does the data for the digest come from?</w:t>
      </w:r>
    </w:p>
    <w:p>
      <w:pPr>
        <w:spacing w:after="60"/>
      </w:pPr>
      <w:r>
        <w:rPr>
          <w:b/>
          <w:sz w:val="21"/>
        </w:rPr>
        <w:t>A:</w:t>
      </w:r>
      <w:r>
        <w:rPr>
          <w:sz w:val="21"/>
        </w:rPr>
        <w:t xml:space="preserve"> From the ingested Agmarknet data. There is no live feed, so the message states the date of the data and its age.</w:t>
      </w:r>
    </w:p>
    <w:p>
      <w:pPr>
        <w:spacing w:after="120"/>
      </w:pPr>
      <w:r>
        <w:rPr>
          <w:b/>
          <w:sz w:val="20"/>
        </w:rPr>
        <w:t>Transition:</w:t>
      </w:r>
      <w:r>
        <w:rPr>
          <w:sz w:val="20"/>
        </w:rPr>
        <w:t xml:space="preserve"> Switch back to the slides: tools and quality.</w:t>
      </w:r>
    </w:p>
    <w:p>
      <w:pPr>
        <w:pStyle w:val="Heading2"/>
      </w:pPr>
      <w:r>
        <w:t>Slide 13 · Tools and code quality</w:t>
      </w:r>
    </w:p>
    <w:p>
      <w:pPr>
        <w:spacing w:after="40"/>
      </w:pPr>
      <w:r>
        <w:rPr>
          <w:b w:val="0"/>
          <w:i/>
          <w:color w:val="1F4E79"/>
          <w:sz w:val="19"/>
        </w:rPr>
        <w:t>[SKIP IF SHORT · about 1 min]</w:t>
      </w:r>
    </w:p>
    <w:p>
      <w:pPr>
        <w:spacing w:after="20"/>
      </w:pPr>
      <w:r>
        <w:rPr>
          <w:b/>
          <w:i w:val="0"/>
          <w:color w:val="1F2A44"/>
          <w:sz w:val="19"/>
        </w:rPr>
        <w:t>SAY</w:t>
      </w:r>
    </w:p>
    <w:p>
      <w:pPr>
        <w:spacing w:after="60"/>
      </w:pPr>
      <w:r>
        <w:rPr>
          <w:sz w:val="21"/>
        </w:rPr>
        <w:t>The stack and why each piece. Python with pinned NumPy, pandas and statsmodels. LightGBM and XGBoost because trees win on tabular data; Optuna for tuning. FastAPI for typed requests and automatic API documentation. Next.js for pages that load fast on weak connections. Two model families for the language layer, with a deterministic fallback.</w:t>
      </w:r>
    </w:p>
    <w:p>
      <w:pPr>
        <w:spacing w:after="60"/>
      </w:pPr>
      <w:r>
        <w:rPr>
          <w:sz w:val="21"/>
        </w:rPr>
        <w:t>The repository is reproducible: the lock file, a one-command pipeline, and the thesis tables are generated from the artefacts, not typed. We have six hundred and sixty-nine backend tests passing, eleven web tests, a sixty-check smoke test that exercises every endpoint and page, and continuous integration.</w:t>
      </w:r>
    </w:p>
    <w:p>
      <w:pPr>
        <w:spacing w:after="20"/>
      </w:pPr>
      <w:r>
        <w:rPr>
          <w:b/>
          <w:i w:val="0"/>
          <w:color w:val="1F2A44"/>
          <w:sz w:val="19"/>
        </w:rPr>
        <w:t>SHOW / CLICK</w:t>
      </w:r>
    </w:p>
    <w:p>
      <w:pPr>
        <w:spacing w:after="60"/>
      </w:pPr>
      <w:r>
        <w:rPr>
          <w:sz w:val="21"/>
        </w:rPr>
        <w:t>Table of tools; point at the Tested bullet.</w:t>
      </w:r>
    </w:p>
    <w:p>
      <w:pPr>
        <w:spacing w:after="20"/>
      </w:pPr>
      <w:r>
        <w:rPr>
          <w:b/>
          <w:i w:val="0"/>
          <w:color w:val="1F2A44"/>
          <w:sz w:val="19"/>
        </w:rPr>
        <w:t>NUMBERS TO QUOTE</w:t>
      </w:r>
    </w:p>
    <w:p>
      <w:pPr>
        <w:pStyle w:val="ListBullet"/>
        <w:spacing w:after="20"/>
      </w:pPr>
      <w:r>
        <w:rPr>
          <w:sz w:val="21"/>
        </w:rPr>
        <w:t>669 backend + 11 web tests passing</w:t>
      </w:r>
    </w:p>
    <w:p>
      <w:pPr>
        <w:pStyle w:val="ListBullet"/>
        <w:spacing w:after="20"/>
      </w:pPr>
      <w:r>
        <w:rPr>
          <w:sz w:val="21"/>
        </w:rPr>
        <w:t>Smoke test: 60 checks, all passed on 29 Oct 2026</w:t>
      </w:r>
    </w:p>
    <w:p>
      <w:pPr>
        <w:pStyle w:val="ListBullet"/>
        <w:spacing w:after="20"/>
      </w:pPr>
      <w:r>
        <w:rPr>
          <w:sz w:val="21"/>
        </w:rPr>
        <w:t>69 commits at the time of writing</w:t>
      </w:r>
    </w:p>
    <w:p>
      <w:pPr>
        <w:spacing w:after="20"/>
      </w:pPr>
      <w:r>
        <w:rPr>
          <w:b/>
          <w:i w:val="0"/>
          <w:color w:val="1F2A44"/>
          <w:sz w:val="19"/>
        </w:rPr>
        <w:t>IF ASKED</w:t>
      </w:r>
    </w:p>
    <w:p>
      <w:pPr>
        <w:spacing w:after="20"/>
      </w:pPr>
      <w:r>
        <w:rPr>
          <w:b/>
          <w:sz w:val="21"/>
        </w:rPr>
        <w:t>Q:</w:t>
      </w:r>
      <w:r>
        <w:rPr>
          <w:sz w:val="21"/>
        </w:rPr>
        <w:t xml:space="preserve"> Who wrote the code?</w:t>
      </w:r>
    </w:p>
    <w:p>
      <w:pPr>
        <w:spacing w:after="60"/>
      </w:pPr>
      <w:r>
        <w:rPr>
          <w:b/>
          <w:sz w:val="21"/>
        </w:rPr>
        <w:t>A:</w:t>
      </w:r>
      <w:r>
        <w:rPr>
          <w:sz w:val="21"/>
        </w:rPr>
        <w:t xml:space="preserve"> The repository's contribution record shows the commit history; the work-package split is in the planning slides. We show that record in the report rather than hide it.</w:t>
      </w:r>
    </w:p>
    <w:p>
      <w:pPr>
        <w:spacing w:after="120"/>
      </w:pPr>
      <w:r>
        <w:rPr>
          <w:b/>
          <w:sz w:val="20"/>
        </w:rPr>
        <w:t>Transition:</w:t>
      </w:r>
      <w:r>
        <w:rPr>
          <w:sz w:val="20"/>
        </w:rPr>
        <w:t xml:space="preserve"> Experimental setup.</w:t>
      </w:r>
    </w:p>
    <w:p>
      <w:pPr>
        <w:pStyle w:val="Heading2"/>
      </w:pPr>
      <w:r>
        <w:t>Slide 14 · Experimental setup</w:t>
      </w:r>
    </w:p>
    <w:p>
      <w:pPr>
        <w:spacing w:after="40"/>
      </w:pPr>
      <w:r>
        <w:rPr>
          <w:b w:val="0"/>
          <w:i/>
          <w:color w:val="1F4E79"/>
          <w:sz w:val="19"/>
        </w:rPr>
        <w:t>[CORE · about 1.2 min]</w:t>
      </w:r>
    </w:p>
    <w:p>
      <w:pPr>
        <w:spacing w:after="20"/>
      </w:pPr>
      <w:r>
        <w:rPr>
          <w:b/>
          <w:i w:val="0"/>
          <w:color w:val="1F2A44"/>
          <w:sz w:val="19"/>
        </w:rPr>
        <w:t>SAY</w:t>
      </w:r>
    </w:p>
    <w:p>
      <w:pPr>
        <w:spacing w:after="60"/>
      </w:pPr>
      <w:r>
        <w:rPr>
          <w:sz w:val="21"/>
        </w:rPr>
        <w:t>The evaluation is a nested walk-forward: five outer test blocks from 2024 to October 2026, each trained only on earlier data, with a gap of K plus two days so no four-day target overlaps. Inside every fold, Optuna tunes on a validation block. Every method gets the same budget and is retrained, not quoted.</w:t>
      </w:r>
    </w:p>
    <w:p>
      <w:pPr>
        <w:spacing w:after="60"/>
      </w:pPr>
      <w:r>
        <w:rPr>
          <w:sz w:val="21"/>
        </w:rPr>
        <w:t>Metrics: realised revenue, regret to a hindsight oracle, the share of the gap between the nearest-mandi rule and the oracle that a method closes, silent-market trips, floor violation and forecast skill.</w:t>
      </w:r>
    </w:p>
    <w:p>
      <w:pPr>
        <w:spacing w:after="60"/>
      </w:pPr>
      <w:r>
        <w:rPr>
          <w:sz w:val="21"/>
        </w:rPr>
        <w:t>Inference: block bootstrap, Diebold-Mariano with Newey-West variance, Holm correction across all pre-specified comparisons, and a model confidence set. We fixed the model ladder, the comparisons and the leakage protocol before seeing the tuned results.</w:t>
      </w:r>
    </w:p>
    <w:p>
      <w:pPr>
        <w:spacing w:after="60"/>
      </w:pPr>
      <w:r>
        <w:rPr>
          <w:sz w:val="21"/>
        </w:rPr>
        <w:t>Machine: a Core i9 laptop with 31.7 GB and an RTX 4060.</w:t>
      </w:r>
    </w:p>
    <w:p>
      <w:pPr>
        <w:spacing w:after="20"/>
      </w:pPr>
      <w:r>
        <w:rPr>
          <w:b/>
          <w:i w:val="0"/>
          <w:color w:val="1F2A44"/>
          <w:sz w:val="19"/>
        </w:rPr>
        <w:t>SHOW / CLICK</w:t>
      </w:r>
    </w:p>
    <w:p>
      <w:pPr>
        <w:spacing w:after="60"/>
      </w:pPr>
      <w:r>
        <w:rPr>
          <w:sz w:val="21"/>
        </w:rPr>
        <w:t>Dataset table on the left; protocol bullets on top.</w:t>
      </w:r>
    </w:p>
    <w:p>
      <w:pPr>
        <w:spacing w:after="20"/>
      </w:pPr>
      <w:r>
        <w:rPr>
          <w:b/>
          <w:i w:val="0"/>
          <w:color w:val="1F2A44"/>
          <w:sz w:val="19"/>
        </w:rPr>
        <w:t>NUMBERS TO QUOTE</w:t>
      </w:r>
    </w:p>
    <w:p>
      <w:pPr>
        <w:pStyle w:val="ListBullet"/>
        <w:spacing w:after="20"/>
      </w:pPr>
      <w:r>
        <w:rPr>
          <w:sz w:val="21"/>
        </w:rPr>
        <w:t>963 / 511 / 569 / 776 test days (tomato / onion / potato / ginger)</w:t>
      </w:r>
    </w:p>
    <w:p>
      <w:pPr>
        <w:pStyle w:val="ListBullet"/>
        <w:spacing w:after="20"/>
      </w:pPr>
      <w:r>
        <w:rPr>
          <w:sz w:val="21"/>
        </w:rPr>
        <w:t>5 outer folds; 20 neural and 25 boosting Optuna trials</w:t>
      </w:r>
    </w:p>
    <w:p>
      <w:pPr>
        <w:spacing w:after="120"/>
      </w:pPr>
      <w:r>
        <w:rPr>
          <w:b/>
          <w:sz w:val="20"/>
        </w:rPr>
        <w:t>Transition:</w:t>
      </w:r>
      <w:r>
        <w:rPr>
          <w:sz w:val="20"/>
        </w:rPr>
        <w:t xml:space="preserve"> Results.</w:t>
      </w:r>
    </w:p>
    <w:p>
      <w:pPr>
        <w:pStyle w:val="Heading2"/>
      </w:pPr>
      <w:r>
        <w:t>Slide 15 · Results: decision quality</w:t>
      </w:r>
    </w:p>
    <w:p>
      <w:pPr>
        <w:spacing w:after="40"/>
      </w:pPr>
      <w:r>
        <w:rPr>
          <w:b w:val="0"/>
          <w:i/>
          <w:color w:val="1F4E79"/>
          <w:sz w:val="19"/>
        </w:rPr>
        <w:t>[CORE · about 1.2 min]</w:t>
      </w:r>
    </w:p>
    <w:p>
      <w:pPr>
        <w:spacing w:after="20"/>
      </w:pPr>
      <w:r>
        <w:rPr>
          <w:b/>
          <w:i w:val="0"/>
          <w:color w:val="1F2A44"/>
          <w:sz w:val="19"/>
        </w:rPr>
        <w:t>SAY</w:t>
      </w:r>
    </w:p>
    <w:p>
      <w:pPr>
        <w:spacing w:after="60"/>
      </w:pPr>
      <w:r>
        <w:rPr>
          <w:sz w:val="21"/>
        </w:rPr>
        <w:t>Decision quality. Each group is a crop; bars are mean realised revenue per quintal. The dark blue and the lighter blue are models trained on realised revenue; they are the best in every crop. The grey and gold bars, the heuristics and the observed-price model, are lower, and the last bar is the hindsight oracle, the ceiling.</w:t>
      </w:r>
    </w:p>
    <w:p>
      <w:pPr>
        <w:spacing w:after="60"/>
      </w:pPr>
      <w:r>
        <w:rPr>
          <w:sz w:val="21"/>
        </w:rPr>
        <w:t>For tomato, the realised-label model earns two thousand one hundred and fifty-six rupees, against two thousand twenty-one for yesterday's highest price and sixteen hundred for the nearest mandi, with the oracle at two thousand five hundred and seventy.</w:t>
      </w:r>
    </w:p>
    <w:p>
      <w:pPr>
        <w:spacing w:after="60"/>
      </w:pPr>
      <w:r>
        <w:rPr>
          <w:sz w:val="21"/>
        </w:rPr>
        <w:t>The reason: observed-price models send twelve to forty-three percent of trips to a silent mandi; the realised-label models cut that to five to twenty-one percent.</w:t>
      </w:r>
    </w:p>
    <w:p>
      <w:pPr>
        <w:spacing w:after="20"/>
      </w:pPr>
      <w:r>
        <w:rPr>
          <w:b/>
          <w:i w:val="0"/>
          <w:color w:val="1F2A44"/>
          <w:sz w:val="19"/>
        </w:rPr>
        <w:t>SHOW / CLICK</w:t>
      </w:r>
    </w:p>
    <w:p>
      <w:pPr>
        <w:spacing w:after="60"/>
      </w:pPr>
      <w:r>
        <w:rPr>
          <w:sz w:val="21"/>
        </w:rPr>
        <w:t>Point at the blue bars, then at the red-flag stat on the right.</w:t>
      </w:r>
    </w:p>
    <w:p>
      <w:pPr>
        <w:spacing w:after="20"/>
      </w:pPr>
      <w:r>
        <w:rPr>
          <w:b/>
          <w:i w:val="0"/>
          <w:color w:val="1F2A44"/>
          <w:sz w:val="19"/>
        </w:rPr>
        <w:t>NUMBERS TO QUOTE</w:t>
      </w:r>
    </w:p>
    <w:p>
      <w:pPr>
        <w:pStyle w:val="ListBullet"/>
        <w:spacing w:after="20"/>
      </w:pPr>
      <w:r>
        <w:rPr>
          <w:sz w:val="21"/>
        </w:rPr>
        <w:t>Tomato: Rs 2,156 vs Rs 2,021 vs Rs 1,600; oracle Rs 2,570</w:t>
      </w:r>
    </w:p>
    <w:p>
      <w:pPr>
        <w:pStyle w:val="ListBullet"/>
        <w:spacing w:after="20"/>
      </w:pPr>
      <w:r>
        <w:rPr>
          <w:sz w:val="21"/>
        </w:rPr>
        <w:t>Silent trips 12 to 43 percent down to 5 to 21 percent</w:t>
      </w:r>
    </w:p>
    <w:p>
      <w:pPr>
        <w:spacing w:after="120"/>
      </w:pPr>
      <w:r>
        <w:rPr>
          <w:b/>
          <w:sz w:val="20"/>
        </w:rPr>
        <w:t>Transition:</w:t>
      </w:r>
      <w:r>
        <w:rPr>
          <w:sz w:val="20"/>
        </w:rPr>
        <w:t xml:space="preserve"> Statistical validation.</w:t>
      </w:r>
    </w:p>
    <w:p>
      <w:pPr>
        <w:pStyle w:val="Heading2"/>
      </w:pPr>
      <w:r>
        <w:t>Slide 16 · Statistical validation</w:t>
      </w:r>
    </w:p>
    <w:p>
      <w:pPr>
        <w:spacing w:after="40"/>
      </w:pPr>
      <w:r>
        <w:rPr>
          <w:b w:val="0"/>
          <w:i/>
          <w:color w:val="1F4E79"/>
          <w:sz w:val="19"/>
        </w:rPr>
        <w:t>[CORE · about 1 min]</w:t>
      </w:r>
    </w:p>
    <w:p>
      <w:pPr>
        <w:spacing w:after="20"/>
      </w:pPr>
      <w:r>
        <w:rPr>
          <w:b/>
          <w:i w:val="0"/>
          <w:color w:val="1F2A44"/>
          <w:sz w:val="19"/>
        </w:rPr>
        <w:t>SAY</w:t>
      </w:r>
    </w:p>
    <w:p>
      <w:pPr>
        <w:spacing w:after="60"/>
      </w:pPr>
      <w:r>
        <w:rPr>
          <w:sz w:val="21"/>
        </w:rPr>
        <w:t>What actually improved decisions. The left block: changing the labels from observed price to realised revenue, with the same learner, reduced regret by eighty-seven to one hundred and fifty-seven rupees per quintal in all four crops, Holm-adjusted p below zero point zero zero two. The right block: swapping squared error for the decision-focused loss on the same labels gave no reliable difference, p between zero point one seven and zero point nine five. So the gain comes from learning on what the farmer actually received, not from a fancier loss.</w:t>
      </w:r>
    </w:p>
    <w:p>
      <w:pPr>
        <w:spacing w:after="60"/>
      </w:pPr>
      <w:r>
        <w:rPr>
          <w:sz w:val="21"/>
        </w:rPr>
        <w:t>The model confidence set agrees: only realised-label models survive in every crop.</w:t>
      </w:r>
    </w:p>
    <w:p>
      <w:pPr>
        <w:spacing w:after="20"/>
      </w:pPr>
      <w:r>
        <w:rPr>
          <w:b/>
          <w:i w:val="0"/>
          <w:color w:val="1F2A44"/>
          <w:sz w:val="19"/>
        </w:rPr>
        <w:t>SHOW / CLICK</w:t>
      </w:r>
    </w:p>
    <w:p>
      <w:pPr>
        <w:spacing w:after="60"/>
      </w:pPr>
      <w:r>
        <w:rPr>
          <w:sz w:val="21"/>
        </w:rPr>
        <w:t>Table, then the three cards.</w:t>
      </w:r>
    </w:p>
    <w:p>
      <w:pPr>
        <w:spacing w:after="20"/>
      </w:pPr>
      <w:r>
        <w:rPr>
          <w:b/>
          <w:i w:val="0"/>
          <w:color w:val="1F2A44"/>
          <w:sz w:val="19"/>
        </w:rPr>
        <w:t>NUMBERS TO QUOTE</w:t>
      </w:r>
    </w:p>
    <w:p>
      <w:pPr>
        <w:pStyle w:val="ListBullet"/>
        <w:spacing w:after="20"/>
      </w:pPr>
      <w:r>
        <w:rPr>
          <w:sz w:val="21"/>
        </w:rPr>
        <w:t>Label effect: -140, -157, -87, -149 Rs per quintal</w:t>
      </w:r>
    </w:p>
    <w:p>
      <w:pPr>
        <w:pStyle w:val="ListBullet"/>
        <w:spacing w:after="20"/>
      </w:pPr>
      <w:r>
        <w:rPr>
          <w:sz w:val="21"/>
        </w:rPr>
        <w:t>SPO+ vs squared error: -25, -23, +1, -66; all p &gt; 0.1</w:t>
      </w:r>
    </w:p>
    <w:p>
      <w:pPr>
        <w:spacing w:after="20"/>
      </w:pPr>
      <w:r>
        <w:rPr>
          <w:b/>
          <w:i w:val="0"/>
          <w:color w:val="1F2A44"/>
          <w:sz w:val="19"/>
        </w:rPr>
        <w:t>IF ASKED</w:t>
      </w:r>
    </w:p>
    <w:p>
      <w:pPr>
        <w:spacing w:after="20"/>
      </w:pPr>
      <w:r>
        <w:rPr>
          <w:b/>
          <w:sz w:val="21"/>
        </w:rPr>
        <w:t>Q:</w:t>
      </w:r>
      <w:r>
        <w:rPr>
          <w:sz w:val="21"/>
        </w:rPr>
        <w:t xml:space="preserve"> So SPO+ failed?</w:t>
      </w:r>
    </w:p>
    <w:p>
      <w:pPr>
        <w:spacing w:after="60"/>
      </w:pPr>
      <w:r>
        <w:rPr>
          <w:b/>
          <w:sz w:val="21"/>
        </w:rPr>
        <w:t>A:</w:t>
      </w:r>
      <w:r>
        <w:rPr>
          <w:sz w:val="21"/>
        </w:rPr>
        <w:t xml:space="preserve"> On this problem it adds nothing reliable once the labels are right. We pre-specified the comparison and report it; the literature also finds the benefit depends on the problem.</w:t>
      </w:r>
    </w:p>
    <w:p>
      <w:pPr>
        <w:spacing w:after="120"/>
      </w:pPr>
      <w:r>
        <w:rPr>
          <w:b/>
          <w:sz w:val="20"/>
        </w:rPr>
        <w:t>Transition:</w:t>
      </w:r>
      <w:r>
        <w:rPr>
          <w:sz w:val="20"/>
        </w:rPr>
        <w:t xml:space="preserve"> Floors and the served engine's back-test.</w:t>
      </w:r>
    </w:p>
    <w:p>
      <w:pPr>
        <w:pStyle w:val="Heading2"/>
      </w:pPr>
      <w:r>
        <w:t>Slide 17 · Verified floors and back-test</w:t>
      </w:r>
    </w:p>
    <w:p>
      <w:pPr>
        <w:spacing w:after="40"/>
      </w:pPr>
      <w:r>
        <w:rPr>
          <w:b w:val="0"/>
          <w:i/>
          <w:color w:val="1F4E79"/>
          <w:sz w:val="19"/>
        </w:rPr>
        <w:t>[CORE · about 1.2 min]</w:t>
      </w:r>
    </w:p>
    <w:p>
      <w:pPr>
        <w:spacing w:after="20"/>
      </w:pPr>
      <w:r>
        <w:rPr>
          <w:b/>
          <w:i w:val="0"/>
          <w:color w:val="1F2A44"/>
          <w:sz w:val="19"/>
        </w:rPr>
        <w:t>SAY</w:t>
      </w:r>
    </w:p>
    <w:p>
      <w:pPr>
        <w:spacing w:after="60"/>
      </w:pPr>
      <w:r>
        <w:rPr>
          <w:sz w:val="21"/>
        </w:rPr>
        <w:t>The floor. We target ten percent violation. The adaptive floor tracks the target; the naive normal-distribution floor is breached on up to thirty-five percent of days. So the guarantee is real, not decoration.</w:t>
      </w:r>
    </w:p>
    <w:p>
      <w:pPr>
        <w:spacing w:after="60"/>
      </w:pPr>
      <w:r>
        <w:rPr>
          <w:sz w:val="21"/>
        </w:rPr>
        <w:t>On the right, the served engines back-tested over the last three hundred and thirty days, using only information available each day. The advice beats the highest price yesterday by one hundred and seventy rupees for tomato, sixty for onion, two hundred and two for ginger, all significant; potato's gain of fifteen rupees is not distinguishable from zero, so the app labels potato as limited evidence and does not advise where to sell.</w:t>
      </w:r>
    </w:p>
    <w:p>
      <w:pPr>
        <w:spacing w:after="20"/>
      </w:pPr>
      <w:r>
        <w:rPr>
          <w:b/>
          <w:i w:val="0"/>
          <w:color w:val="1F2A44"/>
          <w:sz w:val="19"/>
        </w:rPr>
        <w:t>SHOW / CLICK</w:t>
      </w:r>
    </w:p>
    <w:p>
      <w:pPr>
        <w:spacing w:after="60"/>
      </w:pPr>
      <w:r>
        <w:rPr>
          <w:sz w:val="21"/>
        </w:rPr>
        <w:t>Left table then the bar chart on the right.</w:t>
      </w:r>
    </w:p>
    <w:p>
      <w:pPr>
        <w:spacing w:after="20"/>
      </w:pPr>
      <w:r>
        <w:rPr>
          <w:b/>
          <w:i w:val="0"/>
          <w:color w:val="1F2A44"/>
          <w:sz w:val="19"/>
        </w:rPr>
        <w:t>NUMBERS TO QUOTE</w:t>
      </w:r>
    </w:p>
    <w:p>
      <w:pPr>
        <w:pStyle w:val="ListBullet"/>
        <w:spacing w:after="20"/>
      </w:pPr>
      <w:r>
        <w:rPr>
          <w:sz w:val="21"/>
        </w:rPr>
        <w:t>Adaptive 10 percent target: 9.0 / 6.3 / 6.9 / 10.5; naive 27.4 / 34.5 / 25.8 / 11.9</w:t>
      </w:r>
    </w:p>
    <w:p>
      <w:pPr>
        <w:pStyle w:val="ListBullet"/>
        <w:spacing w:after="20"/>
      </w:pPr>
      <w:r>
        <w:rPr>
          <w:sz w:val="21"/>
        </w:rPr>
        <w:t>Gain vs highest yesterday: +170, +60, +15 (n.s.), +202 Rs per quintal</w:t>
      </w:r>
    </w:p>
    <w:p>
      <w:pPr>
        <w:spacing w:after="120"/>
      </w:pPr>
      <w:r>
        <w:rPr>
          <w:b/>
          <w:sz w:val="20"/>
        </w:rPr>
        <w:t>Transition:</w:t>
      </w:r>
      <w:r>
        <w:rPr>
          <w:sz w:val="20"/>
        </w:rPr>
        <w:t xml:space="preserve"> Now the insight results, starting with why this mandi.</w:t>
      </w:r>
    </w:p>
    <w:p>
      <w:pPr>
        <w:pStyle w:val="Heading2"/>
      </w:pPr>
      <w:r>
        <w:t>Slide 18 · Why this mandi, what if</w:t>
      </w:r>
    </w:p>
    <w:p>
      <w:pPr>
        <w:spacing w:after="40"/>
      </w:pPr>
      <w:r>
        <w:rPr>
          <w:b w:val="0"/>
          <w:i/>
          <w:color w:val="1F4E79"/>
          <w:sz w:val="19"/>
        </w:rPr>
        <w:t>[CORE · about 1.2 min]</w:t>
      </w:r>
    </w:p>
    <w:p>
      <w:pPr>
        <w:spacing w:after="20"/>
      </w:pPr>
      <w:r>
        <w:rPr>
          <w:b/>
          <w:i w:val="0"/>
          <w:color w:val="1F2A44"/>
          <w:sz w:val="19"/>
        </w:rPr>
        <w:t>SAY</w:t>
      </w:r>
    </w:p>
    <w:p>
      <w:pPr>
        <w:spacing w:after="60"/>
      </w:pPr>
      <w:r>
        <w:rPr>
          <w:sz w:val="21"/>
        </w:rPr>
        <w:t>These are the first two panels from the demo. On the left, the breakdown: expected price two thousand and eighty-one, minus fee eighty-three, spoilage sixty, transport ninety-four and handling twenty, gives one thousand eight hundred and twenty-four. The nearest mandi keeps one thousand two hundred and thirty-two. The advice wins because the price it expects is seven hundred and seventy-six rupees higher, which outweighs ninety-four of extra transport and sixty of spoilage.</w:t>
      </w:r>
    </w:p>
    <w:p>
      <w:pPr>
        <w:spacing w:after="60"/>
      </w:pPr>
      <w:r>
        <w:rPr>
          <w:sz w:val="21"/>
        </w:rPr>
        <w:t>On the right, the what-if. Transport can rise to three rupees per quintal-kilometre, over four times the tempo rate, and the advice does not change; net falls to one thousand five hundred and fifteen. Spoilage of five percent a day, or a farmer who cannot wait, changes it to Ramanagara today at one thousand seven hundred and eighty-nine.</w:t>
      </w:r>
    </w:p>
    <w:p>
      <w:pPr>
        <w:spacing w:after="20"/>
      </w:pPr>
      <w:r>
        <w:rPr>
          <w:b/>
          <w:i w:val="0"/>
          <w:color w:val="1F2A44"/>
          <w:sz w:val="19"/>
        </w:rPr>
        <w:t>SHOW / CLICK</w:t>
      </w:r>
    </w:p>
    <w:p>
      <w:pPr>
        <w:spacing w:after="60"/>
      </w:pPr>
      <w:r>
        <w:rPr>
          <w:sz w:val="21"/>
        </w:rPr>
        <w:t>Left image: Why this mandi? Right image: What if? Then the bullets.</w:t>
      </w:r>
    </w:p>
    <w:p>
      <w:pPr>
        <w:spacing w:after="20"/>
      </w:pPr>
      <w:r>
        <w:rPr>
          <w:b/>
          <w:i w:val="0"/>
          <w:color w:val="1F2A44"/>
          <w:sz w:val="19"/>
        </w:rPr>
        <w:t>NUMBERS TO QUOTE</w:t>
      </w:r>
    </w:p>
    <w:p>
      <w:pPr>
        <w:pStyle w:val="ListBullet"/>
        <w:spacing w:after="20"/>
      </w:pPr>
      <w:r>
        <w:rPr>
          <w:sz w:val="21"/>
        </w:rPr>
        <w:t>Rs 2,081 - 83 - 60 - 94 - 20 = Rs 1,824</w:t>
      </w:r>
    </w:p>
    <w:p>
      <w:pPr>
        <w:pStyle w:val="ListBullet"/>
        <w:spacing w:after="20"/>
      </w:pPr>
      <w:r>
        <w:rPr>
          <w:sz w:val="21"/>
        </w:rPr>
        <w:t>Nearest Rs 1,232 (screen shows Rs 1,233 after rounding)</w:t>
      </w:r>
    </w:p>
    <w:p>
      <w:pPr>
        <w:pStyle w:val="ListBullet"/>
        <w:spacing w:after="20"/>
      </w:pPr>
      <w:r>
        <w:rPr>
          <w:sz w:val="21"/>
        </w:rPr>
        <w:t>Spoilage flip at 5.0 percent a day</w:t>
      </w:r>
    </w:p>
    <w:p>
      <w:pPr>
        <w:spacing w:after="120"/>
      </w:pPr>
      <w:r>
        <w:rPr>
          <w:b/>
          <w:sz w:val="20"/>
        </w:rPr>
        <w:t>Transition:</w:t>
      </w:r>
      <w:r>
        <w:rPr>
          <w:sz w:val="20"/>
        </w:rPr>
        <w:t xml:space="preserve"> The track record.</w:t>
      </w:r>
    </w:p>
    <w:p>
      <w:pPr>
        <w:pStyle w:val="Heading2"/>
      </w:pPr>
      <w:r>
        <w:t>Slide 19 · Public track record</w:t>
      </w:r>
    </w:p>
    <w:p>
      <w:pPr>
        <w:spacing w:after="40"/>
      </w:pPr>
      <w:r>
        <w:rPr>
          <w:b w:val="0"/>
          <w:i/>
          <w:color w:val="1F4E79"/>
          <w:sz w:val="19"/>
        </w:rPr>
        <w:t>[CORE · about 1.2 min]</w:t>
      </w:r>
    </w:p>
    <w:p>
      <w:pPr>
        <w:spacing w:after="20"/>
      </w:pPr>
      <w:r>
        <w:rPr>
          <w:b/>
          <w:i w:val="0"/>
          <w:color w:val="1F2A44"/>
          <w:sz w:val="19"/>
        </w:rPr>
        <w:t>SAY</w:t>
      </w:r>
    </w:p>
    <w:p>
      <w:pPr>
        <w:spacing w:after="60"/>
      </w:pPr>
      <w:r>
        <w:rPr>
          <w:sz w:val="21"/>
        </w:rPr>
        <w:t>The public track record. We replay the advice over one hundred and sixty-five days it had not seen, May to October. Against the nearest mandi it wins on ninety-three percent of days for tomato, eighty-two for onion, sixty-three for potato and ninety for ginger. Against yesterday's highest price most days are ties because the advice often picks the same action; where it differs it wins more than it loses for tomato and onion, ties for ginger, and wins fifty-two percent to thirty-six for potato.</w:t>
      </w:r>
    </w:p>
    <w:p>
      <w:pPr>
        <w:spacing w:after="60"/>
      </w:pPr>
      <w:r>
        <w:rPr>
          <w:sz w:val="21"/>
        </w:rPr>
        <w:t>The honest part: the floor, set to hold nine days in ten, held on eighty-four percent for tomato, eighty-nine for onion, ninety-two for potato and eighty-six for ginger. This replay is the strictest of three evaluations: one multiplier fitted on half the window. The served rule's own back-test violated nine point six to twelve point three percent. We show the farmer the real score.</w:t>
      </w:r>
    </w:p>
    <w:p>
      <w:pPr>
        <w:spacing w:after="20"/>
      </w:pPr>
      <w:r>
        <w:rPr>
          <w:b/>
          <w:i w:val="0"/>
          <w:color w:val="1F2A44"/>
          <w:sz w:val="19"/>
        </w:rPr>
        <w:t>SHOW / CLICK</w:t>
      </w:r>
    </w:p>
    <w:p>
      <w:pPr>
        <w:spacing w:after="60"/>
      </w:pPr>
      <w:r>
        <w:rPr>
          <w:sz w:val="21"/>
        </w:rPr>
        <w:t>Table and line chart; point at the Floor held column.</w:t>
      </w:r>
    </w:p>
    <w:p>
      <w:pPr>
        <w:spacing w:after="20"/>
      </w:pPr>
      <w:r>
        <w:rPr>
          <w:b/>
          <w:i w:val="0"/>
          <w:color w:val="1F2A44"/>
          <w:sz w:val="19"/>
        </w:rPr>
        <w:t>NUMBERS TO QUOTE</w:t>
      </w:r>
    </w:p>
    <w:p>
      <w:pPr>
        <w:pStyle w:val="ListBullet"/>
        <w:spacing w:after="20"/>
      </w:pPr>
      <w:r>
        <w:rPr>
          <w:sz w:val="21"/>
        </w:rPr>
        <w:t>165 days, 12 May to 23 Oct 2026</w:t>
      </w:r>
    </w:p>
    <w:p>
      <w:pPr>
        <w:pStyle w:val="ListBullet"/>
        <w:spacing w:after="20"/>
      </w:pPr>
      <w:r>
        <w:rPr>
          <w:sz w:val="21"/>
        </w:rPr>
        <w:t>Wins vs nearest: 93, 82, 63, 90 percent</w:t>
      </w:r>
    </w:p>
    <w:p>
      <w:pPr>
        <w:pStyle w:val="ListBullet"/>
        <w:spacing w:after="20"/>
      </w:pPr>
      <w:r>
        <w:rPr>
          <w:sz w:val="21"/>
        </w:rPr>
        <w:t>Floor held: 84, 89, 92, 86 percent (target 90)</w:t>
      </w:r>
    </w:p>
    <w:p>
      <w:pPr>
        <w:spacing w:after="20"/>
      </w:pPr>
      <w:r>
        <w:rPr>
          <w:b/>
          <w:i w:val="0"/>
          <w:color w:val="1F2A44"/>
          <w:sz w:val="19"/>
        </w:rPr>
        <w:t>IF ASKED</w:t>
      </w:r>
    </w:p>
    <w:p>
      <w:pPr>
        <w:spacing w:after="20"/>
      </w:pPr>
      <w:r>
        <w:rPr>
          <w:b/>
          <w:sz w:val="21"/>
        </w:rPr>
        <w:t>Q:</w:t>
      </w:r>
      <w:r>
        <w:rPr>
          <w:sz w:val="21"/>
        </w:rPr>
        <w:t xml:space="preserve"> Isn't 84 percent a failure of the floor?</w:t>
      </w:r>
    </w:p>
    <w:p>
      <w:pPr>
        <w:spacing w:after="60"/>
      </w:pPr>
      <w:r>
        <w:rPr>
          <w:b/>
          <w:sz w:val="21"/>
        </w:rPr>
        <w:t>A:</w:t>
      </w:r>
      <w:r>
        <w:rPr>
          <w:sz w:val="21"/>
        </w:rPr>
        <w:t xml:space="preserve"> It is below the 90 percent target on this short, strict replay. The three evaluations differ in how the floor multiplier is fitted; the served rule's own back-test violates 9.6 to 12.3 percent. We report all three side by side in the thesis, and the app shows the score rather than a promise.</w:t>
      </w:r>
    </w:p>
    <w:p>
      <w:pPr>
        <w:spacing w:after="120"/>
      </w:pPr>
      <w:r>
        <w:rPr>
          <w:b/>
          <w:sz w:val="20"/>
        </w:rPr>
        <w:t>Transition:</w:t>
      </w:r>
      <w:r>
        <w:rPr>
          <w:sz w:val="20"/>
        </w:rPr>
        <w:t xml:space="preserve"> The silence tax.</w:t>
      </w:r>
    </w:p>
    <w:p>
      <w:pPr>
        <w:pStyle w:val="Heading2"/>
      </w:pPr>
      <w:r>
        <w:t>Slide 20 · Silence tax</w:t>
      </w:r>
    </w:p>
    <w:p>
      <w:pPr>
        <w:spacing w:after="40"/>
      </w:pPr>
      <w:r>
        <w:rPr>
          <w:b w:val="0"/>
          <w:i/>
          <w:color w:val="1F4E79"/>
          <w:sz w:val="19"/>
        </w:rPr>
        <w:t>[CORE · about 1 min]</w:t>
      </w:r>
    </w:p>
    <w:p>
      <w:pPr>
        <w:spacing w:after="20"/>
      </w:pPr>
      <w:r>
        <w:rPr>
          <w:b/>
          <w:i w:val="0"/>
          <w:color w:val="1F2A44"/>
          <w:sz w:val="19"/>
        </w:rPr>
        <w:t>SAY</w:t>
      </w:r>
    </w:p>
    <w:p>
      <w:pPr>
        <w:spacing w:after="60"/>
      </w:pPr>
      <w:r>
        <w:rPr>
          <w:sz w:val="21"/>
        </w:rPr>
        <w:t>The silence tax puts a rupee figure on unreliable reporting. Over thirteen tomato mandis, a trip loses seventy-eight rupees per quintal on average to surprise silence; Kanakapura loses three hundred and thirteen, sixteen and a half percent of its price. The heatmap shows each mandi by weekday: red columns are days it is effectively closed, like Sundays at several mandis and Thursdays at Chikkaballapur.</w:t>
      </w:r>
    </w:p>
    <w:p>
      <w:pPr>
        <w:spacing w:after="60"/>
      </w:pPr>
      <w:r>
        <w:rPr>
          <w:sz w:val="21"/>
        </w:rPr>
        <w:t>Two cautions. A silent day may be a closed mandi or a missed upload; the portal does not say. And a tax of zero for a cheap mandi does not mean reliable; it means its usual price is below the fallback, so we show surprise silence beside it.</w:t>
      </w:r>
    </w:p>
    <w:p>
      <w:pPr>
        <w:spacing w:after="20"/>
      </w:pPr>
      <w:r>
        <w:rPr>
          <w:b/>
          <w:i w:val="0"/>
          <w:color w:val="1F2A44"/>
          <w:sz w:val="19"/>
        </w:rPr>
        <w:t>SHOW / CLICK</w:t>
      </w:r>
    </w:p>
    <w:p>
      <w:pPr>
        <w:spacing w:after="60"/>
      </w:pPr>
      <w:r>
        <w:rPr>
          <w:sz w:val="21"/>
        </w:rPr>
        <w:t>Heatmap and table.</w:t>
      </w:r>
    </w:p>
    <w:p>
      <w:pPr>
        <w:spacing w:after="20"/>
      </w:pPr>
      <w:r>
        <w:rPr>
          <w:b/>
          <w:i w:val="0"/>
          <w:color w:val="1F2A44"/>
          <w:sz w:val="19"/>
        </w:rPr>
        <w:t>NUMBERS TO QUOTE</w:t>
      </w:r>
    </w:p>
    <w:p>
      <w:pPr>
        <w:pStyle w:val="ListBullet"/>
        <w:spacing w:after="20"/>
      </w:pPr>
      <w:r>
        <w:rPr>
          <w:sz w:val="21"/>
        </w:rPr>
        <w:t>13 tomato mandis; mean Rs 78 per quintal per trip</w:t>
      </w:r>
    </w:p>
    <w:p>
      <w:pPr>
        <w:pStyle w:val="ListBullet"/>
        <w:spacing w:after="20"/>
      </w:pPr>
      <w:r>
        <w:rPr>
          <w:sz w:val="21"/>
        </w:rPr>
        <w:t>Kanakapura Rs 313 (16.5 percent)</w:t>
      </w:r>
    </w:p>
    <w:p>
      <w:pPr>
        <w:pStyle w:val="ListBullet"/>
        <w:spacing w:after="20"/>
      </w:pPr>
      <w:r>
        <w:rPr>
          <w:sz w:val="21"/>
        </w:rPr>
        <w:t>Chikkaballapur: 100 percent silent on Thursdays</w:t>
      </w:r>
    </w:p>
    <w:p>
      <w:pPr>
        <w:spacing w:after="120"/>
      </w:pPr>
      <w:r>
        <w:rPr>
          <w:b/>
          <w:sz w:val="20"/>
        </w:rPr>
        <w:t>Transition:</w:t>
      </w:r>
      <w:r>
        <w:rPr>
          <w:sz w:val="20"/>
        </w:rPr>
        <w:t xml:space="preserve"> The crowd simulator.</w:t>
      </w:r>
    </w:p>
    <w:p>
      <w:pPr>
        <w:pStyle w:val="Heading2"/>
      </w:pPr>
      <w:r>
        <w:t>Slide 21 · Crowd simulator</w:t>
      </w:r>
    </w:p>
    <w:p>
      <w:pPr>
        <w:spacing w:after="40"/>
      </w:pPr>
      <w:r>
        <w:rPr>
          <w:b w:val="0"/>
          <w:i/>
          <w:color w:val="1F4E79"/>
          <w:sz w:val="19"/>
        </w:rPr>
        <w:t>[CORE · about 1.2 min]</w:t>
      </w:r>
    </w:p>
    <w:p>
      <w:pPr>
        <w:spacing w:after="20"/>
      </w:pPr>
      <w:r>
        <w:rPr>
          <w:b/>
          <w:i w:val="0"/>
          <w:color w:val="1F2A44"/>
          <w:sz w:val="19"/>
        </w:rPr>
        <w:t>SAY</w:t>
      </w:r>
    </w:p>
    <w:p>
      <w:pPr>
        <w:spacing w:after="60"/>
      </w:pPr>
      <w:r>
        <w:rPr>
          <w:sz w:val="21"/>
        </w:rPr>
        <w:t>The question an examiner should ask: what if everyone follows your advice? One farmer alone nets one thousand eight hundred and twenty-four. With two hundred farmers all taking the best action, that mandi's price falls thirty-two and a half percent and each nets one thousand one hundred and ninety-four, no better than going to the nearest mandi. A coordinated split nets one thousand four hundred and thirty-six, two hundred and forty-one rupees per quintal more, about four point eight lakh for the group.</w:t>
      </w:r>
    </w:p>
    <w:p>
      <w:pPr>
        <w:spacing w:after="60"/>
      </w:pPr>
      <w:r>
        <w:rPr>
          <w:sz w:val="21"/>
        </w:rPr>
        <w:t>As the crowd grows to two thousand, every policy deteriorates and coordination matters more. This rests on a price flexibility of zero point one one five estimated as an association in past data. It is a scenario: at zero every policy is equal, and the real response to advised farmers has not been observed.</w:t>
      </w:r>
    </w:p>
    <w:p>
      <w:pPr>
        <w:spacing w:after="20"/>
      </w:pPr>
      <w:r>
        <w:rPr>
          <w:b/>
          <w:i w:val="0"/>
          <w:color w:val="1F2A44"/>
          <w:sz w:val="19"/>
        </w:rPr>
        <w:t>SHOW / CLICK</w:t>
      </w:r>
    </w:p>
    <w:p>
      <w:pPr>
        <w:spacing w:after="60"/>
      </w:pPr>
      <w:r>
        <w:rPr>
          <w:sz w:val="21"/>
        </w:rPr>
        <w:t>Line chart; stat boxes; point at the caveat card.</w:t>
      </w:r>
    </w:p>
    <w:p>
      <w:pPr>
        <w:spacing w:after="20"/>
      </w:pPr>
      <w:r>
        <w:rPr>
          <w:b/>
          <w:i w:val="0"/>
          <w:color w:val="1F2A44"/>
          <w:sz w:val="19"/>
        </w:rPr>
        <w:t>NUMBERS TO QUOTE</w:t>
      </w:r>
    </w:p>
    <w:p>
      <w:pPr>
        <w:pStyle w:val="ListBullet"/>
        <w:spacing w:after="20"/>
      </w:pPr>
      <w:r>
        <w:rPr>
          <w:sz w:val="21"/>
        </w:rPr>
        <w:t>200 farmers x 10 quintals</w:t>
      </w:r>
    </w:p>
    <w:p>
      <w:pPr>
        <w:pStyle w:val="ListBullet"/>
        <w:spacing w:after="20"/>
      </w:pPr>
      <w:r>
        <w:rPr>
          <w:sz w:val="21"/>
        </w:rPr>
        <w:t>Alone Rs 1,824; follow-best Rs 1,194; nearest Rs 1,207; coordinated Rs 1,436</w:t>
      </w:r>
    </w:p>
    <w:p>
      <w:pPr>
        <w:pStyle w:val="ListBullet"/>
        <w:spacing w:after="20"/>
      </w:pPr>
      <w:r>
        <w:rPr>
          <w:sz w:val="21"/>
        </w:rPr>
        <w:t>Price drop 32.5 percent; gain Rs 241 per quintal; Rs 4,82,705 total</w:t>
      </w:r>
    </w:p>
    <w:p>
      <w:pPr>
        <w:spacing w:after="20"/>
      </w:pPr>
      <w:r>
        <w:rPr>
          <w:b/>
          <w:i w:val="0"/>
          <w:color w:val="1F2A44"/>
          <w:sz w:val="19"/>
        </w:rPr>
        <w:t>IF ASKED</w:t>
      </w:r>
    </w:p>
    <w:p>
      <w:pPr>
        <w:spacing w:after="20"/>
      </w:pPr>
      <w:r>
        <w:rPr>
          <w:b/>
          <w:sz w:val="21"/>
        </w:rPr>
        <w:t>Q:</w:t>
      </w:r>
      <w:r>
        <w:rPr>
          <w:sz w:val="21"/>
        </w:rPr>
        <w:t xml:space="preserve"> How would you measure the real effect?</w:t>
      </w:r>
    </w:p>
    <w:p>
      <w:pPr>
        <w:spacing w:after="60"/>
      </w:pPr>
      <w:r>
        <w:rPr>
          <w:b/>
          <w:sz w:val="21"/>
        </w:rPr>
        <w:t>A:</w:t>
      </w:r>
      <w:r>
        <w:rPr>
          <w:sz w:val="21"/>
        </w:rPr>
        <w:t xml:space="preserve"> A field pilot with advised and unadvised farmers at the same mandi, comparing price and quantity received. That is the first item in future work.</w:t>
      </w:r>
    </w:p>
    <w:p>
      <w:pPr>
        <w:spacing w:after="120"/>
      </w:pPr>
      <w:r>
        <w:rPr>
          <w:b/>
          <w:sz w:val="20"/>
        </w:rPr>
        <w:t>Transition:</w:t>
      </w:r>
      <w:r>
        <w:rPr>
          <w:sz w:val="20"/>
        </w:rPr>
        <w:t xml:space="preserve"> The daily digest.</w:t>
      </w:r>
    </w:p>
    <w:p>
      <w:pPr>
        <w:pStyle w:val="Heading2"/>
      </w:pPr>
      <w:r>
        <w:t>Slide 22 · Daily digest on Telegram</w:t>
      </w:r>
    </w:p>
    <w:p>
      <w:pPr>
        <w:spacing w:after="40"/>
      </w:pPr>
      <w:r>
        <w:rPr>
          <w:b w:val="0"/>
          <w:i/>
          <w:color w:val="1F4E79"/>
          <w:sz w:val="19"/>
        </w:rPr>
        <w:t>[CORE · about 1 min]</w:t>
      </w:r>
    </w:p>
    <w:p>
      <w:pPr>
        <w:spacing w:after="20"/>
      </w:pPr>
      <w:r>
        <w:rPr>
          <w:b/>
          <w:i w:val="0"/>
          <w:color w:val="1F2A44"/>
          <w:sz w:val="19"/>
        </w:rPr>
        <w:t>SAY</w:t>
      </w:r>
    </w:p>
    <w:p>
      <w:pPr>
        <w:spacing w:after="60"/>
      </w:pPr>
      <w:r>
        <w:rPr>
          <w:sz w:val="21"/>
        </w:rPr>
        <w:t>This is the morning digest as the bot sends it. The second line gives the date of the data and, below it, how old it is, because we have no live feed. Each crop shows the latest reported price with its date and the change against the previous week. Advice appears only where the evidence is strong: tomato and onion here; potato gets prices only.</w:t>
      </w:r>
    </w:p>
    <w:p>
      <w:pPr>
        <w:spacing w:after="60"/>
      </w:pPr>
      <w:r>
        <w:rPr>
          <w:sz w:val="21"/>
        </w:rPr>
        <w:t>Built on the free Telegram Bot API: onboarding with buttons, languages English, Kannada and Hindi, slash today, slash stop, and free-text questions. Every send is logged, and the log shows deliveries to a real account. Eight unit tests pass with a fake client. Not claimed: a pilot with farmers and a live price feed.</w:t>
      </w:r>
    </w:p>
    <w:p>
      <w:pPr>
        <w:spacing w:after="20"/>
      </w:pPr>
      <w:r>
        <w:rPr>
          <w:b/>
          <w:i w:val="0"/>
          <w:color w:val="1F2A44"/>
          <w:sz w:val="19"/>
        </w:rPr>
        <w:t>SHOW / CLICK</w:t>
      </w:r>
    </w:p>
    <w:p>
      <w:pPr>
        <w:spacing w:after="60"/>
      </w:pPr>
      <w:r>
        <w:rPr>
          <w:sz w:val="21"/>
        </w:rPr>
        <w:t>Message image on the left; the bullets on the right.</w:t>
      </w:r>
    </w:p>
    <w:p>
      <w:pPr>
        <w:spacing w:after="20"/>
      </w:pPr>
      <w:r>
        <w:rPr>
          <w:b/>
          <w:i w:val="0"/>
          <w:color w:val="1F2A44"/>
          <w:sz w:val="19"/>
        </w:rPr>
        <w:t>NUMBERS TO QUOTE</w:t>
      </w:r>
    </w:p>
    <w:p>
      <w:pPr>
        <w:pStyle w:val="ListBullet"/>
        <w:spacing w:after="20"/>
      </w:pPr>
      <w:r>
        <w:rPr>
          <w:sz w:val="21"/>
        </w:rPr>
        <w:t>Bot: @MandiAis_BOT</w:t>
      </w:r>
    </w:p>
    <w:p>
      <w:pPr>
        <w:pStyle w:val="ListBullet"/>
        <w:spacing w:after="20"/>
      </w:pPr>
      <w:r>
        <w:rPr>
          <w:sz w:val="21"/>
        </w:rPr>
        <w:t>8 digest tests; every price dated</w:t>
      </w:r>
    </w:p>
    <w:p>
      <w:pPr>
        <w:pStyle w:val="ListBullet"/>
        <w:spacing w:after="20"/>
      </w:pPr>
      <w:r>
        <w:rPr>
          <w:sz w:val="21"/>
        </w:rPr>
        <w:t>Scheduled by Windows Task Scheduler at 07:00</w:t>
      </w:r>
    </w:p>
    <w:p>
      <w:pPr>
        <w:spacing w:after="20"/>
      </w:pPr>
      <w:r>
        <w:rPr>
          <w:b/>
          <w:i w:val="0"/>
          <w:color w:val="1F2A44"/>
          <w:sz w:val="19"/>
        </w:rPr>
        <w:t>IF ASKED</w:t>
      </w:r>
    </w:p>
    <w:p>
      <w:pPr>
        <w:spacing w:after="20"/>
      </w:pPr>
      <w:r>
        <w:rPr>
          <w:b/>
          <w:sz w:val="21"/>
        </w:rPr>
        <w:t>Q:</w:t>
      </w:r>
      <w:r>
        <w:rPr>
          <w:sz w:val="21"/>
        </w:rPr>
        <w:t xml:space="preserve"> Why Telegram and not SMS?</w:t>
      </w:r>
    </w:p>
    <w:p>
      <w:pPr>
        <w:spacing w:after="60"/>
      </w:pPr>
      <w:r>
        <w:rPr>
          <w:b/>
          <w:sz w:val="21"/>
        </w:rPr>
        <w:t>A:</w:t>
      </w:r>
      <w:r>
        <w:rPr>
          <w:sz w:val="21"/>
        </w:rPr>
        <w:t xml:space="preserve"> SMS in India needs sender and template registration (DLT) and a paid provider. Telegram is free and lets us demonstrate the whole flow now. The message builder is channel-independent.</w:t>
      </w:r>
    </w:p>
    <w:p>
      <w:pPr>
        <w:spacing w:after="20"/>
      </w:pPr>
      <w:r>
        <w:rPr>
          <w:b/>
          <w:sz w:val="21"/>
        </w:rPr>
        <w:t>Q:</w:t>
      </w:r>
      <w:r>
        <w:rPr>
          <w:sz w:val="21"/>
        </w:rPr>
        <w:t xml:space="preserve"> Privacy?</w:t>
      </w:r>
    </w:p>
    <w:p>
      <w:pPr>
        <w:spacing w:after="60"/>
      </w:pPr>
      <w:r>
        <w:rPr>
          <w:b/>
          <w:sz w:val="21"/>
        </w:rPr>
        <w:t>A:</w:t>
      </w:r>
      <w:r>
        <w:rPr>
          <w:sz w:val="21"/>
        </w:rPr>
        <w:t xml:space="preserve"> Only chat id, first name, language, district and crops are stored, in a local file; users can stop at any time.</w:t>
      </w:r>
    </w:p>
    <w:p>
      <w:pPr>
        <w:spacing w:after="120"/>
      </w:pPr>
      <w:r>
        <w:rPr>
          <w:b/>
          <w:sz w:val="20"/>
        </w:rPr>
        <w:t>Transition:</w:t>
      </w:r>
      <w:r>
        <w:rPr>
          <w:sz w:val="20"/>
        </w:rPr>
        <w:t xml:space="preserve"> Back to the research results: the leakage audit.</w:t>
      </w:r>
    </w:p>
    <w:p>
      <w:pPr>
        <w:pStyle w:val="Heading2"/>
      </w:pPr>
      <w:r>
        <w:t>Slide 23 · Look-ahead audit</w:t>
      </w:r>
    </w:p>
    <w:p>
      <w:pPr>
        <w:spacing w:after="40"/>
      </w:pPr>
      <w:r>
        <w:rPr>
          <w:b w:val="0"/>
          <w:i/>
          <w:color w:val="1F4E79"/>
          <w:sz w:val="19"/>
        </w:rPr>
        <w:t>[CORE · about 1.2 min]</w:t>
      </w:r>
    </w:p>
    <w:p>
      <w:pPr>
        <w:spacing w:after="20"/>
      </w:pPr>
      <w:r>
        <w:rPr>
          <w:b/>
          <w:i w:val="0"/>
          <w:color w:val="1F2A44"/>
          <w:sz w:val="19"/>
        </w:rPr>
        <w:t>SAY</w:t>
      </w:r>
    </w:p>
    <w:p>
      <w:pPr>
        <w:spacing w:after="60"/>
      </w:pPr>
      <w:r>
        <w:rPr>
          <w:sz w:val="21"/>
        </w:rPr>
        <w:t>A third result: the audit of decompose-then-forecast models. Published studies decompose the whole series and report skill of twenty-seven to sixty-two percent against the random walk. We ran the same models under two protocols that differ only in how components at the forecast origin are computed. Decomposing once over the whole series reproduces the large skill; decomposing only the data available at each origin gives minus fifteen to minus one percent, no better than the raw series. The difference, thirty to seventy-one points, is look-ahead leakage: STL and VMD are two-sided smoothers.</w:t>
      </w:r>
    </w:p>
    <w:p>
      <w:pPr>
        <w:spacing w:after="60"/>
      </w:pPr>
      <w:r>
        <w:rPr>
          <w:sz w:val="21"/>
        </w:rPr>
        <w:t>A zero-shot foundation model, Chronos-Bolt, scored minus nine point four percent at one day. On the daily tomato series no model beat the random walk. We audited the protocol they describe, not the specific papers.</w:t>
      </w:r>
    </w:p>
    <w:p>
      <w:pPr>
        <w:spacing w:after="20"/>
      </w:pPr>
      <w:r>
        <w:rPr>
          <w:b/>
          <w:i w:val="0"/>
          <w:color w:val="1F2A44"/>
          <w:sz w:val="19"/>
        </w:rPr>
        <w:t>SHOW / CLICK</w:t>
      </w:r>
    </w:p>
    <w:p>
      <w:pPr>
        <w:spacing w:after="60"/>
      </w:pPr>
      <w:r>
        <w:rPr>
          <w:sz w:val="21"/>
        </w:rPr>
        <w:t>Bar chart: red published, blue causal.</w:t>
      </w:r>
    </w:p>
    <w:p>
      <w:pPr>
        <w:spacing w:after="20"/>
      </w:pPr>
      <w:r>
        <w:rPr>
          <w:b/>
          <w:i w:val="0"/>
          <w:color w:val="1F2A44"/>
          <w:sz w:val="19"/>
        </w:rPr>
        <w:t>NUMBERS TO QUOTE</w:t>
      </w:r>
    </w:p>
    <w:p>
      <w:pPr>
        <w:pStyle w:val="ListBullet"/>
        <w:spacing w:after="20"/>
      </w:pPr>
      <w:r>
        <w:rPr>
          <w:sz w:val="21"/>
        </w:rPr>
        <w:t>Published +27 to +62 percent; causal -15 to -1 percent</w:t>
      </w:r>
    </w:p>
    <w:p>
      <w:pPr>
        <w:pStyle w:val="ListBullet"/>
        <w:spacing w:after="20"/>
      </w:pPr>
      <w:r>
        <w:rPr>
          <w:sz w:val="21"/>
        </w:rPr>
        <w:t>Chronos-Bolt -9.4 percent at one day</w:t>
      </w:r>
    </w:p>
    <w:p>
      <w:pPr>
        <w:spacing w:after="120"/>
      </w:pPr>
      <w:r>
        <w:rPr>
          <w:b/>
          <w:sz w:val="20"/>
        </w:rPr>
        <w:t>Transition:</w:t>
      </w:r>
      <w:r>
        <w:rPr>
          <w:sz w:val="20"/>
        </w:rPr>
        <w:t xml:space="preserve"> Studies that did not clear their bar.</w:t>
      </w:r>
    </w:p>
    <w:p>
      <w:pPr>
        <w:pStyle w:val="Heading2"/>
      </w:pPr>
      <w:r>
        <w:t>Slide 24 · Council, shocks, spillover, language layer</w:t>
      </w:r>
    </w:p>
    <w:p>
      <w:pPr>
        <w:spacing w:after="40"/>
      </w:pPr>
      <w:r>
        <w:rPr>
          <w:b w:val="0"/>
          <w:i/>
          <w:color w:val="1F4E79"/>
          <w:sz w:val="19"/>
        </w:rPr>
        <w:t>[SKIP IF SHORT · about 1.2 min]</w:t>
      </w:r>
    </w:p>
    <w:p>
      <w:pPr>
        <w:spacing w:after="20"/>
      </w:pPr>
      <w:r>
        <w:rPr>
          <w:b/>
          <w:i w:val="0"/>
          <w:color w:val="1F2A44"/>
          <w:sz w:val="19"/>
        </w:rPr>
        <w:t>SAY</w:t>
      </w:r>
    </w:p>
    <w:p>
      <w:pPr>
        <w:spacing w:after="60"/>
      </w:pPr>
      <w:r>
        <w:rPr>
          <w:sz w:val="21"/>
        </w:rPr>
        <w:t>Not everything worked and we report it. The specialist council of four agents did not beat a single model and wins zero or one of four folds, so it is not promoted. The supply-shock event study found zero robust effects out of thirty tests and five suggestive. Spillover published none. District forecasts at three, five and seven days are served because they beat no-change with ninety percent bands that cover eighty-nine point eight percent; one day is not served. The explanation layer keeps eighty-three to ninety-nine percent of English sentences and fewer in Kannada and Hindi after an independent judge, and the judge caught nine of nine corrupted sentences.</w:t>
      </w:r>
    </w:p>
    <w:p>
      <w:pPr>
        <w:spacing w:after="60"/>
      </w:pPr>
      <w:r>
        <w:rPr>
          <w:sz w:val="21"/>
        </w:rPr>
        <w:t>Zero spillover episodes is also a finding about our pipeline: the detector depends on supply-regime labels that the real panel does not yet supply.</w:t>
      </w:r>
    </w:p>
    <w:p>
      <w:pPr>
        <w:spacing w:after="20"/>
      </w:pPr>
      <w:r>
        <w:rPr>
          <w:b/>
          <w:i w:val="0"/>
          <w:color w:val="1F2A44"/>
          <w:sz w:val="19"/>
        </w:rPr>
        <w:t>SHOW / CLICK</w:t>
      </w:r>
    </w:p>
    <w:p>
      <w:pPr>
        <w:spacing w:after="60"/>
      </w:pPr>
      <w:r>
        <w:rPr>
          <w:sz w:val="21"/>
        </w:rPr>
        <w:t>Table; read down the Verdict column.</w:t>
      </w:r>
    </w:p>
    <w:p>
      <w:pPr>
        <w:spacing w:after="20"/>
      </w:pPr>
      <w:r>
        <w:rPr>
          <w:b/>
          <w:i w:val="0"/>
          <w:color w:val="1F2A44"/>
          <w:sz w:val="19"/>
        </w:rPr>
        <w:t>NUMBERS TO QUOTE</w:t>
      </w:r>
    </w:p>
    <w:p>
      <w:pPr>
        <w:pStyle w:val="ListBullet"/>
        <w:spacing w:after="20"/>
      </w:pPr>
      <w:r>
        <w:rPr>
          <w:sz w:val="21"/>
        </w:rPr>
        <w:t>Council wins 0 to 1 of 4 folds</w:t>
      </w:r>
    </w:p>
    <w:p>
      <w:pPr>
        <w:pStyle w:val="ListBullet"/>
        <w:spacing w:after="20"/>
      </w:pPr>
      <w:r>
        <w:rPr>
          <w:sz w:val="21"/>
        </w:rPr>
        <w:t>Shocks: 0 robust, 5 suggestive of 30</w:t>
      </w:r>
    </w:p>
    <w:p>
      <w:pPr>
        <w:pStyle w:val="ListBullet"/>
        <w:spacing w:after="20"/>
      </w:pPr>
      <w:r>
        <w:rPr>
          <w:sz w:val="21"/>
        </w:rPr>
        <w:t>Spillover: 40 of 40 insufficient evidence</w:t>
      </w:r>
    </w:p>
    <w:p>
      <w:pPr>
        <w:spacing w:after="20"/>
      </w:pPr>
      <w:r>
        <w:rPr>
          <w:b/>
          <w:i w:val="0"/>
          <w:color w:val="1F2A44"/>
          <w:sz w:val="19"/>
        </w:rPr>
        <w:t>IF ASKED</w:t>
      </w:r>
    </w:p>
    <w:p>
      <w:pPr>
        <w:spacing w:after="20"/>
      </w:pPr>
      <w:r>
        <w:rPr>
          <w:b/>
          <w:sz w:val="21"/>
        </w:rPr>
        <w:t>Q:</w:t>
      </w:r>
      <w:r>
        <w:rPr>
          <w:sz w:val="21"/>
        </w:rPr>
        <w:t xml:space="preserve"> What would you do about spillover next?</w:t>
      </w:r>
    </w:p>
    <w:p>
      <w:pPr>
        <w:spacing w:after="60"/>
      </w:pPr>
      <w:r>
        <w:rPr>
          <w:b/>
          <w:sz w:val="21"/>
        </w:rPr>
        <w:t>A:</w:t>
      </w:r>
      <w:r>
        <w:rPr>
          <w:sz w:val="21"/>
        </w:rPr>
        <w:t xml:space="preserve"> Define shock episodes directly from arrivals, as the shock study does, and rerun the forty edges.</w:t>
      </w:r>
    </w:p>
    <w:p>
      <w:pPr>
        <w:spacing w:after="120"/>
      </w:pPr>
      <w:r>
        <w:rPr>
          <w:b/>
          <w:sz w:val="20"/>
        </w:rPr>
        <w:t>Transition:</w:t>
      </w:r>
      <w:r>
        <w:rPr>
          <w:sz w:val="20"/>
        </w:rPr>
        <w:t xml:space="preserve"> Benchmarking.</w:t>
      </w:r>
    </w:p>
    <w:p>
      <w:pPr>
        <w:pStyle w:val="Heading2"/>
      </w:pPr>
      <w:r>
        <w:t>Slide 25 · Comparative benchmarking</w:t>
      </w:r>
    </w:p>
    <w:p>
      <w:pPr>
        <w:spacing w:after="40"/>
      </w:pPr>
      <w:r>
        <w:rPr>
          <w:b w:val="0"/>
          <w:i/>
          <w:color w:val="1F4E79"/>
          <w:sz w:val="19"/>
        </w:rPr>
        <w:t>[SKIP IF SHORT · about 0.8 min]</w:t>
      </w:r>
    </w:p>
    <w:p>
      <w:pPr>
        <w:spacing w:after="20"/>
      </w:pPr>
      <w:r>
        <w:rPr>
          <w:b/>
          <w:i w:val="0"/>
          <w:color w:val="1F2A44"/>
          <w:sz w:val="19"/>
        </w:rPr>
        <w:t>SAY</w:t>
      </w:r>
    </w:p>
    <w:p>
      <w:pPr>
        <w:spacing w:after="60"/>
      </w:pPr>
      <w:r>
        <w:rPr>
          <w:sz w:val="21"/>
        </w:rPr>
        <w:t>The benchmark. Same split, same metric, every baseline retrained. No published study scores mandi choice by regret on real reporting-gap data, so the baselines are the heuristics a farmer uses and the standard predict-then-optimise models. Where we win: all four crops against every heuristic and every observed-price model. Where we do not: potato's back-test gain over the best heuristic is not significant and SPO-plus ties squared error.</w:t>
      </w:r>
    </w:p>
    <w:p>
      <w:pPr>
        <w:spacing w:after="20"/>
      </w:pPr>
      <w:r>
        <w:rPr>
          <w:b/>
          <w:i w:val="0"/>
          <w:color w:val="1F2A44"/>
          <w:sz w:val="19"/>
        </w:rPr>
        <w:t>SHOW / CLICK</w:t>
      </w:r>
    </w:p>
    <w:p>
      <w:pPr>
        <w:spacing w:after="60"/>
      </w:pPr>
      <w:r>
        <w:rPr>
          <w:sz w:val="21"/>
        </w:rPr>
        <w:t>Table; the two blue rows are ours.</w:t>
      </w:r>
    </w:p>
    <w:p>
      <w:pPr>
        <w:spacing w:after="20"/>
      </w:pPr>
      <w:r>
        <w:rPr>
          <w:b/>
          <w:i w:val="0"/>
          <w:color w:val="1F2A44"/>
          <w:sz w:val="19"/>
        </w:rPr>
        <w:t>NUMBERS TO QUOTE</w:t>
      </w:r>
    </w:p>
    <w:p>
      <w:pPr>
        <w:pStyle w:val="ListBullet"/>
        <w:spacing w:after="20"/>
      </w:pPr>
      <w:r>
        <w:rPr>
          <w:sz w:val="21"/>
        </w:rPr>
        <w:t>Gap closed: tomato 0.57; onion 0.48; potato 0.31; ginger 0.76</w:t>
      </w:r>
    </w:p>
    <w:p>
      <w:pPr>
        <w:spacing w:after="120"/>
      </w:pPr>
      <w:r>
        <w:rPr>
          <w:b/>
          <w:sz w:val="20"/>
        </w:rPr>
        <w:t>Transition:</w:t>
      </w:r>
      <w:r>
        <w:rPr>
          <w:sz w:val="20"/>
        </w:rPr>
        <w:t xml:space="preserve"> Novelty.</w:t>
      </w:r>
    </w:p>
    <w:p>
      <w:pPr>
        <w:pStyle w:val="Heading2"/>
      </w:pPr>
      <w:r>
        <w:t>Slide 26 · Novelty</w:t>
      </w:r>
    </w:p>
    <w:p>
      <w:pPr>
        <w:spacing w:after="40"/>
      </w:pPr>
      <w:r>
        <w:rPr>
          <w:b w:val="0"/>
          <w:i/>
          <w:color w:val="1F4E79"/>
          <w:sz w:val="19"/>
        </w:rPr>
        <w:t>[SKIP IF SHORT · about 1 min]</w:t>
      </w:r>
    </w:p>
    <w:p>
      <w:pPr>
        <w:spacing w:after="20"/>
      </w:pPr>
      <w:r>
        <w:rPr>
          <w:b/>
          <w:i w:val="0"/>
          <w:color w:val="1F2A44"/>
          <w:sz w:val="19"/>
        </w:rPr>
        <w:t>SAY</w:t>
      </w:r>
    </w:p>
    <w:p>
      <w:pPr>
        <w:spacing w:after="60"/>
      </w:pPr>
      <w:r>
        <w:rPr>
          <w:sz w:val="21"/>
        </w:rPr>
        <w:t>In one sentence: we supervise market choice on realised, silence-aware revenue, certify it with delayed-feedback conformal floors, and audit the leakage in published hybrids. What already exists: agricultural forecasters, SPO-plus, adaptive conformal inference. What is new here: revenue labels that include silent markets on real data, floors for selected actions whose outcome resolves later, a measured size of look-ahead leakage, and now an inspectable layer: breakdown, break-even, track record, silence tax and crowd scenario. What is ours and what is adapted is on the right.</w:t>
      </w:r>
    </w:p>
    <w:p>
      <w:pPr>
        <w:spacing w:after="20"/>
      </w:pPr>
      <w:r>
        <w:rPr>
          <w:b/>
          <w:i w:val="0"/>
          <w:color w:val="1F2A44"/>
          <w:sz w:val="19"/>
        </w:rPr>
        <w:t>SHOW / CLICK</w:t>
      </w:r>
    </w:p>
    <w:p>
      <w:pPr>
        <w:spacing w:after="60"/>
      </w:pPr>
      <w:r>
        <w:rPr>
          <w:sz w:val="21"/>
        </w:rPr>
        <w:t>Three cards, left to right.</w:t>
      </w:r>
    </w:p>
    <w:p>
      <w:pPr>
        <w:spacing w:after="20"/>
      </w:pPr>
      <w:r>
        <w:rPr>
          <w:b/>
          <w:i w:val="0"/>
          <w:color w:val="1F2A44"/>
          <w:sz w:val="19"/>
        </w:rPr>
        <w:t>IF ASKED</w:t>
      </w:r>
    </w:p>
    <w:p>
      <w:pPr>
        <w:spacing w:after="20"/>
      </w:pPr>
      <w:r>
        <w:rPr>
          <w:b/>
          <w:sz w:val="21"/>
        </w:rPr>
        <w:t>Q:</w:t>
      </w:r>
      <w:r>
        <w:rPr>
          <w:sz w:val="21"/>
        </w:rPr>
        <w:t xml:space="preserve"> What exactly is novel?</w:t>
      </w:r>
    </w:p>
    <w:p>
      <w:pPr>
        <w:spacing w:after="60"/>
      </w:pPr>
      <w:r>
        <w:rPr>
          <w:b/>
          <w:sz w:val="21"/>
        </w:rPr>
        <w:t>A:</w:t>
      </w:r>
      <w:r>
        <w:rPr>
          <w:sz w:val="21"/>
        </w:rPr>
        <w:t xml:space="preserve"> The combination, and the audit. SPO+ and adaptive conformal inference are adapted. We did not find prior work that evaluates crowd effects for mandi choice, and we cite none.</w:t>
      </w:r>
    </w:p>
    <w:p>
      <w:pPr>
        <w:spacing w:after="120"/>
      </w:pPr>
      <w:r>
        <w:rPr>
          <w:b/>
          <w:sz w:val="20"/>
        </w:rPr>
        <w:t>Transition:</w:t>
      </w:r>
      <w:r>
        <w:rPr>
          <w:sz w:val="20"/>
        </w:rPr>
        <w:t xml:space="preserve"> Optimisation and ablation.</w:t>
      </w:r>
    </w:p>
    <w:p>
      <w:pPr>
        <w:pStyle w:val="Heading2"/>
      </w:pPr>
      <w:r>
        <w:t>Slide 27 · Optimisation and ablation</w:t>
      </w:r>
    </w:p>
    <w:p>
      <w:pPr>
        <w:spacing w:after="40"/>
      </w:pPr>
      <w:r>
        <w:rPr>
          <w:b w:val="0"/>
          <w:i/>
          <w:color w:val="1F4E79"/>
          <w:sz w:val="19"/>
        </w:rPr>
        <w:t>[SKIP IF SHORT · about 1 min]</w:t>
      </w:r>
    </w:p>
    <w:p>
      <w:pPr>
        <w:spacing w:after="20"/>
      </w:pPr>
      <w:r>
        <w:rPr>
          <w:b/>
          <w:i w:val="0"/>
          <w:color w:val="1F2A44"/>
          <w:sz w:val="19"/>
        </w:rPr>
        <w:t>SAY</w:t>
      </w:r>
    </w:p>
    <w:p>
      <w:pPr>
        <w:spacing w:after="60"/>
      </w:pPr>
      <w:r>
        <w:rPr>
          <w:sz w:val="21"/>
        </w:rPr>
        <w:t>Each row changes one thing. Changing squared error to SPO-plus: no reliable difference. Adding a reporting head, which models whether a market will report: worse, p equals zero point zero one two. Adding network-silence features: no reliable difference. Tuning on forecast loss instead of decision regret: no change. We chose the boosting model for serving because it ties the neural model and is cheaper to run and explain. Failures are documented, not hidden.</w:t>
      </w:r>
    </w:p>
    <w:p>
      <w:pPr>
        <w:spacing w:after="20"/>
      </w:pPr>
      <w:r>
        <w:rPr>
          <w:b/>
          <w:i w:val="0"/>
          <w:color w:val="1F2A44"/>
          <w:sz w:val="19"/>
        </w:rPr>
        <w:t>SHOW / CLICK</w:t>
      </w:r>
    </w:p>
    <w:p>
      <w:pPr>
        <w:spacing w:after="60"/>
      </w:pPr>
      <w:r>
        <w:rPr>
          <w:sz w:val="21"/>
        </w:rPr>
        <w:t>Ablation table, then the orange note.</w:t>
      </w:r>
    </w:p>
    <w:p>
      <w:pPr>
        <w:spacing w:after="20"/>
      </w:pPr>
      <w:r>
        <w:rPr>
          <w:b/>
          <w:i w:val="0"/>
          <w:color w:val="1F2A44"/>
          <w:sz w:val="19"/>
        </w:rPr>
        <w:t>NUMBERS TO QUOTE</w:t>
      </w:r>
    </w:p>
    <w:p>
      <w:pPr>
        <w:pStyle w:val="ListBullet"/>
        <w:spacing w:after="20"/>
      </w:pPr>
      <w:r>
        <w:rPr>
          <w:sz w:val="21"/>
        </w:rPr>
        <w:t>Reporting head: +23 Rs regret, p = 0.012 (worse)</w:t>
      </w:r>
    </w:p>
    <w:p>
      <w:pPr>
        <w:spacing w:after="120"/>
      </w:pPr>
      <w:r>
        <w:rPr>
          <w:b/>
          <w:sz w:val="20"/>
        </w:rPr>
        <w:t>Transition:</w:t>
      </w:r>
      <w:r>
        <w:rPr>
          <w:sz w:val="20"/>
        </w:rPr>
        <w:t xml:space="preserve"> Planning.</w:t>
      </w:r>
    </w:p>
    <w:p>
      <w:pPr>
        <w:pStyle w:val="Heading2"/>
      </w:pPr>
      <w:r>
        <w:t>Slide 28 · WBS and critical path</w:t>
      </w:r>
    </w:p>
    <w:p>
      <w:pPr>
        <w:spacing w:after="40"/>
      </w:pPr>
      <w:r>
        <w:rPr>
          <w:b w:val="0"/>
          <w:i/>
          <w:color w:val="1F4E79"/>
          <w:sz w:val="19"/>
        </w:rPr>
        <w:t>[CORE · about 1.5 min]</w:t>
      </w:r>
    </w:p>
    <w:p>
      <w:pPr>
        <w:spacing w:after="20"/>
      </w:pPr>
      <w:r>
        <w:rPr>
          <w:b/>
          <w:i w:val="0"/>
          <w:color w:val="1F2A44"/>
          <w:sz w:val="19"/>
        </w:rPr>
        <w:t>SAY</w:t>
      </w:r>
    </w:p>
    <w:p>
      <w:pPr>
        <w:spacing w:after="60"/>
      </w:pPr>
      <w:r>
        <w:rPr>
          <w:sz w:val="21"/>
        </w:rPr>
        <w:t>Planning. The work breakdown has five packages and nine hundred and seventy estimated hours: management and documentation, data, models and research, application, and verification. Each leaf task has one primary owner: Manohara owns data and research, Srijan the application, Shreejith documentation and test planning. The hours are team estimates, not logged time.</w:t>
      </w:r>
    </w:p>
    <w:p>
      <w:pPr>
        <w:spacing w:after="60"/>
      </w:pPr>
      <w:r>
        <w:rPr>
          <w:sz w:val="21"/>
        </w:rPr>
        <w:t>The network shows the critical path A, B, C, F, G, I, J, K, twenty-four weeks. D, E and H are on slack. Worked example for E: the latest finish equals the latest start of I, sixteen weeks, so latest start of E is sixteen minus five, eleven; earliest start is six; slack is five weeks. For H slack is seven; for D, five.</w:t>
      </w:r>
    </w:p>
    <w:p>
      <w:pPr>
        <w:spacing w:after="20"/>
      </w:pPr>
      <w:r>
        <w:rPr>
          <w:b/>
          <w:i w:val="0"/>
          <w:color w:val="1F2A44"/>
          <w:sz w:val="19"/>
        </w:rPr>
        <w:t>SHOW / CLICK</w:t>
      </w:r>
    </w:p>
    <w:p>
      <w:pPr>
        <w:spacing w:after="60"/>
      </w:pPr>
      <w:r>
        <w:rPr>
          <w:sz w:val="21"/>
        </w:rPr>
        <w:t>Table left, network on the right; point at red path, then the blue boxes, then the worked-slack box.</w:t>
      </w:r>
    </w:p>
    <w:p>
      <w:pPr>
        <w:spacing w:after="20"/>
      </w:pPr>
      <w:r>
        <w:rPr>
          <w:b/>
          <w:i w:val="0"/>
          <w:color w:val="1F2A44"/>
          <w:sz w:val="19"/>
        </w:rPr>
        <w:t>NUMBERS TO QUOTE</w:t>
      </w:r>
    </w:p>
    <w:p>
      <w:pPr>
        <w:pStyle w:val="ListBullet"/>
        <w:spacing w:after="20"/>
      </w:pPr>
      <w:r>
        <w:rPr>
          <w:sz w:val="21"/>
        </w:rPr>
        <w:t>970 estimated hours; Manohara 430, Srijan 360, Shreejith 180</w:t>
      </w:r>
    </w:p>
    <w:p>
      <w:pPr>
        <w:pStyle w:val="ListBullet"/>
        <w:spacing w:after="20"/>
      </w:pPr>
      <w:r>
        <w:rPr>
          <w:sz w:val="21"/>
        </w:rPr>
        <w:t>Critical path 24 weeks; slack E 5, H 7, D 5</w:t>
      </w:r>
    </w:p>
    <w:p>
      <w:pPr>
        <w:spacing w:after="20"/>
      </w:pPr>
      <w:r>
        <w:rPr>
          <w:b/>
          <w:i w:val="0"/>
          <w:color w:val="1F2A44"/>
          <w:sz w:val="19"/>
        </w:rPr>
        <w:t>IF ASKED</w:t>
      </w:r>
    </w:p>
    <w:p>
      <w:pPr>
        <w:spacing w:after="20"/>
      </w:pPr>
      <w:r>
        <w:rPr>
          <w:b/>
          <w:sz w:val="21"/>
        </w:rPr>
        <w:t>Q:</w:t>
      </w:r>
      <w:r>
        <w:rPr>
          <w:sz w:val="21"/>
        </w:rPr>
        <w:t xml:space="preserve"> The commit history shows mostly one author.</w:t>
      </w:r>
    </w:p>
    <w:p>
      <w:pPr>
        <w:spacing w:after="60"/>
      </w:pPr>
      <w:r>
        <w:rPr>
          <w:b/>
          <w:sz w:val="21"/>
        </w:rPr>
        <w:t>A:</w:t>
      </w:r>
      <w:r>
        <w:rPr>
          <w:sz w:val="21"/>
        </w:rPr>
        <w:t xml:space="preserve"> Yes, and our report states it plainly in the planning chapter. The repository history does not capture work done on other machines; the owner split is the team's agreed assignment. We do not hide the record.</w:t>
      </w:r>
    </w:p>
    <w:p>
      <w:pPr>
        <w:spacing w:after="120"/>
      </w:pPr>
      <w:r>
        <w:rPr>
          <w:b/>
          <w:sz w:val="20"/>
        </w:rPr>
        <w:t>Transition:</w:t>
      </w:r>
      <w:r>
        <w:rPr>
          <w:sz w:val="20"/>
        </w:rPr>
        <w:t xml:space="preserve"> Schedule and risks.</w:t>
      </w:r>
    </w:p>
    <w:p>
      <w:pPr>
        <w:pStyle w:val="Heading2"/>
      </w:pPr>
      <w:r>
        <w:t>Slide 29 · Schedule and risk</w:t>
      </w:r>
    </w:p>
    <w:p>
      <w:pPr>
        <w:spacing w:after="40"/>
      </w:pPr>
      <w:r>
        <w:rPr>
          <w:b w:val="0"/>
          <w:i/>
          <w:color w:val="1F4E79"/>
          <w:sz w:val="19"/>
        </w:rPr>
        <w:t>[CORE · about 1.5 min]</w:t>
      </w:r>
    </w:p>
    <w:p>
      <w:pPr>
        <w:spacing w:after="20"/>
      </w:pPr>
      <w:r>
        <w:rPr>
          <w:b/>
          <w:i w:val="0"/>
          <w:color w:val="1F2A44"/>
          <w:sz w:val="19"/>
        </w:rPr>
        <w:t>SAY</w:t>
      </w:r>
    </w:p>
    <w:p>
      <w:pPr>
        <w:spacing w:after="60"/>
      </w:pPr>
      <w:r>
        <w:rPr>
          <w:sz w:val="21"/>
        </w:rPr>
        <w:t>Baseline against actual. We planned twenty-four weeks from 27 April and took about twenty-seven, a slip of three point three weeks, fourteen percent. The cause was the data: the first dataset in the repository proved synthetic, so we re-acquired the exports and re-ran every experiment, which pushed critical-path activities C and G; D, E and H sat on slack and absorbed their delay. The baseline was reconstructed from the Phase-1 roadmap and the actual spans come from commit dates.</w:t>
      </w:r>
    </w:p>
    <w:p>
      <w:pPr>
        <w:spacing w:after="60"/>
      </w:pPr>
      <w:r>
        <w:rPr>
          <w:sz w:val="21"/>
        </w:rPr>
        <w:t>The risk register: five risks occurred, including the synthetic data, look-ahead leakage that our tests caught, a NumPy break, and a stale server during testing; three remain open: team contribution, deployment verification and the lack of a field trial. For the materialised risk R1 the trigger was results that looked too clean; the action was to discard, rebuild from portal exports and rerun everything.</w:t>
      </w:r>
    </w:p>
    <w:p>
      <w:pPr>
        <w:spacing w:after="20"/>
      </w:pPr>
      <w:r>
        <w:rPr>
          <w:b/>
          <w:i w:val="0"/>
          <w:color w:val="1F2A44"/>
          <w:sz w:val="19"/>
        </w:rPr>
        <w:t>SHOW / CLICK</w:t>
      </w:r>
    </w:p>
    <w:p>
      <w:pPr>
        <w:spacing w:after="60"/>
      </w:pPr>
      <w:r>
        <w:rPr>
          <w:sz w:val="21"/>
        </w:rPr>
        <w:t>Gantt chart left; risk table right; point at the orange actual bars.</w:t>
      </w:r>
    </w:p>
    <w:p>
      <w:pPr>
        <w:spacing w:after="20"/>
      </w:pPr>
      <w:r>
        <w:rPr>
          <w:b/>
          <w:i w:val="0"/>
          <w:color w:val="1F2A44"/>
          <w:sz w:val="19"/>
        </w:rPr>
        <w:t>NUMBERS TO QUOTE</w:t>
      </w:r>
    </w:p>
    <w:p>
      <w:pPr>
        <w:pStyle w:val="ListBullet"/>
        <w:spacing w:after="20"/>
      </w:pPr>
      <w:r>
        <w:rPr>
          <w:sz w:val="21"/>
        </w:rPr>
        <w:t>24 weeks planned; about 27 actual; +3.3 weeks (14 percent)</w:t>
      </w:r>
    </w:p>
    <w:p>
      <w:pPr>
        <w:pStyle w:val="ListBullet"/>
        <w:spacing w:after="20"/>
      </w:pPr>
      <w:r>
        <w:rPr>
          <w:sz w:val="21"/>
        </w:rPr>
        <w:t>Milestones M1 to M5</w:t>
      </w:r>
    </w:p>
    <w:p>
      <w:pPr>
        <w:spacing w:after="120"/>
      </w:pPr>
      <w:r>
        <w:rPr>
          <w:b/>
          <w:sz w:val="20"/>
        </w:rPr>
        <w:t>Transition:</w:t>
      </w:r>
      <w:r>
        <w:rPr>
          <w:sz w:val="20"/>
        </w:rPr>
        <w:t xml:space="preserve"> Report and documentation.</w:t>
      </w:r>
    </w:p>
    <w:p>
      <w:pPr>
        <w:pStyle w:val="Heading2"/>
      </w:pPr>
      <w:r>
        <w:t>Slide 30 · Report and documentation</w:t>
      </w:r>
    </w:p>
    <w:p>
      <w:pPr>
        <w:spacing w:after="40"/>
      </w:pPr>
      <w:r>
        <w:rPr>
          <w:b w:val="0"/>
          <w:i/>
          <w:color w:val="1F4E79"/>
          <w:sz w:val="19"/>
        </w:rPr>
        <w:t>[CORE · about 0.8 min]</w:t>
      </w:r>
    </w:p>
    <w:p>
      <w:pPr>
        <w:spacing w:after="20"/>
      </w:pPr>
      <w:r>
        <w:rPr>
          <w:b/>
          <w:i w:val="0"/>
          <w:color w:val="1F2A44"/>
          <w:sz w:val="19"/>
        </w:rPr>
        <w:t>SAY</w:t>
      </w:r>
    </w:p>
    <w:p>
      <w:pPr>
        <w:spacing w:after="60"/>
      </w:pPr>
      <w:r>
        <w:rPr>
          <w:sz w:val="21"/>
        </w:rPr>
        <w:t>The report follows the BMSCE template: seven chapters, six appendices and a bibliography. Every table is generated from the experiment artefacts. It now includes the insight features and the digest. What remains: the official Drillbit similarity report, which has not been run, so we claim no percentage; the CO-PO matrix from the course file; and supervisor corrections.</w:t>
      </w:r>
    </w:p>
    <w:p>
      <w:pPr>
        <w:spacing w:after="20"/>
      </w:pPr>
      <w:r>
        <w:rPr>
          <w:b/>
          <w:i w:val="0"/>
          <w:color w:val="1F2A44"/>
          <w:sz w:val="19"/>
        </w:rPr>
        <w:t>SHOW / CLICK</w:t>
      </w:r>
    </w:p>
    <w:p>
      <w:pPr>
        <w:spacing w:after="60"/>
      </w:pPr>
      <w:r>
        <w:rPr>
          <w:sz w:val="21"/>
        </w:rPr>
        <w:t>Table of status; the right box on similarity.</w:t>
      </w:r>
    </w:p>
    <w:p>
      <w:pPr>
        <w:spacing w:after="20"/>
      </w:pPr>
      <w:r>
        <w:rPr>
          <w:b/>
          <w:i w:val="0"/>
          <w:color w:val="1F2A44"/>
          <w:sz w:val="19"/>
        </w:rPr>
        <w:t>IF ASKED</w:t>
      </w:r>
    </w:p>
    <w:p>
      <w:pPr>
        <w:spacing w:after="20"/>
      </w:pPr>
      <w:r>
        <w:rPr>
          <w:b/>
          <w:sz w:val="21"/>
        </w:rPr>
        <w:t>Q:</w:t>
      </w:r>
      <w:r>
        <w:rPr>
          <w:sz w:val="21"/>
        </w:rPr>
        <w:t xml:space="preserve"> What is the similarity score?</w:t>
      </w:r>
    </w:p>
    <w:p>
      <w:pPr>
        <w:spacing w:after="60"/>
      </w:pPr>
      <w:r>
        <w:rPr>
          <w:b/>
          <w:sz w:val="21"/>
        </w:rPr>
        <w:t>A:</w:t>
      </w:r>
      <w:r>
        <w:rPr>
          <w:sz w:val="21"/>
        </w:rPr>
        <w:t xml:space="preserve"> Not yet measured with Drillbit; we will insert the report in Appendix F. We will not quote a number we have not measured.</w:t>
      </w:r>
    </w:p>
    <w:p>
      <w:pPr>
        <w:spacing w:after="120"/>
      </w:pPr>
      <w:r>
        <w:rPr>
          <w:b/>
          <w:sz w:val="20"/>
        </w:rPr>
        <w:t>Transition:</w:t>
      </w:r>
      <w:r>
        <w:rPr>
          <w:sz w:val="20"/>
        </w:rPr>
        <w:t xml:space="preserve"> SDGs.</w:t>
      </w:r>
    </w:p>
    <w:p>
      <w:pPr>
        <w:pStyle w:val="Heading2"/>
      </w:pPr>
      <w:r>
        <w:t>Slide 31 · SDG mapping</w:t>
      </w:r>
    </w:p>
    <w:p>
      <w:pPr>
        <w:spacing w:after="40"/>
      </w:pPr>
      <w:r>
        <w:rPr>
          <w:b w:val="0"/>
          <w:i/>
          <w:color w:val="1F4E79"/>
          <w:sz w:val="19"/>
        </w:rPr>
        <w:t>[CORE · about 1 min]</w:t>
      </w:r>
    </w:p>
    <w:p>
      <w:pPr>
        <w:spacing w:after="20"/>
      </w:pPr>
      <w:r>
        <w:rPr>
          <w:b/>
          <w:i w:val="0"/>
          <w:color w:val="1F2A44"/>
          <w:sz w:val="19"/>
        </w:rPr>
        <w:t>SAY</w:t>
      </w:r>
    </w:p>
    <w:p>
      <w:pPr>
        <w:spacing w:after="60"/>
      </w:pPr>
      <w:r>
        <w:rPr>
          <w:sz w:val="21"/>
        </w:rPr>
        <w:t>SDG mapping with numbered targets. Target 2.3, the incomes of small-scale producers through market information: the advice earned sixty to two hundred and two rupees per quintal over the best simple rule in three crops in the offline back-test; measured offline, not real income. Target 1.4, access to economic services: a free trilingual tool, not measured. Target 12.3, food loss: spoilage is built into the advice, but kilograms avoided are not measured. Target 9.c, information technology access: the open pipeline on a public data feed. The morning digest puts the same information on a free channel; whether farmers use it is untested.</w:t>
      </w:r>
    </w:p>
    <w:p>
      <w:pPr>
        <w:spacing w:after="20"/>
      </w:pPr>
      <w:r>
        <w:rPr>
          <w:b/>
          <w:i w:val="0"/>
          <w:color w:val="1F2A44"/>
          <w:sz w:val="19"/>
        </w:rPr>
        <w:t>SHOW / CLICK</w:t>
      </w:r>
    </w:p>
    <w:p>
      <w:pPr>
        <w:spacing w:after="60"/>
      </w:pPr>
      <w:r>
        <w:rPr>
          <w:sz w:val="21"/>
        </w:rPr>
        <w:t>Table; point at the Status column.</w:t>
      </w:r>
    </w:p>
    <w:p>
      <w:pPr>
        <w:spacing w:after="120"/>
      </w:pPr>
      <w:r>
        <w:rPr>
          <w:b/>
          <w:sz w:val="20"/>
        </w:rPr>
        <w:t>Transition:</w:t>
      </w:r>
      <w:r>
        <w:rPr>
          <w:sz w:val="20"/>
        </w:rPr>
        <w:t xml:space="preserve"> Paper status.</w:t>
      </w:r>
    </w:p>
    <w:p>
      <w:pPr>
        <w:pStyle w:val="Heading2"/>
      </w:pPr>
      <w:r>
        <w:t>Slide 32 · Research paper status</w:t>
      </w:r>
    </w:p>
    <w:p>
      <w:pPr>
        <w:spacing w:after="40"/>
      </w:pPr>
      <w:r>
        <w:rPr>
          <w:b w:val="0"/>
          <w:i/>
          <w:color w:val="1F4E79"/>
          <w:sz w:val="19"/>
        </w:rPr>
        <w:t>[SKIP IF SHORT · about 0.8 min]</w:t>
      </w:r>
    </w:p>
    <w:p>
      <w:pPr>
        <w:spacing w:after="20"/>
      </w:pPr>
      <w:r>
        <w:rPr>
          <w:b/>
          <w:i w:val="0"/>
          <w:color w:val="1F2A44"/>
          <w:sz w:val="19"/>
        </w:rPr>
        <w:t>SAY</w:t>
      </w:r>
    </w:p>
    <w:p>
      <w:pPr>
        <w:spacing w:after="60"/>
      </w:pPr>
      <w:r>
        <w:rPr>
          <w:sz w:val="21"/>
        </w:rPr>
        <w:t>Research papers. Two manuscripts are drafted: the main one for IEEE Access, fourteen pages, on outcome-supervised market choice with conformal floors and the leakage audit; and a conference paper for CICPS 2027, twelve pages. Neither is submitted, so there is no acknowledgement to show, and we state that plainly. The next step is to submit the IEEE Access manuscript and attach the acknowledgement mail.</w:t>
      </w:r>
    </w:p>
    <w:p>
      <w:pPr>
        <w:spacing w:after="20"/>
      </w:pPr>
      <w:r>
        <w:rPr>
          <w:b/>
          <w:i w:val="0"/>
          <w:color w:val="1F2A44"/>
          <w:sz w:val="19"/>
        </w:rPr>
        <w:t>SHOW / CLICK</w:t>
      </w:r>
    </w:p>
    <w:p>
      <w:pPr>
        <w:spacing w:after="60"/>
      </w:pPr>
      <w:r>
        <w:rPr>
          <w:sz w:val="21"/>
        </w:rPr>
        <w:t>Table of manuscripts and status.</w:t>
      </w:r>
    </w:p>
    <w:p>
      <w:pPr>
        <w:spacing w:after="120"/>
      </w:pPr>
      <w:r>
        <w:rPr>
          <w:b/>
          <w:sz w:val="20"/>
        </w:rPr>
        <w:t>Transition:</w:t>
      </w:r>
      <w:r>
        <w:rPr>
          <w:sz w:val="20"/>
        </w:rPr>
        <w:t xml:space="preserve"> Conclusion.</w:t>
      </w:r>
    </w:p>
    <w:p>
      <w:pPr>
        <w:pStyle w:val="Heading2"/>
      </w:pPr>
      <w:r>
        <w:t>Slide 33 · Conclusion and future work</w:t>
      </w:r>
    </w:p>
    <w:p>
      <w:pPr>
        <w:spacing w:after="40"/>
      </w:pPr>
      <w:r>
        <w:rPr>
          <w:b w:val="0"/>
          <w:i/>
          <w:color w:val="1F4E79"/>
          <w:sz w:val="19"/>
        </w:rPr>
        <w:t>[CORE · about 1.2 min]</w:t>
      </w:r>
    </w:p>
    <w:p>
      <w:pPr>
        <w:spacing w:after="20"/>
      </w:pPr>
      <w:r>
        <w:rPr>
          <w:b/>
          <w:i w:val="0"/>
          <w:color w:val="1F2A44"/>
          <w:sz w:val="19"/>
        </w:rPr>
        <w:t>SAY</w:t>
      </w:r>
    </w:p>
    <w:p>
      <w:pPr>
        <w:spacing w:after="60"/>
      </w:pPr>
      <w:r>
        <w:rPr>
          <w:sz w:val="21"/>
        </w:rPr>
        <w:t>The key outcome: advice trained on realised revenue beats the best simple rule by one hundred and seventy rupees per quintal for tomato and two hundred and two for ginger in the back-test, with floors that hold close to their level, and now the advice can be inspected, stress-tested and audited. Against our ten objectives: seven met, one partly, one null, one built and tested.</w:t>
      </w:r>
    </w:p>
    <w:p>
      <w:pPr>
        <w:spacing w:after="60"/>
      </w:pPr>
      <w:r>
        <w:rPr>
          <w:sz w:val="21"/>
        </w:rPr>
        <w:t>Limitations: one region, one source, five point eight years; offline only; revenue parameters are scenarios; the crowd effect is a scenario; the replayed floors held on eighty-four to ninety-two percent of days; spillover found no episodes; deployment unverified; the digest is not piloted.</w:t>
      </w:r>
    </w:p>
    <w:p>
      <w:pPr>
        <w:spacing w:after="60"/>
      </w:pPr>
      <w:r>
        <w:rPr>
          <w:sz w:val="21"/>
        </w:rPr>
        <w:t>Future work follows from those limits: a field pilot through the bot with an outcome form, estimating transport, spoilage and silence from data, fixing the spillover labelling, user-testing the briefs, and verifying deployment.</w:t>
      </w:r>
    </w:p>
    <w:p>
      <w:pPr>
        <w:spacing w:after="20"/>
      </w:pPr>
      <w:r>
        <w:rPr>
          <w:b/>
          <w:i w:val="0"/>
          <w:color w:val="1F2A44"/>
          <w:sz w:val="19"/>
        </w:rPr>
        <w:t>SHOW / CLICK</w:t>
      </w:r>
    </w:p>
    <w:p>
      <w:pPr>
        <w:spacing w:after="60"/>
      </w:pPr>
      <w:r>
        <w:rPr>
          <w:sz w:val="21"/>
        </w:rPr>
        <w:t>Left card then right card.</w:t>
      </w:r>
    </w:p>
    <w:p>
      <w:pPr>
        <w:spacing w:after="20"/>
      </w:pPr>
      <w:r>
        <w:rPr>
          <w:b/>
          <w:i w:val="0"/>
          <w:color w:val="1F2A44"/>
          <w:sz w:val="19"/>
        </w:rPr>
        <w:t>NUMBERS TO QUOTE</w:t>
      </w:r>
    </w:p>
    <w:p>
      <w:pPr>
        <w:pStyle w:val="ListBullet"/>
        <w:spacing w:after="20"/>
      </w:pPr>
      <w:r>
        <w:rPr>
          <w:sz w:val="21"/>
        </w:rPr>
        <w:t>+Rs 170 tomato; +Rs 202 ginger vs best simple rule</w:t>
      </w:r>
    </w:p>
    <w:p>
      <w:pPr>
        <w:pStyle w:val="ListBullet"/>
        <w:spacing w:after="20"/>
      </w:pPr>
      <w:r>
        <w:rPr>
          <w:sz w:val="21"/>
        </w:rPr>
        <w:t>7 met, 1 partly, 1 null, 1 built and tested</w:t>
      </w:r>
    </w:p>
    <w:p>
      <w:pPr>
        <w:spacing w:after="120"/>
      </w:pPr>
      <w:r>
        <w:rPr>
          <w:b/>
          <w:sz w:val="20"/>
        </w:rPr>
        <w:t>Transition:</w:t>
      </w:r>
      <w:r>
        <w:rPr>
          <w:sz w:val="20"/>
        </w:rPr>
        <w:t xml:space="preserve"> References, then thank you and questions.</w:t>
      </w:r>
    </w:p>
    <w:p>
      <w:pPr>
        <w:pStyle w:val="Heading2"/>
      </w:pPr>
      <w:r>
        <w:t>Slide 34 · References</w:t>
      </w:r>
    </w:p>
    <w:p>
      <w:pPr>
        <w:spacing w:after="40"/>
      </w:pPr>
      <w:r>
        <w:rPr>
          <w:b w:val="0"/>
          <w:i/>
          <w:color w:val="1F4E79"/>
          <w:sz w:val="19"/>
        </w:rPr>
        <w:t>[SKIP IF SHORT · about 0.2 min]</w:t>
      </w:r>
    </w:p>
    <w:p>
      <w:pPr>
        <w:spacing w:after="20"/>
      </w:pPr>
      <w:r>
        <w:rPr>
          <w:b/>
          <w:i w:val="0"/>
          <w:color w:val="1F2A44"/>
          <w:sz w:val="19"/>
        </w:rPr>
        <w:t>SAY</w:t>
      </w:r>
    </w:p>
    <w:p>
      <w:pPr>
        <w:spacing w:after="60"/>
      </w:pPr>
      <w:r>
        <w:rPr>
          <w:sz w:val="21"/>
        </w:rPr>
        <w:t>References are in IEEE style and in the order cited; the full forty-entry list is in the thesis.</w:t>
      </w:r>
    </w:p>
    <w:p>
      <w:pPr>
        <w:spacing w:after="20"/>
      </w:pPr>
      <w:r>
        <w:rPr>
          <w:b/>
          <w:i w:val="0"/>
          <w:color w:val="1F2A44"/>
          <w:sz w:val="19"/>
        </w:rPr>
        <w:t>SHOW / CLICK</w:t>
      </w:r>
    </w:p>
    <w:p>
      <w:pPr>
        <w:spacing w:after="60"/>
      </w:pPr>
      <w:r>
        <w:rPr>
          <w:sz w:val="21"/>
        </w:rPr>
        <w:t>Do not read.</w:t>
      </w:r>
    </w:p>
    <w:p>
      <w:pPr>
        <w:pStyle w:val="Heading2"/>
      </w:pPr>
      <w:r>
        <w:t>Slide 35 · Thank you</w:t>
      </w:r>
    </w:p>
    <w:p>
      <w:pPr>
        <w:spacing w:after="40"/>
      </w:pPr>
      <w:r>
        <w:rPr>
          <w:b w:val="0"/>
          <w:i/>
          <w:color w:val="1F4E79"/>
          <w:sz w:val="19"/>
        </w:rPr>
        <w:t>[CORE · about 0.2 min]</w:t>
      </w:r>
    </w:p>
    <w:p>
      <w:pPr>
        <w:spacing w:after="20"/>
      </w:pPr>
      <w:r>
        <w:rPr>
          <w:b/>
          <w:i w:val="0"/>
          <w:color w:val="1F2A44"/>
          <w:sz w:val="19"/>
        </w:rPr>
        <w:t>SAY</w:t>
      </w:r>
    </w:p>
    <w:p>
      <w:pPr>
        <w:spacing w:after="60"/>
      </w:pPr>
      <w:r>
        <w:rPr>
          <w:sz w:val="21"/>
        </w:rPr>
        <w:t>Thank you. We are happy to take questions, and to show any part of the system again.</w:t>
      </w:r>
    </w:p>
    <w:p>
      <w:pPr>
        <w:spacing w:after="20"/>
      </w:pPr>
      <w:r>
        <w:rPr>
          <w:b/>
          <w:i w:val="0"/>
          <w:color w:val="1F2A44"/>
          <w:sz w:val="19"/>
        </w:rPr>
        <w:t>SHOW / CLICK</w:t>
      </w:r>
    </w:p>
    <w:p>
      <w:pPr>
        <w:spacing w:after="60"/>
      </w:pPr>
      <w:r>
        <w:rPr>
          <w:sz w:val="21"/>
        </w:rPr>
        <w:t>Keep the browser and phone ready for follow-up questions.</w:t>
      </w:r>
    </w:p>
    <w:p>
      <w:r>
        <w:br w:type="page"/>
      </w:r>
    </w:p>
    <w:p>
      <w:pPr>
        <w:pStyle w:val="Heading1"/>
      </w:pPr>
      <w:r>
        <w:t>Live demonstration: run-of-show</w:t>
      </w:r>
    </w:p>
    <w:p>
      <w:pPr>
        <w:spacing w:after="120"/>
      </w:pPr>
      <w:r>
        <w:rPr>
          <w:sz w:val="21"/>
        </w:rPr>
        <w:t>Three parts, about ten minutes in total. Click exactly as written; the right-hand column is what must appear on screen. If it does not, use the fall-backs on the next page.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624"/>
            <w:shd w:val="clear" w:color="auto" w:fill="1F4E79"/>
          </w:tcPr>
          <w:p>
            <w:pPr>
              <w:spacing w:after="20"/>
            </w:pPr>
            <w:r>
              <w:rPr>
                <w:b/>
                <w:color w:val="FFFFFF"/>
              </w:rPr>
            </w:r>
            <w:r>
              <w:rPr>
                <w:b/>
                <w:color w:val="FFFFFF"/>
                <w:sz w:val="17"/>
              </w:rPr>
              <w:t>Step</w:t>
            </w:r>
          </w:p>
        </w:tc>
        <w:tc>
          <w:tcPr>
            <w:tcW w:type="dxa" w:w="2041"/>
            <w:shd w:val="clear" w:color="auto" w:fill="1F4E79"/>
          </w:tcPr>
          <w:p>
            <w:pPr>
              <w:spacing w:after="20"/>
            </w:pPr>
            <w:r>
              <w:rPr>
                <w:b/>
                <w:color w:val="FFFFFF"/>
              </w:rPr>
            </w:r>
            <w:r>
              <w:rPr>
                <w:b/>
                <w:color w:val="FFFFFF"/>
                <w:sz w:val="17"/>
              </w:rPr>
              <w:t>Where / click</w:t>
            </w:r>
          </w:p>
        </w:tc>
        <w:tc>
          <w:tcPr>
            <w:tcW w:type="dxa" w:w="1701"/>
            <w:shd w:val="clear" w:color="auto" w:fill="1F4E79"/>
          </w:tcPr>
          <w:p>
            <w:pPr>
              <w:spacing w:after="20"/>
            </w:pPr>
            <w:r>
              <w:rPr>
                <w:b/>
                <w:color w:val="FFFFFF"/>
              </w:rPr>
            </w:r>
            <w:r>
              <w:rPr>
                <w:b/>
                <w:color w:val="FFFFFF"/>
                <w:sz w:val="17"/>
              </w:rPr>
              <w:t>Settings</w:t>
            </w:r>
          </w:p>
        </w:tc>
        <w:tc>
          <w:tcPr>
            <w:tcW w:type="dxa" w:w="3515"/>
            <w:shd w:val="clear" w:color="auto" w:fill="1F4E79"/>
          </w:tcPr>
          <w:p>
            <w:pPr>
              <w:spacing w:after="20"/>
            </w:pPr>
            <w:r>
              <w:rPr>
                <w:b/>
                <w:color w:val="FFFFFF"/>
              </w:rPr>
            </w:r>
            <w:r>
              <w:rPr>
                <w:b/>
                <w:color w:val="FFFFFF"/>
                <w:sz w:val="17"/>
              </w:rPr>
              <w:t>Must appear on screen</w:t>
            </w:r>
          </w:p>
        </w:tc>
        <w:tc>
          <w:tcPr>
            <w:tcW w:type="dxa" w:w="1928"/>
            <w:shd w:val="clear" w:color="auto" w:fill="1F4E79"/>
          </w:tcPr>
          <w:p>
            <w:pPr>
              <w:spacing w:after="20"/>
            </w:pPr>
            <w:r>
              <w:rPr>
                <w:b/>
                <w:color w:val="FFFFFF"/>
              </w:rPr>
            </w:r>
            <w:r>
              <w:rPr>
                <w:b/>
                <w:color w:val="FFFFFF"/>
                <w:sz w:val="17"/>
              </w:rPr>
              <w:t>Say</w:t>
            </w:r>
          </w:p>
        </w:tc>
      </w:tr>
      <w:tr>
        <w:tc>
          <w:tcPr>
            <w:tcW w:type="dxa" w:w="624"/>
          </w:tcPr>
          <w:p>
            <w:pPr>
              <w:spacing w:after="20"/>
            </w:pPr>
            <w:r/>
          </w:p>
        </w:tc>
        <w:tc>
          <w:tcPr>
            <w:tcW w:type="dxa" w:w="2041"/>
          </w:tcPr>
          <w:p>
            <w:pPr>
              <w:spacing w:after="20"/>
            </w:pPr>
            <w:r/>
            <w:r>
              <w:rPr>
                <w:b/>
                <w:sz w:val="17"/>
              </w:rPr>
              <w:t>Farmer app, 3.5 min</w:t>
            </w:r>
          </w:p>
        </w:tc>
        <w:tc>
          <w:tcPr>
            <w:tcW w:type="dxa" w:w="1701"/>
          </w:tcPr>
          <w:p>
            <w:pPr>
              <w:spacing w:after="20"/>
            </w:pPr>
            <w:r/>
          </w:p>
        </w:tc>
        <w:tc>
          <w:tcPr>
            <w:tcW w:type="dxa" w:w="3515"/>
          </w:tcPr>
          <w:p>
            <w:pPr>
              <w:spacing w:after="20"/>
            </w:pPr>
            <w:r/>
          </w:p>
        </w:tc>
        <w:tc>
          <w:tcPr>
            <w:tcW w:type="dxa" w:w="1928"/>
          </w:tcPr>
          <w:p>
            <w:pPr>
              <w:spacing w:after="20"/>
            </w:pPr>
            <w:r/>
          </w:p>
        </w:tc>
      </w:tr>
      <w:tr>
        <w:tc>
          <w:tcPr>
            <w:tcW w:type="dxa" w:w="624"/>
            <w:shd w:val="clear" w:color="auto" w:fill="EEF4F9"/>
          </w:tcPr>
          <w:p>
            <w:pPr>
              <w:spacing w:after="20"/>
            </w:pPr>
            <w:r/>
            <w:r>
              <w:rPr>
                <w:sz w:val="17"/>
              </w:rPr>
              <w:t>A1</w:t>
            </w:r>
          </w:p>
        </w:tc>
        <w:tc>
          <w:tcPr>
            <w:tcW w:type="dxa" w:w="2041"/>
            <w:shd w:val="clear" w:color="auto" w:fill="EEF4F9"/>
          </w:tcPr>
          <w:p>
            <w:pPr>
              <w:spacing w:after="20"/>
            </w:pPr>
            <w:r/>
            <w:r>
              <w:rPr>
                <w:sz w:val="17"/>
              </w:rPr>
              <w:t xml:space="preserve">Tab 1 </w:t>
            </w:r>
            <w:r>
              <w:rPr>
                <w:rFonts w:ascii="Consolas" w:hAnsi="Consolas"/>
                <w:sz w:val="17"/>
              </w:rPr>
              <w:t>/tools</w:t>
            </w:r>
            <w:r>
              <w:rPr>
                <w:sz w:val="17"/>
              </w:rPr>
              <w:t>. Tap 'Best Place &amp; Day to Sell'.</w:t>
            </w:r>
          </w:p>
        </w:tc>
        <w:tc>
          <w:tcPr>
            <w:tcW w:type="dxa" w:w="1701"/>
            <w:shd w:val="clear" w:color="auto" w:fill="EEF4F9"/>
          </w:tcPr>
          <w:p>
            <w:pPr>
              <w:spacing w:after="20"/>
            </w:pPr>
            <w:r/>
            <w:r>
              <w:rPr>
                <w:sz w:val="17"/>
              </w:rPr>
              <w:t>Where: Kolar. Crop: tomato. Quantity: 10 quintals. Vehicle: Tempo. Confidence 90%.</w:t>
            </w:r>
          </w:p>
        </w:tc>
        <w:tc>
          <w:tcPr>
            <w:tcW w:type="dxa" w:w="3515"/>
            <w:shd w:val="clear" w:color="auto" w:fill="EEF4F9"/>
          </w:tcPr>
          <w:p>
            <w:pPr>
              <w:spacing w:after="20"/>
            </w:pPr>
            <w:r/>
            <w:r>
              <w:rPr>
                <w:sz w:val="17"/>
              </w:rPr>
              <w:t xml:space="preserve">Answer card: </w:t>
            </w:r>
            <w:r>
              <w:rPr>
                <w:b/>
                <w:sz w:val="17"/>
              </w:rPr>
              <w:t>Ramanagara, Wednesday 28 Oct, in 1 day, 103.2 km</w:t>
            </w:r>
            <w:r>
              <w:rPr>
                <w:sz w:val="17"/>
              </w:rPr>
              <w:t xml:space="preserve">. Expected </w:t>
            </w:r>
            <w:r>
              <w:rPr>
                <w:b/>
                <w:sz w:val="17"/>
              </w:rPr>
              <w:t>₹1,824</w:t>
            </w:r>
            <w:r>
              <w:rPr>
                <w:sz w:val="17"/>
              </w:rPr>
              <w:t xml:space="preserve"> per quintal after transport and spoilage; you can count on at least </w:t>
            </w:r>
            <w:r>
              <w:rPr>
                <w:b/>
                <w:sz w:val="17"/>
              </w:rPr>
              <w:t>₹1,316</w:t>
            </w:r>
            <w:r>
              <w:rPr>
                <w:sz w:val="17"/>
              </w:rPr>
              <w:t>. For 10 quintals: ₹18,238 expected, ₹13,165 floor. Chance mandi is open 97%. Comparison line: ₹592 more per quintal than the nearest mandi (Kolar).</w:t>
            </w:r>
          </w:p>
        </w:tc>
        <w:tc>
          <w:tcPr>
            <w:tcW w:type="dxa" w:w="1928"/>
            <w:shd w:val="clear" w:color="auto" w:fill="EEF4F9"/>
          </w:tcPr>
          <w:p>
            <w:pPr>
              <w:spacing w:after="20"/>
            </w:pPr>
            <w:r/>
            <w:r>
              <w:rPr>
                <w:sz w:val="17"/>
              </w:rPr>
              <w:t>Say: 'The advice is not the nearest mandi and not the highest price yesterday. The next panels show why.'</w:t>
            </w:r>
          </w:p>
        </w:tc>
      </w:tr>
      <w:tr>
        <w:tc>
          <w:tcPr>
            <w:tcW w:type="dxa" w:w="624"/>
          </w:tcPr>
          <w:p>
            <w:pPr>
              <w:spacing w:after="20"/>
            </w:pPr>
            <w:r/>
            <w:r>
              <w:rPr>
                <w:sz w:val="17"/>
              </w:rPr>
              <w:t>A2</w:t>
            </w:r>
          </w:p>
        </w:tc>
        <w:tc>
          <w:tcPr>
            <w:tcW w:type="dxa" w:w="2041"/>
          </w:tcPr>
          <w:p>
            <w:pPr>
              <w:spacing w:after="20"/>
            </w:pPr>
            <w:r/>
            <w:r>
              <w:rPr>
                <w:sz w:val="17"/>
              </w:rPr>
              <w:t>Tap 'Why this mandi?'.</w:t>
            </w:r>
          </w:p>
        </w:tc>
        <w:tc>
          <w:tcPr>
            <w:tcW w:type="dxa" w:w="1701"/>
          </w:tcPr>
          <w:p>
            <w:pPr>
              <w:spacing w:after="20"/>
            </w:pPr>
            <w:r/>
          </w:p>
        </w:tc>
        <w:tc>
          <w:tcPr>
            <w:tcW w:type="dxa" w:w="3515"/>
          </w:tcPr>
          <w:p>
            <w:pPr>
              <w:spacing w:after="20"/>
            </w:pPr>
            <w:r/>
            <w:r>
              <w:rPr>
                <w:sz w:val="17"/>
              </w:rPr>
              <w:t>Four rows. Our advice ₹1,824; Nearest mandi, today · Kolar ₹1,233; Highest price yesterday · Ramanagara today ₹1,789; Farm gate ₹1,235. Green = what you keep; yellow fee, orange spoilage, blue transport, grey handling, red trader's farm-gate discount.</w:t>
            </w:r>
          </w:p>
        </w:tc>
        <w:tc>
          <w:tcPr>
            <w:tcW w:type="dxa" w:w="1928"/>
          </w:tcPr>
          <w:p>
            <w:pPr>
              <w:spacing w:after="20"/>
            </w:pPr>
            <w:r/>
            <w:r>
              <w:rPr>
                <w:sz w:val="17"/>
              </w:rPr>
              <w:t>Say: 'Price ₹2,081 minus fee 83, spoilage 60, transport 94, handling 20 equals 1,824. The parts add up exactly; the code asserts it.'</w:t>
            </w:r>
          </w:p>
        </w:tc>
      </w:tr>
      <w:tr>
        <w:tc>
          <w:tcPr>
            <w:tcW w:type="dxa" w:w="624"/>
            <w:shd w:val="clear" w:color="auto" w:fill="EEF4F9"/>
          </w:tcPr>
          <w:p>
            <w:pPr>
              <w:spacing w:after="20"/>
            </w:pPr>
            <w:r/>
            <w:r>
              <w:rPr>
                <w:sz w:val="17"/>
              </w:rPr>
              <w:t>A3</w:t>
            </w:r>
          </w:p>
        </w:tc>
        <w:tc>
          <w:tcPr>
            <w:tcW w:type="dxa" w:w="2041"/>
            <w:shd w:val="clear" w:color="auto" w:fill="EEF4F9"/>
          </w:tcPr>
          <w:p>
            <w:pPr>
              <w:spacing w:after="20"/>
            </w:pPr>
            <w:r/>
            <w:r>
              <w:rPr>
                <w:sz w:val="17"/>
              </w:rPr>
              <w:t>Tap 'What if my costs are different?'. Drag the first slider (transport) all the way right.</w:t>
            </w:r>
          </w:p>
        </w:tc>
        <w:tc>
          <w:tcPr>
            <w:tcW w:type="dxa" w:w="1701"/>
            <w:shd w:val="clear" w:color="auto" w:fill="EEF4F9"/>
          </w:tcPr>
          <w:p>
            <w:pPr>
              <w:spacing w:after="20"/>
            </w:pPr>
            <w:r/>
          </w:p>
        </w:tc>
        <w:tc>
          <w:tcPr>
            <w:tcW w:type="dxa" w:w="3515"/>
            <w:shd w:val="clear" w:color="auto" w:fill="EEF4F9"/>
          </w:tcPr>
          <w:p>
            <w:pPr>
              <w:spacing w:after="20"/>
            </w:pPr>
            <w:r/>
            <w:r>
              <w:rPr>
                <w:sz w:val="17"/>
              </w:rPr>
              <w:t xml:space="preserve">Transport shows ₹3.00. The green box still says </w:t>
            </w:r>
            <w:r>
              <w:rPr>
                <w:b/>
                <w:sz w:val="17"/>
              </w:rPr>
              <w:t>SAME ADVICE AS BEFORE — Ramanagara · in 1 day(s)</w:t>
            </w:r>
            <w:r>
              <w:rPr>
                <w:sz w:val="17"/>
              </w:rPr>
              <w:t>, ₹1,515 per quintal, floor ₹1,008. Text: 'Whatever the transport cost, up to ₹3 per quintal per km, this stays the best choice.'</w:t>
            </w:r>
          </w:p>
        </w:tc>
        <w:tc>
          <w:tcPr>
            <w:tcW w:type="dxa" w:w="1928"/>
            <w:shd w:val="clear" w:color="auto" w:fill="EEF4F9"/>
          </w:tcPr>
          <w:p>
            <w:pPr>
              <w:spacing w:after="20"/>
            </w:pPr>
            <w:r/>
            <w:r>
              <w:rPr>
                <w:sz w:val="17"/>
              </w:rPr>
              <w:t>Say: 'Over four times the tempo rate and the advice does not change.'</w:t>
            </w:r>
          </w:p>
        </w:tc>
      </w:tr>
      <w:tr>
        <w:tc>
          <w:tcPr>
            <w:tcW w:type="dxa" w:w="624"/>
          </w:tcPr>
          <w:p>
            <w:pPr>
              <w:spacing w:after="20"/>
            </w:pPr>
            <w:r/>
            <w:r>
              <w:rPr>
                <w:sz w:val="17"/>
              </w:rPr>
              <w:t>A4</w:t>
            </w:r>
          </w:p>
        </w:tc>
        <w:tc>
          <w:tcPr>
            <w:tcW w:type="dxa" w:w="2041"/>
          </w:tcPr>
          <w:p>
            <w:pPr>
              <w:spacing w:after="20"/>
            </w:pPr>
            <w:r/>
            <w:r>
              <w:rPr>
                <w:sz w:val="17"/>
              </w:rPr>
              <w:t>Drag transport back to ₹0.70 (or tap 'Back to standard costs'). Drag the spoilage slider right to about 5%.</w:t>
            </w:r>
          </w:p>
        </w:tc>
        <w:tc>
          <w:tcPr>
            <w:tcW w:type="dxa" w:w="1701"/>
          </w:tcPr>
          <w:p>
            <w:pPr>
              <w:spacing w:after="20"/>
            </w:pPr>
            <w:r/>
          </w:p>
        </w:tc>
        <w:tc>
          <w:tcPr>
            <w:tcW w:type="dxa" w:w="3515"/>
          </w:tcPr>
          <w:p>
            <w:pPr>
              <w:spacing w:after="20"/>
            </w:pPr>
            <w:r/>
            <w:r>
              <w:rPr>
                <w:sz w:val="17"/>
              </w:rPr>
              <w:t xml:space="preserve">At 5.0% the box turns amber: </w:t>
            </w:r>
            <w:r>
              <w:rPr>
                <w:b/>
                <w:sz w:val="17"/>
              </w:rPr>
              <w:t>THE ADVICE CHANGES — Ramanagara · today</w:t>
            </w:r>
            <w:r>
              <w:rPr>
                <w:sz w:val="17"/>
              </w:rPr>
              <w:t>, ₹1,789. Line: 'The advice changes from Ramanagara (in 1 day(s)) to Ramanagara (today) when spoilage passes 5.0% a day.' Standard costs said: Ramanagara, in 1 day(s).</w:t>
            </w:r>
          </w:p>
        </w:tc>
        <w:tc>
          <w:tcPr>
            <w:tcW w:type="dxa" w:w="1928"/>
          </w:tcPr>
          <w:p>
            <w:pPr>
              <w:spacing w:after="20"/>
            </w:pPr>
            <w:r/>
            <w:r>
              <w:rPr>
                <w:sz w:val="17"/>
              </w:rPr>
              <w:t>Say: 'So the advice is robust to the truck and sensitive to how fast the crop spoils. A farmer with a cold room can wait; one without cannot.' Then drag the third slider (Most days I can wait) to 0 to show 'today' again. Tap 'Back to standard costs'.</w:t>
            </w:r>
          </w:p>
        </w:tc>
      </w:tr>
      <w:tr>
        <w:tc>
          <w:tcPr>
            <w:tcW w:type="dxa" w:w="624"/>
            <w:shd w:val="clear" w:color="auto" w:fill="EEF4F9"/>
          </w:tcPr>
          <w:p>
            <w:pPr>
              <w:spacing w:after="20"/>
            </w:pPr>
            <w:r/>
            <w:r>
              <w:rPr>
                <w:sz w:val="17"/>
              </w:rPr>
              <w:t>A5</w:t>
            </w:r>
          </w:p>
        </w:tc>
        <w:tc>
          <w:tcPr>
            <w:tcW w:type="dxa" w:w="2041"/>
            <w:shd w:val="clear" w:color="auto" w:fill="EEF4F9"/>
          </w:tcPr>
          <w:p>
            <w:pPr>
              <w:spacing w:after="20"/>
            </w:pPr>
            <w:r/>
            <w:r>
              <w:rPr>
                <w:sz w:val="17"/>
              </w:rPr>
              <w:t>Tap 'Has this advice worked?'.</w:t>
            </w:r>
          </w:p>
        </w:tc>
        <w:tc>
          <w:tcPr>
            <w:tcW w:type="dxa" w:w="1701"/>
            <w:shd w:val="clear" w:color="auto" w:fill="EEF4F9"/>
          </w:tcPr>
          <w:p>
            <w:pPr>
              <w:spacing w:after="20"/>
            </w:pPr>
            <w:r/>
          </w:p>
        </w:tc>
        <w:tc>
          <w:tcPr>
            <w:tcW w:type="dxa" w:w="3515"/>
            <w:shd w:val="clear" w:color="auto" w:fill="EEF4F9"/>
          </w:tcPr>
          <w:p>
            <w:pPr>
              <w:spacing w:after="20"/>
            </w:pPr>
            <w:r/>
            <w:r>
              <w:rPr>
                <w:sz w:val="17"/>
              </w:rPr>
              <w:t xml:space="preserve">Subtitle: 'Days we had not seen when the advice was made · over 165 days'. Beat nearest mandi: </w:t>
            </w:r>
            <w:r>
              <w:rPr>
                <w:b/>
                <w:sz w:val="17"/>
              </w:rPr>
              <w:t>93% better, 7% worse</w:t>
            </w:r>
            <w:r>
              <w:rPr>
                <w:sz w:val="17"/>
              </w:rPr>
              <w:t xml:space="preserve">. Beat yesterday's highest-priced mandi: </w:t>
            </w:r>
            <w:r>
              <w:rPr>
                <w:b/>
                <w:sz w:val="17"/>
              </w:rPr>
              <w:t>24% better, 68% same, 8% worse</w:t>
            </w:r>
            <w:r>
              <w:rPr>
                <w:sz w:val="17"/>
              </w:rPr>
              <w:t xml:space="preserve">. Days the minimum held: </w:t>
            </w:r>
            <w:r>
              <w:rPr>
                <w:b/>
                <w:sz w:val="17"/>
              </w:rPr>
              <w:t>84%</w:t>
            </w:r>
            <w:r>
              <w:rPr>
                <w:sz w:val="17"/>
              </w:rPr>
              <w:t>, with 'We aim for 9 days in 10. This is the actual score, not a promise.' Running gain line rises to about ₹532 per quintal.</w:t>
            </w:r>
          </w:p>
        </w:tc>
        <w:tc>
          <w:tcPr>
            <w:tcW w:type="dxa" w:w="1928"/>
            <w:shd w:val="clear" w:color="auto" w:fill="EEF4F9"/>
          </w:tcPr>
          <w:p>
            <w:pPr>
              <w:spacing w:after="20"/>
            </w:pPr>
            <w:r/>
            <w:r>
              <w:rPr>
                <w:sz w:val="17"/>
              </w:rPr>
              <w:t>Say: 'We show the score we actually got, including the 84 percent, which is below our 90 percent target.'</w:t>
            </w:r>
          </w:p>
        </w:tc>
      </w:tr>
      <w:tr>
        <w:tc>
          <w:tcPr>
            <w:tcW w:type="dxa" w:w="624"/>
          </w:tcPr>
          <w:p>
            <w:pPr>
              <w:spacing w:after="20"/>
            </w:pPr>
            <w:r/>
            <w:r>
              <w:rPr>
                <w:sz w:val="17"/>
              </w:rPr>
              <w:t>A6</w:t>
            </w:r>
          </w:p>
        </w:tc>
        <w:tc>
          <w:tcPr>
            <w:tcW w:type="dxa" w:w="2041"/>
          </w:tcPr>
          <w:p>
            <w:pPr>
              <w:spacing w:after="20"/>
            </w:pPr>
            <w:r/>
            <w:r>
              <w:rPr>
                <w:sz w:val="17"/>
              </w:rPr>
              <w:t>Switch the language pill (top right) to Kannada (ಕನ್ನಡ), then back to English.</w:t>
            </w:r>
          </w:p>
        </w:tc>
        <w:tc>
          <w:tcPr>
            <w:tcW w:type="dxa" w:w="1701"/>
          </w:tcPr>
          <w:p>
            <w:pPr>
              <w:spacing w:after="20"/>
            </w:pPr>
            <w:r/>
          </w:p>
        </w:tc>
        <w:tc>
          <w:tcPr>
            <w:tcW w:type="dxa" w:w="3515"/>
          </w:tcPr>
          <w:p>
            <w:pPr>
              <w:spacing w:after="20"/>
            </w:pPr>
            <w:r/>
            <w:r>
              <w:rPr>
                <w:sz w:val="17"/>
              </w:rPr>
              <w:t>The tool re-renders in Kannada: 'ಈ ಮಂಡಿ ಯಾಕೆ?', 'ನನ್ನ ವೆಚ್ಚ ಬೇರೆ ಆದರೆ?', 'ಈ ಸಲಹೆ ಕೆಲಸ ಮಾಡಿದೆಯೇ?'.</w:t>
            </w:r>
          </w:p>
        </w:tc>
        <w:tc>
          <w:tcPr>
            <w:tcW w:type="dxa" w:w="1928"/>
          </w:tcPr>
          <w:p>
            <w:pPr>
              <w:spacing w:after="20"/>
            </w:pPr>
            <w:r/>
            <w:r>
              <w:rPr>
                <w:sz w:val="17"/>
              </w:rPr>
              <w:t>Say: 'Every string exists in English, Kannada and Hindi and is tested for completeness.' Close the tool (X).</w:t>
            </w:r>
          </w:p>
        </w:tc>
      </w:tr>
      <w:tr>
        <w:tc>
          <w:tcPr>
            <w:tcW w:type="dxa" w:w="624"/>
            <w:shd w:val="clear" w:color="auto" w:fill="EEF4F9"/>
          </w:tcPr>
          <w:p>
            <w:pPr>
              <w:spacing w:after="20"/>
            </w:pPr>
            <w:r/>
          </w:p>
        </w:tc>
        <w:tc>
          <w:tcPr>
            <w:tcW w:type="dxa" w:w="2041"/>
            <w:shd w:val="clear" w:color="auto" w:fill="EEF4F9"/>
          </w:tcPr>
          <w:p>
            <w:pPr>
              <w:spacing w:after="20"/>
            </w:pPr>
            <w:r/>
            <w:r>
              <w:rPr>
                <w:b/>
                <w:sz w:val="17"/>
              </w:rPr>
              <w:t>Trader desk, 3.5 min</w:t>
            </w:r>
          </w:p>
        </w:tc>
        <w:tc>
          <w:tcPr>
            <w:tcW w:type="dxa" w:w="1701"/>
            <w:shd w:val="clear" w:color="auto" w:fill="EEF4F9"/>
          </w:tcPr>
          <w:p>
            <w:pPr>
              <w:spacing w:after="20"/>
            </w:pPr>
            <w:r/>
          </w:p>
        </w:tc>
        <w:tc>
          <w:tcPr>
            <w:tcW w:type="dxa" w:w="3515"/>
            <w:shd w:val="clear" w:color="auto" w:fill="EEF4F9"/>
          </w:tcPr>
          <w:p>
            <w:pPr>
              <w:spacing w:after="20"/>
            </w:pPr>
            <w:r/>
          </w:p>
        </w:tc>
        <w:tc>
          <w:tcPr>
            <w:tcW w:type="dxa" w:w="1928"/>
            <w:shd w:val="clear" w:color="auto" w:fill="EEF4F9"/>
          </w:tcPr>
          <w:p>
            <w:pPr>
              <w:spacing w:after="20"/>
            </w:pPr>
            <w:r/>
          </w:p>
        </w:tc>
      </w:tr>
      <w:tr>
        <w:tc>
          <w:tcPr>
            <w:tcW w:type="dxa" w:w="624"/>
          </w:tcPr>
          <w:p>
            <w:pPr>
              <w:spacing w:after="20"/>
            </w:pPr>
            <w:r/>
            <w:r>
              <w:rPr>
                <w:sz w:val="17"/>
              </w:rPr>
              <w:t>B1</w:t>
            </w:r>
          </w:p>
        </w:tc>
        <w:tc>
          <w:tcPr>
            <w:tcW w:type="dxa" w:w="2041"/>
          </w:tcPr>
          <w:p>
            <w:pPr>
              <w:spacing w:after="20"/>
            </w:pPr>
            <w:r/>
            <w:r>
              <w:rPr>
                <w:sz w:val="17"/>
              </w:rPr>
              <w:t xml:space="preserve">Tab 2 </w:t>
            </w:r>
            <w:r>
              <w:rPr>
                <w:rFonts w:ascii="Consolas" w:hAnsi="Consolas"/>
                <w:sz w:val="17"/>
              </w:rPr>
              <w:t>/trader-tools/reporting-value</w:t>
            </w:r>
            <w:r>
              <w:rPr>
                <w:sz w:val="17"/>
              </w:rPr>
              <w:t xml:space="preserve"> (crop: Tomato).</w:t>
            </w:r>
          </w:p>
        </w:tc>
        <w:tc>
          <w:tcPr>
            <w:tcW w:type="dxa" w:w="1701"/>
          </w:tcPr>
          <w:p>
            <w:pPr>
              <w:spacing w:after="20"/>
            </w:pPr>
            <w:r/>
          </w:p>
        </w:tc>
        <w:tc>
          <w:tcPr>
            <w:tcW w:type="dxa" w:w="3515"/>
          </w:tcPr>
          <w:p>
            <w:pPr>
              <w:spacing w:after="20"/>
            </w:pPr>
            <w:r/>
            <w:r>
              <w:rPr>
                <w:sz w:val="17"/>
              </w:rPr>
              <w:t xml:space="preserve">Window 2025-10-26 → 2026-10-26; average loss </w:t>
            </w:r>
            <w:r>
              <w:rPr>
                <w:b/>
                <w:sz w:val="17"/>
              </w:rPr>
              <w:t>₹78</w:t>
            </w:r>
            <w:r>
              <w:rPr>
                <w:sz w:val="17"/>
              </w:rPr>
              <w:t xml:space="preserve"> per quintal per trip. First row </w:t>
            </w:r>
            <w:r>
              <w:rPr>
                <w:b/>
                <w:sz w:val="17"/>
              </w:rPr>
              <w:t>Kanakapura</w:t>
            </w:r>
            <w:r>
              <w:rPr>
                <w:sz w:val="17"/>
              </w:rPr>
              <w:t xml:space="preserve">: reported 44%, closed Sunday, worst other day Friday (50% silent), </w:t>
            </w:r>
            <w:r>
              <w:rPr>
                <w:b/>
                <w:sz w:val="17"/>
              </w:rPr>
              <w:t>₹313 (16.5%)</w:t>
            </w:r>
            <w:r>
              <w:rPr>
                <w:sz w:val="17"/>
              </w:rPr>
              <w:t>. Next Binny Mill ₹206 (8.5%), Doddaballapur ₹135 (7.2%). Chikkaballapur: Thursday cell red, 'Known closed: Thursday'. Kolar: ₹0 (0%).</w:t>
            </w:r>
          </w:p>
        </w:tc>
        <w:tc>
          <w:tcPr>
            <w:tcW w:type="dxa" w:w="1928"/>
          </w:tcPr>
          <w:p>
            <w:pPr>
              <w:spacing w:after="20"/>
            </w:pPr>
            <w:r/>
            <w:r>
              <w:rPr>
                <w:sz w:val="17"/>
              </w:rPr>
              <w:t>Say: 'Read the week strip: green reliable, red closed. Kolar shows zero tax: that does not mean it is reliable; its usual price is below the fallback. That is why surprise silence is beside it.' Optional: change crop to Ginger: Doddaballapur ₹1,410 (15.6%).</w:t>
            </w:r>
          </w:p>
        </w:tc>
      </w:tr>
      <w:tr>
        <w:tc>
          <w:tcPr>
            <w:tcW w:type="dxa" w:w="624"/>
            <w:shd w:val="clear" w:color="auto" w:fill="EEF4F9"/>
          </w:tcPr>
          <w:p>
            <w:pPr>
              <w:spacing w:after="20"/>
            </w:pPr>
            <w:r/>
            <w:r>
              <w:rPr>
                <w:sz w:val="17"/>
              </w:rPr>
              <w:t>B2</w:t>
            </w:r>
          </w:p>
        </w:tc>
        <w:tc>
          <w:tcPr>
            <w:tcW w:type="dxa" w:w="2041"/>
            <w:shd w:val="clear" w:color="auto" w:fill="EEF4F9"/>
          </w:tcPr>
          <w:p>
            <w:pPr>
              <w:spacing w:after="20"/>
            </w:pPr>
            <w:r/>
            <w:r>
              <w:rPr>
                <w:sz w:val="17"/>
              </w:rPr>
              <w:t xml:space="preserve">Tab 3 </w:t>
            </w:r>
            <w:r>
              <w:rPr>
                <w:rFonts w:ascii="Consolas" w:hAnsi="Consolas"/>
                <w:sz w:val="17"/>
              </w:rPr>
              <w:t>/trader-tools/crowd-simulator</w:t>
            </w:r>
            <w:r>
              <w:rPr>
                <w:sz w:val="17"/>
              </w:rPr>
              <w:t xml:space="preserve"> (Tomato, Kolar). Leave the sliders at 200 farmers, 10 quintals, b = 0.115.</w:t>
            </w:r>
          </w:p>
        </w:tc>
        <w:tc>
          <w:tcPr>
            <w:tcW w:type="dxa" w:w="1701"/>
            <w:shd w:val="clear" w:color="auto" w:fill="EEF4F9"/>
          </w:tcPr>
          <w:p>
            <w:pPr>
              <w:spacing w:after="20"/>
            </w:pPr>
            <w:r/>
          </w:p>
        </w:tc>
        <w:tc>
          <w:tcPr>
            <w:tcW w:type="dxa" w:w="3515"/>
            <w:shd w:val="clear" w:color="auto" w:fill="EEF4F9"/>
          </w:tcPr>
          <w:p>
            <w:pPr>
              <w:spacing w:after="20"/>
            </w:pPr>
            <w:r/>
            <w:r>
              <w:rPr>
                <w:sz w:val="17"/>
              </w:rPr>
              <w:t xml:space="preserve">Bars: One farmer alone </w:t>
            </w:r>
            <w:r>
              <w:rPr>
                <w:b/>
                <w:sz w:val="17"/>
              </w:rPr>
              <w:t>₹1,824</w:t>
            </w:r>
            <w:r>
              <w:rPr>
                <w:sz w:val="17"/>
              </w:rPr>
              <w:t xml:space="preserve">; Everyone follows the best action </w:t>
            </w:r>
            <w:r>
              <w:rPr>
                <w:b/>
                <w:sz w:val="17"/>
              </w:rPr>
              <w:t>₹1,194</w:t>
            </w:r>
            <w:r>
              <w:rPr>
                <w:sz w:val="17"/>
              </w:rPr>
              <w:t xml:space="preserve">; Everyone goes to the nearest mandi </w:t>
            </w:r>
            <w:r>
              <w:rPr>
                <w:b/>
                <w:sz w:val="17"/>
              </w:rPr>
              <w:t>₹1,207</w:t>
            </w:r>
            <w:r>
              <w:rPr>
                <w:sz w:val="17"/>
              </w:rPr>
              <w:t xml:space="preserve">; Coordinated split </w:t>
            </w:r>
            <w:r>
              <w:rPr>
                <w:b/>
                <w:sz w:val="17"/>
              </w:rPr>
              <w:t>₹1,436</w:t>
            </w:r>
            <w:r>
              <w:rPr>
                <w:sz w:val="17"/>
              </w:rPr>
              <w:t xml:space="preserve">. Cards: price drop at the best yard </w:t>
            </w:r>
            <w:r>
              <w:rPr>
                <w:b/>
                <w:sz w:val="17"/>
              </w:rPr>
              <w:t>−32.5%</w:t>
            </w:r>
            <w:r>
              <w:rPr>
                <w:sz w:val="17"/>
              </w:rPr>
              <w:t xml:space="preserve">; coordination gain per quintal </w:t>
            </w:r>
            <w:r>
              <w:rPr>
                <w:b/>
                <w:sz w:val="17"/>
              </w:rPr>
              <w:t>₹241</w:t>
            </w:r>
            <w:r>
              <w:rPr>
                <w:sz w:val="17"/>
              </w:rPr>
              <w:t xml:space="preserve">; group gain </w:t>
            </w:r>
            <w:r>
              <w:rPr>
                <w:b/>
                <w:sz w:val="17"/>
              </w:rPr>
              <w:t>₹4,82,705</w:t>
            </w:r>
            <w:r>
              <w:rPr>
                <w:sz w:val="17"/>
              </w:rPr>
              <w:t>. Text: 'that yard usually receives about 68 quintals a day · the crowd brings 2,000 quintals'.</w:t>
            </w:r>
          </w:p>
        </w:tc>
        <w:tc>
          <w:tcPr>
            <w:tcW w:type="dxa" w:w="1928"/>
            <w:shd w:val="clear" w:color="auto" w:fill="EEF4F9"/>
          </w:tcPr>
          <w:p>
            <w:pPr>
              <w:spacing w:after="20"/>
            </w:pPr>
            <w:r/>
            <w:r>
              <w:rPr>
                <w:sz w:val="17"/>
              </w:rPr>
              <w:t>Say: 'If two hundred farmers all take our advice we ruin our own advice. A split with stated probabilities recovers two hundred forty-one rupees per quintal.'</w:t>
            </w:r>
          </w:p>
        </w:tc>
      </w:tr>
      <w:tr>
        <w:tc>
          <w:tcPr>
            <w:tcW w:type="dxa" w:w="624"/>
          </w:tcPr>
          <w:p>
            <w:pPr>
              <w:spacing w:after="20"/>
            </w:pPr>
            <w:r/>
            <w:r>
              <w:rPr>
                <w:sz w:val="17"/>
              </w:rPr>
              <w:t>B3</w:t>
            </w:r>
          </w:p>
        </w:tc>
        <w:tc>
          <w:tcPr>
            <w:tcW w:type="dxa" w:w="2041"/>
          </w:tcPr>
          <w:p>
            <w:pPr>
              <w:spacing w:after="20"/>
            </w:pPr>
            <w:r/>
            <w:r>
              <w:rPr>
                <w:sz w:val="17"/>
              </w:rPr>
              <w:t>Drag 'Farmers following the advice' to 1: all four bars equal about ₹1,800. Drag to 2000: red bar falls further, coordinated stays above. Set 'Price flexibility b' to 0: all four equal. Return b to 0.115 and farmers to 200.</w:t>
            </w:r>
          </w:p>
        </w:tc>
        <w:tc>
          <w:tcPr>
            <w:tcW w:type="dxa" w:w="1701"/>
          </w:tcPr>
          <w:p>
            <w:pPr>
              <w:spacing w:after="20"/>
            </w:pPr>
            <w:r/>
          </w:p>
        </w:tc>
        <w:tc>
          <w:tcPr>
            <w:tcW w:type="dxa" w:w="3515"/>
          </w:tcPr>
          <w:p>
            <w:pPr>
              <w:spacing w:after="20"/>
            </w:pPr>
            <w:r/>
            <w:r>
              <w:rPr>
                <w:sz w:val="17"/>
              </w:rPr>
              <w:t>At 1 farmer: alone 1,824 and everyone-follows-best about 1,793 (10 quintals barely move a yard). At b = 0: every policy equals the alone figure.</w:t>
            </w:r>
          </w:p>
        </w:tc>
        <w:tc>
          <w:tcPr>
            <w:tcW w:type="dxa" w:w="1928"/>
          </w:tcPr>
          <w:p>
            <w:pPr>
              <w:spacing w:after="20"/>
            </w:pPr>
            <w:r/>
            <w:r>
              <w:rPr>
                <w:sz w:val="17"/>
              </w:rPr>
              <w:t>Say: 'This is a scenario, not a measurement. At zero flexibility the crowd costs nothing. We state the assumption and offer the slider.'</w:t>
            </w:r>
          </w:p>
        </w:tc>
      </w:tr>
      <w:tr>
        <w:tc>
          <w:tcPr>
            <w:tcW w:type="dxa" w:w="624"/>
            <w:shd w:val="clear" w:color="auto" w:fill="EEF4F9"/>
          </w:tcPr>
          <w:p>
            <w:pPr>
              <w:spacing w:after="20"/>
            </w:pPr>
            <w:r/>
          </w:p>
        </w:tc>
        <w:tc>
          <w:tcPr>
            <w:tcW w:type="dxa" w:w="2041"/>
            <w:shd w:val="clear" w:color="auto" w:fill="EEF4F9"/>
          </w:tcPr>
          <w:p>
            <w:pPr>
              <w:spacing w:after="20"/>
            </w:pPr>
            <w:r/>
            <w:r>
              <w:rPr>
                <w:b/>
                <w:sz w:val="17"/>
              </w:rPr>
              <w:t>Telegram, 2.5 min</w:t>
            </w:r>
          </w:p>
        </w:tc>
        <w:tc>
          <w:tcPr>
            <w:tcW w:type="dxa" w:w="1701"/>
            <w:shd w:val="clear" w:color="auto" w:fill="EEF4F9"/>
          </w:tcPr>
          <w:p>
            <w:pPr>
              <w:spacing w:after="20"/>
            </w:pPr>
            <w:r/>
          </w:p>
        </w:tc>
        <w:tc>
          <w:tcPr>
            <w:tcW w:type="dxa" w:w="3515"/>
            <w:shd w:val="clear" w:color="auto" w:fill="EEF4F9"/>
          </w:tcPr>
          <w:p>
            <w:pPr>
              <w:spacing w:after="20"/>
            </w:pPr>
            <w:r/>
          </w:p>
        </w:tc>
        <w:tc>
          <w:tcPr>
            <w:tcW w:type="dxa" w:w="1928"/>
            <w:shd w:val="clear" w:color="auto" w:fill="EEF4F9"/>
          </w:tcPr>
          <w:p>
            <w:pPr>
              <w:spacing w:after="20"/>
            </w:pPr>
            <w:r/>
          </w:p>
        </w:tc>
      </w:tr>
      <w:tr>
        <w:tc>
          <w:tcPr>
            <w:tcW w:type="dxa" w:w="624"/>
          </w:tcPr>
          <w:p>
            <w:pPr>
              <w:spacing w:after="20"/>
            </w:pPr>
            <w:r/>
            <w:r>
              <w:rPr>
                <w:sz w:val="17"/>
              </w:rPr>
              <w:t>C1</w:t>
            </w:r>
          </w:p>
        </w:tc>
        <w:tc>
          <w:tcPr>
            <w:tcW w:type="dxa" w:w="2041"/>
          </w:tcPr>
          <w:p>
            <w:pPr>
              <w:spacing w:after="20"/>
            </w:pPr>
            <w:r/>
            <w:r>
              <w:rPr>
                <w:sz w:val="17"/>
              </w:rPr>
              <w:t xml:space="preserve">Phone: chat with @MandiAis_BOT. Send </w:t>
            </w:r>
            <w:r>
              <w:rPr>
                <w:rFonts w:ascii="Consolas" w:hAnsi="Consolas"/>
                <w:sz w:val="17"/>
              </w:rPr>
              <w:t>/today</w:t>
            </w:r>
            <w:r>
              <w:rPr>
                <w:sz w:val="17"/>
              </w:rPr>
              <w:t>.</w:t>
            </w:r>
          </w:p>
        </w:tc>
        <w:tc>
          <w:tcPr>
            <w:tcW w:type="dxa" w:w="1701"/>
          </w:tcPr>
          <w:p>
            <w:pPr>
              <w:spacing w:after="20"/>
            </w:pPr>
            <w:r/>
          </w:p>
        </w:tc>
        <w:tc>
          <w:tcPr>
            <w:tcW w:type="dxa" w:w="3515"/>
          </w:tcPr>
          <w:p>
            <w:pPr>
              <w:spacing w:after="20"/>
            </w:pPr>
            <w:r/>
            <w:r>
              <w:rPr>
                <w:sz w:val="17"/>
              </w:rPr>
              <w:t>Message: '🌾 MandiSense market update for Kolar', '🗓 Prices reported up to 26-Oct-2026', '⚠️ Data is 3 days old; prices may have moved since.' Tomato: Kolar ₹1,330/quintal [26-Oct] (+9% vs 7-day average); Best place to sell: Ramanagara (103 km), wait 1 day(s); about ₹1,824/quintal; at least ₹1,316 on 9 days in 10; ₹592 more than the nearest mandi. Onion: Bangarpet ₹4,250 [26-Oct], sell on the next market day, about ₹3,955. Footer: advice not a promise.</w:t>
            </w:r>
          </w:p>
        </w:tc>
        <w:tc>
          <w:tcPr>
            <w:tcW w:type="dxa" w:w="1928"/>
          </w:tcPr>
          <w:p>
            <w:pPr>
              <w:spacing w:after="20"/>
            </w:pPr>
            <w:r/>
            <w:r>
              <w:rPr>
                <w:sz w:val="17"/>
              </w:rPr>
              <w:t>Say: 'Every price carries its date; there is no live feed so we say how old the data is.'</w:t>
            </w:r>
          </w:p>
        </w:tc>
      </w:tr>
      <w:tr>
        <w:tc>
          <w:tcPr>
            <w:tcW w:type="dxa" w:w="624"/>
            <w:shd w:val="clear" w:color="auto" w:fill="EEF4F9"/>
          </w:tcPr>
          <w:p>
            <w:pPr>
              <w:spacing w:after="20"/>
            </w:pPr>
            <w:r/>
            <w:r>
              <w:rPr>
                <w:sz w:val="17"/>
              </w:rPr>
              <w:t>C2</w:t>
            </w:r>
          </w:p>
        </w:tc>
        <w:tc>
          <w:tcPr>
            <w:tcW w:type="dxa" w:w="2041"/>
            <w:shd w:val="clear" w:color="auto" w:fill="EEF4F9"/>
          </w:tcPr>
          <w:p>
            <w:pPr>
              <w:spacing w:after="20"/>
            </w:pPr>
            <w:r/>
            <w:r>
              <w:rPr>
                <w:sz w:val="17"/>
              </w:rPr>
              <w:t xml:space="preserve">Send </w:t>
            </w:r>
            <w:r>
              <w:rPr>
                <w:rFonts w:ascii="Consolas" w:hAnsi="Consolas"/>
                <w:sz w:val="17"/>
              </w:rPr>
              <w:t>onion chintamani</w:t>
            </w:r>
            <w:r>
              <w:rPr>
                <w:sz w:val="17"/>
              </w:rPr>
              <w:t xml:space="preserve">. Then send </w:t>
            </w:r>
            <w:r>
              <w:rPr>
                <w:rFonts w:ascii="Consolas" w:hAnsi="Consolas"/>
                <w:sz w:val="17"/>
              </w:rPr>
              <w:t>ಟೊಮೆಟೊ ಕೋಲಾರ</w:t>
            </w:r>
            <w:r>
              <w:rPr>
                <w:sz w:val="17"/>
              </w:rPr>
              <w:t>.</w:t>
            </w:r>
          </w:p>
        </w:tc>
        <w:tc>
          <w:tcPr>
            <w:tcW w:type="dxa" w:w="1701"/>
            <w:shd w:val="clear" w:color="auto" w:fill="EEF4F9"/>
          </w:tcPr>
          <w:p>
            <w:pPr>
              <w:spacing w:after="20"/>
            </w:pPr>
            <w:r/>
          </w:p>
        </w:tc>
        <w:tc>
          <w:tcPr>
            <w:tcW w:type="dxa" w:w="3515"/>
            <w:shd w:val="clear" w:color="auto" w:fill="EEF4F9"/>
          </w:tcPr>
          <w:p>
            <w:pPr>
              <w:spacing w:after="20"/>
            </w:pPr>
            <w:r/>
            <w:r>
              <w:rPr>
                <w:sz w:val="17"/>
              </w:rPr>
              <w:t>The bot replies with the digest for that crop and place (in your language setting).</w:t>
            </w:r>
          </w:p>
        </w:tc>
        <w:tc>
          <w:tcPr>
            <w:tcW w:type="dxa" w:w="1928"/>
            <w:shd w:val="clear" w:color="auto" w:fill="EEF4F9"/>
          </w:tcPr>
          <w:p>
            <w:pPr>
              <w:spacing w:after="20"/>
            </w:pPr>
            <w:r/>
            <w:r>
              <w:rPr>
                <w:sz w:val="17"/>
              </w:rPr>
              <w:t>Say: 'Farmers can type in their own language.'</w:t>
            </w:r>
          </w:p>
        </w:tc>
      </w:tr>
      <w:tr>
        <w:tc>
          <w:tcPr>
            <w:tcW w:type="dxa" w:w="624"/>
          </w:tcPr>
          <w:p>
            <w:pPr>
              <w:spacing w:after="20"/>
            </w:pPr>
            <w:r/>
            <w:r>
              <w:rPr>
                <w:sz w:val="17"/>
              </w:rPr>
              <w:t>C3</w:t>
            </w:r>
          </w:p>
        </w:tc>
        <w:tc>
          <w:tcPr>
            <w:tcW w:type="dxa" w:w="2041"/>
          </w:tcPr>
          <w:p>
            <w:pPr>
              <w:spacing w:after="20"/>
            </w:pPr>
            <w:r/>
            <w:r>
              <w:rPr>
                <w:sz w:val="17"/>
              </w:rPr>
              <w:t xml:space="preserve">Terminal 4: </w:t>
            </w:r>
            <w:r>
              <w:rPr>
                <w:rFonts w:ascii="Consolas" w:hAnsi="Consolas"/>
                <w:sz w:val="17"/>
              </w:rPr>
              <w:t>ms_env\Scripts\python.exe scripts/send_daily_digest.py</w:t>
            </w:r>
            <w:r>
              <w:rPr>
                <w:sz w:val="17"/>
              </w:rPr>
              <w:t xml:space="preserve"> (the 7 am job). Show the phone buzz, then </w:t>
            </w:r>
            <w:r>
              <w:rPr>
                <w:rFonts w:ascii="Consolas" w:hAnsi="Consolas"/>
                <w:sz w:val="17"/>
              </w:rPr>
              <w:t>type data\farmer\telegram_outbox.jsonl</w:t>
            </w:r>
            <w:r>
              <w:rPr>
                <w:sz w:val="17"/>
              </w:rPr>
              <w:t xml:space="preserve"> (or open it).</w:t>
            </w:r>
          </w:p>
        </w:tc>
        <w:tc>
          <w:tcPr>
            <w:tcW w:type="dxa" w:w="1701"/>
          </w:tcPr>
          <w:p>
            <w:pPr>
              <w:spacing w:after="20"/>
            </w:pPr>
            <w:r/>
          </w:p>
        </w:tc>
        <w:tc>
          <w:tcPr>
            <w:tcW w:type="dxa" w:w="3515"/>
          </w:tcPr>
          <w:p>
            <w:pPr>
              <w:spacing w:after="20"/>
            </w:pPr>
            <w:r/>
            <w:r>
              <w:rPr>
                <w:sz w:val="17"/>
              </w:rPr>
              <w:t xml:space="preserve">Terminal prints </w:t>
            </w:r>
            <w:r>
              <w:rPr>
                <w:rFonts w:ascii="Consolas" w:hAnsi="Consolas"/>
                <w:sz w:val="17"/>
              </w:rPr>
              <w:t>{'subscribers': 1, 'sent': 1, 'failed': 0}</w:t>
            </w:r>
            <w:r>
              <w:rPr>
                <w:sz w:val="17"/>
              </w:rPr>
              <w:t>; the phone receives the digest; the log line shows kind daily, status sent, a message id.</w:t>
            </w:r>
          </w:p>
        </w:tc>
        <w:tc>
          <w:tcPr>
            <w:tcW w:type="dxa" w:w="1928"/>
          </w:tcPr>
          <w:p>
            <w:pPr>
              <w:spacing w:after="20"/>
            </w:pPr>
            <w:r/>
            <w:r>
              <w:rPr>
                <w:sz w:val="17"/>
              </w:rPr>
              <w:t>Say: 'Windows Task Scheduler runs this at 7 every morning.' Show the schtasks command from the script header if asked.</w:t>
            </w:r>
          </w:p>
        </w:tc>
      </w:tr>
      <w:tr>
        <w:tc>
          <w:tcPr>
            <w:tcW w:type="dxa" w:w="624"/>
            <w:shd w:val="clear" w:color="auto" w:fill="EEF4F9"/>
          </w:tcPr>
          <w:p>
            <w:pPr>
              <w:spacing w:after="20"/>
            </w:pPr>
            <w:r/>
          </w:p>
        </w:tc>
        <w:tc>
          <w:tcPr>
            <w:tcW w:type="dxa" w:w="2041"/>
            <w:shd w:val="clear" w:color="auto" w:fill="EEF4F9"/>
          </w:tcPr>
          <w:p>
            <w:pPr>
              <w:spacing w:after="20"/>
            </w:pPr>
            <w:r/>
            <w:r>
              <w:rPr>
                <w:b/>
                <w:sz w:val="17"/>
              </w:rPr>
              <w:t>Optional, 30 s</w:t>
            </w:r>
          </w:p>
        </w:tc>
        <w:tc>
          <w:tcPr>
            <w:tcW w:type="dxa" w:w="1701"/>
            <w:shd w:val="clear" w:color="auto" w:fill="EEF4F9"/>
          </w:tcPr>
          <w:p>
            <w:pPr>
              <w:spacing w:after="20"/>
            </w:pPr>
            <w:r/>
          </w:p>
        </w:tc>
        <w:tc>
          <w:tcPr>
            <w:tcW w:type="dxa" w:w="3515"/>
            <w:shd w:val="clear" w:color="auto" w:fill="EEF4F9"/>
          </w:tcPr>
          <w:p>
            <w:pPr>
              <w:spacing w:after="20"/>
            </w:pPr>
            <w:r/>
          </w:p>
        </w:tc>
        <w:tc>
          <w:tcPr>
            <w:tcW w:type="dxa" w:w="1928"/>
            <w:shd w:val="clear" w:color="auto" w:fill="EEF4F9"/>
          </w:tcPr>
          <w:p>
            <w:pPr>
              <w:spacing w:after="20"/>
            </w:pPr>
            <w:r/>
          </w:p>
        </w:tc>
      </w:tr>
      <w:tr>
        <w:tc>
          <w:tcPr>
            <w:tcW w:type="dxa" w:w="624"/>
          </w:tcPr>
          <w:p>
            <w:pPr>
              <w:spacing w:after="20"/>
            </w:pPr>
            <w:r/>
            <w:r>
              <w:rPr>
                <w:sz w:val="17"/>
              </w:rPr>
              <w:t>D1</w:t>
            </w:r>
          </w:p>
        </w:tc>
        <w:tc>
          <w:tcPr>
            <w:tcW w:type="dxa" w:w="2041"/>
          </w:tcPr>
          <w:p>
            <w:pPr>
              <w:spacing w:after="20"/>
            </w:pPr>
            <w:r/>
            <w:r>
              <w:rPr>
                <w:sz w:val="17"/>
              </w:rPr>
              <w:t xml:space="preserve">Tab 5 </w:t>
            </w:r>
            <w:r>
              <w:rPr>
                <w:rFonts w:ascii="Consolas" w:hAnsi="Consolas"/>
                <w:sz w:val="17"/>
              </w:rPr>
              <w:t>http://localhost:8000/docs</w:t>
            </w:r>
            <w:r>
              <w:rPr>
                <w:sz w:val="17"/>
              </w:rPr>
              <w:t>.</w:t>
            </w:r>
          </w:p>
        </w:tc>
        <w:tc>
          <w:tcPr>
            <w:tcW w:type="dxa" w:w="1701"/>
          </w:tcPr>
          <w:p>
            <w:pPr>
              <w:spacing w:after="20"/>
            </w:pPr>
            <w:r/>
          </w:p>
        </w:tc>
        <w:tc>
          <w:tcPr>
            <w:tcW w:type="dxa" w:w="3515"/>
          </w:tcPr>
          <w:p>
            <w:pPr>
              <w:spacing w:after="20"/>
            </w:pPr>
            <w:r/>
            <w:r>
              <w:rPr>
                <w:sz w:val="17"/>
              </w:rPr>
              <w:t>Under market-choice: breakdown, simulate, crowd, reporting-value, track-record. Under Farmer notifications: preview, subscribers, send-now, log.</w:t>
            </w:r>
          </w:p>
        </w:tc>
        <w:tc>
          <w:tcPr>
            <w:tcW w:type="dxa" w:w="1928"/>
          </w:tcPr>
          <w:p>
            <w:pPr>
              <w:spacing w:after="20"/>
            </w:pPr>
            <w:r/>
            <w:r>
              <w:rPr>
                <w:sz w:val="17"/>
              </w:rPr>
              <w:t>Say: 'Everything you saw is an API; the app and the bot are two clients of it.'</w:t>
            </w:r>
          </w:p>
        </w:tc>
      </w:tr>
    </w:tbl>
    <w:p>
      <w:pPr>
        <w:spacing w:after="40"/>
      </w:pPr>
    </w:p>
    <w:p>
      <w:pPr>
        <w:pStyle w:val="Heading1"/>
      </w:pPr>
      <w:r>
        <w:t>If something goes wrong</w:t>
      </w:r>
    </w:p>
    <w:tbl>
      <w:tblPr>
        <w:tblStyle w:val="TableGrid"/>
        <w:tblW w:type="auto" w:w="0"/>
        <w:jc w:val="center"/>
        <w:tblLook w:firstColumn="1" w:firstRow="1" w:lastColumn="0" w:lastRow="0" w:noHBand="0" w:noVBand="1" w:val="04A0"/>
      </w:tblPr>
      <w:tblGrid>
        <w:gridCol w:w="5100"/>
        <w:gridCol w:w="5100"/>
      </w:tblGrid>
      <w:tr>
        <w:tc>
          <w:tcPr>
            <w:tcW w:type="dxa" w:w="2551"/>
            <w:shd w:val="clear" w:color="auto" w:fill="1F4E79"/>
          </w:tcPr>
          <w:p>
            <w:pPr>
              <w:spacing w:after="20"/>
            </w:pPr>
            <w:r>
              <w:rPr>
                <w:b/>
                <w:color w:val="FFFFFF"/>
              </w:rPr>
            </w:r>
            <w:r>
              <w:rPr>
                <w:b/>
                <w:color w:val="FFFFFF"/>
                <w:sz w:val="19"/>
              </w:rPr>
              <w:t>Situation</w:t>
            </w:r>
          </w:p>
        </w:tc>
        <w:tc>
          <w:tcPr>
            <w:tcW w:type="dxa" w:w="7087"/>
            <w:shd w:val="clear" w:color="auto" w:fill="1F4E79"/>
          </w:tcPr>
          <w:p>
            <w:pPr>
              <w:spacing w:after="20"/>
            </w:pPr>
            <w:r>
              <w:rPr>
                <w:b/>
                <w:color w:val="FFFFFF"/>
              </w:rPr>
            </w:r>
            <w:r>
              <w:rPr>
                <w:b/>
                <w:color w:val="FFFFFF"/>
                <w:sz w:val="19"/>
              </w:rPr>
              <w:t>What to do</w:t>
            </w:r>
          </w:p>
        </w:tc>
      </w:tr>
      <w:tr>
        <w:tc>
          <w:tcPr>
            <w:tcW w:type="dxa" w:w="2551"/>
          </w:tcPr>
          <w:p>
            <w:pPr>
              <w:spacing w:after="20"/>
            </w:pPr>
            <w:r/>
            <w:r>
              <w:rPr>
                <w:sz w:val="19"/>
              </w:rPr>
              <w:t>The bot does not answer</w:t>
            </w:r>
          </w:p>
        </w:tc>
        <w:tc>
          <w:tcPr>
            <w:tcW w:type="dxa" w:w="7087"/>
          </w:tcPr>
          <w:p>
            <w:pPr>
              <w:spacing w:after="20"/>
            </w:pPr>
            <w:r/>
            <w:r>
              <w:rPr>
                <w:sz w:val="19"/>
              </w:rPr>
              <w:t xml:space="preserve">Check Terminal 3 is still running and the network works; restart </w:t>
            </w:r>
            <w:r>
              <w:rPr>
                <w:rFonts w:ascii="Consolas" w:hAnsi="Consolas"/>
                <w:sz w:val="19"/>
              </w:rPr>
              <w:t>scripts/telegram_bot.py</w:t>
            </w:r>
            <w:r>
              <w:rPr>
                <w:sz w:val="19"/>
              </w:rPr>
              <w:t xml:space="preserve">. If the network is down, show slide 22 (the message image) and say the digest builder runs offline: </w:t>
            </w:r>
            <w:r>
              <w:rPr>
                <w:rFonts w:ascii="Consolas" w:hAnsi="Consolas"/>
                <w:sz w:val="19"/>
              </w:rPr>
              <w:t>python scripts/send_daily_digest.py --dry-run</w:t>
            </w:r>
            <w:r>
              <w:rPr>
                <w:sz w:val="19"/>
              </w:rPr>
              <w:t xml:space="preserve"> prints what would be sent.</w:t>
            </w:r>
          </w:p>
        </w:tc>
      </w:tr>
      <w:tr>
        <w:tc>
          <w:tcPr>
            <w:tcW w:type="dxa" w:w="2551"/>
            <w:shd w:val="clear" w:color="auto" w:fill="EEF4F9"/>
          </w:tcPr>
          <w:p>
            <w:pPr>
              <w:spacing w:after="20"/>
            </w:pPr>
            <w:r/>
            <w:r>
              <w:rPr>
                <w:sz w:val="19"/>
              </w:rPr>
              <w:t>A page shows an error or 'not found' for new endpoints</w:t>
            </w:r>
          </w:p>
        </w:tc>
        <w:tc>
          <w:tcPr>
            <w:tcW w:type="dxa" w:w="7087"/>
            <w:shd w:val="clear" w:color="auto" w:fill="EEF4F9"/>
          </w:tcPr>
          <w:p>
            <w:pPr>
              <w:spacing w:after="20"/>
            </w:pPr>
            <w:r/>
            <w:r>
              <w:rPr>
                <w:sz w:val="19"/>
              </w:rPr>
              <w:t>An old API process is still on port 8000. Stop it (</w:t>
            </w:r>
            <w:r>
              <w:rPr>
                <w:rFonts w:ascii="Consolas" w:hAnsi="Consolas"/>
                <w:sz w:val="19"/>
              </w:rPr>
              <w:t>netstat -ano | findstr :8000</w:t>
            </w:r>
            <w:r>
              <w:rPr>
                <w:sz w:val="19"/>
              </w:rPr>
              <w:t xml:space="preserve">, then stop that PID) and start the API again. Verify with </w:t>
            </w:r>
            <w:r>
              <w:rPr>
                <w:rFonts w:ascii="Consolas" w:hAnsi="Consolas"/>
                <w:sz w:val="19"/>
              </w:rPr>
              <w:t>curl http://127.0.0.1:8000/v1/market-choice/track-record/tomato</w:t>
            </w:r>
            <w:r>
              <w:rPr>
                <w:sz w:val="19"/>
              </w:rPr>
              <w:t>.</w:t>
            </w:r>
          </w:p>
        </w:tc>
      </w:tr>
      <w:tr>
        <w:tc>
          <w:tcPr>
            <w:tcW w:type="dxa" w:w="2551"/>
          </w:tcPr>
          <w:p>
            <w:pPr>
              <w:spacing w:after="20"/>
            </w:pPr>
            <w:r/>
            <w:r>
              <w:rPr>
                <w:sz w:val="19"/>
              </w:rPr>
              <w:t>Numbers differ from the notes</w:t>
            </w:r>
          </w:p>
        </w:tc>
        <w:tc>
          <w:tcPr>
            <w:tcW w:type="dxa" w:w="7087"/>
          </w:tcPr>
          <w:p>
            <w:pPr>
              <w:spacing w:after="20"/>
            </w:pPr>
            <w:r/>
            <w:r>
              <w:rPr>
                <w:sz w:val="19"/>
              </w:rPr>
              <w:t xml:space="preserve">The notes use the data loaded on 29 Oct 2026 (prices to 26 Oct). If data were reloaded, run </w:t>
            </w:r>
            <w:r>
              <w:rPr>
                <w:rFonts w:ascii="Consolas" w:hAnsi="Consolas"/>
                <w:sz w:val="19"/>
              </w:rPr>
              <w:t>python report/build_insight_assets.py</w:t>
            </w:r>
            <w:r>
              <w:rPr>
                <w:sz w:val="19"/>
              </w:rPr>
              <w:t>, re-read the figures from the deck_data.json file, and say 'as of the latest load'.</w:t>
            </w:r>
          </w:p>
        </w:tc>
      </w:tr>
      <w:tr>
        <w:tc>
          <w:tcPr>
            <w:tcW w:type="dxa" w:w="2551"/>
            <w:shd w:val="clear" w:color="auto" w:fill="EEF4F9"/>
          </w:tcPr>
          <w:p>
            <w:pPr>
              <w:spacing w:after="20"/>
            </w:pPr>
            <w:r/>
            <w:r>
              <w:rPr>
                <w:sz w:val="19"/>
              </w:rPr>
              <w:t>The farmer tool is slow the first time</w:t>
            </w:r>
          </w:p>
        </w:tc>
        <w:tc>
          <w:tcPr>
            <w:tcW w:type="dxa" w:w="7087"/>
            <w:shd w:val="clear" w:color="auto" w:fill="EEF4F9"/>
          </w:tcPr>
          <w:p>
            <w:pPr>
              <w:spacing w:after="20"/>
            </w:pPr>
            <w:r/>
            <w:r>
              <w:rPr>
                <w:sz w:val="19"/>
              </w:rPr>
              <w:t>The engine loads on first use; open the tool once before the demo (setup step T-40).</w:t>
            </w:r>
          </w:p>
        </w:tc>
      </w:tr>
      <w:tr>
        <w:tc>
          <w:tcPr>
            <w:tcW w:type="dxa" w:w="2551"/>
          </w:tcPr>
          <w:p>
            <w:pPr>
              <w:spacing w:after="20"/>
            </w:pPr>
            <w:r/>
            <w:r>
              <w:rPr>
                <w:sz w:val="19"/>
              </w:rPr>
              <w:t>The LLM or judge is unavailable</w:t>
            </w:r>
          </w:p>
        </w:tc>
        <w:tc>
          <w:tcPr>
            <w:tcW w:type="dxa" w:w="7087"/>
          </w:tcPr>
          <w:p>
            <w:pPr>
              <w:spacing w:after="20"/>
            </w:pPr>
            <w:r/>
            <w:r>
              <w:rPr>
                <w:sz w:val="19"/>
              </w:rPr>
              <w:t>The demo does not depend on it: the language layer falls back to rule text. Say so.</w:t>
            </w:r>
          </w:p>
        </w:tc>
      </w:tr>
      <w:tr>
        <w:tc>
          <w:tcPr>
            <w:tcW w:type="dxa" w:w="2551"/>
            <w:shd w:val="clear" w:color="auto" w:fill="EEF4F9"/>
          </w:tcPr>
          <w:p>
            <w:pPr>
              <w:spacing w:after="20"/>
            </w:pPr>
            <w:r/>
            <w:r>
              <w:rPr>
                <w:sz w:val="19"/>
              </w:rPr>
              <w:t>A live demo cannot run at all</w:t>
            </w:r>
          </w:p>
        </w:tc>
        <w:tc>
          <w:tcPr>
            <w:tcW w:type="dxa" w:w="7087"/>
            <w:shd w:val="clear" w:color="auto" w:fill="EEF4F9"/>
          </w:tcPr>
          <w:p>
            <w:pPr>
              <w:spacing w:after="20"/>
            </w:pPr>
            <w:r/>
            <w:r>
              <w:rPr>
                <w:sz w:val="19"/>
              </w:rPr>
              <w:t>Use the screenshots on slides 10 to 22; they are real screens captured from the running system. Do not claim they are live.</w:t>
            </w:r>
          </w:p>
        </w:tc>
      </w:tr>
    </w:tbl>
    <w:p>
      <w:pPr>
        <w:spacing w:after="40"/>
      </w:pPr>
    </w:p>
    <w:p>
      <w:pPr>
        <w:pStyle w:val="Heading1"/>
      </w:pPr>
      <w:r>
        <w:t>Question bank</w:t>
      </w:r>
    </w:p>
    <w:p>
      <w:pPr>
        <w:spacing w:after="80"/>
      </w:pPr>
      <w:r>
        <w:rPr>
          <w:b w:val="0"/>
          <w:i/>
          <w:sz w:val="21"/>
        </w:rPr>
        <w:t>Answers are short on purpose: say the first sentence, then stop and wait.</w:t>
      </w:r>
    </w:p>
    <w:p>
      <w:pPr>
        <w:spacing w:after="20"/>
      </w:pPr>
      <w:r>
        <w:rPr>
          <w:b/>
          <w:sz w:val="21"/>
        </w:rPr>
        <w:t>Q. Why is the floor held only 84 percent of days for tomato in your track record?</w:t>
      </w:r>
    </w:p>
    <w:p>
      <w:pPr>
        <w:spacing w:after="120"/>
      </w:pPr>
      <w:r>
        <w:rPr>
          <w:sz w:val="21"/>
        </w:rPr>
        <w:t>The track record fits one floor multiplier on the first half of a 330-day window and judges the second half, which is the strictest of three evaluations. The served rule's own back-test violates 9.6 to 12.3 percent; a static multiplier out of sample violates 7.8 to 17.7. All three are in Chapter 6. The app shows the farmer the actual score.</w:t>
      </w:r>
    </w:p>
    <w:p>
      <w:pPr>
        <w:spacing w:after="20"/>
      </w:pPr>
      <w:r>
        <w:rPr>
          <w:b/>
          <w:sz w:val="21"/>
        </w:rPr>
        <w:t>Q. What is your main contribution?</w:t>
      </w:r>
    </w:p>
    <w:p>
      <w:pPr>
        <w:spacing w:after="120"/>
      </w:pPr>
      <w:r>
        <w:rPr>
          <w:sz w:val="21"/>
        </w:rPr>
        <w:t>Training market choice on realised, silence-aware revenue: it reduces regret by Rs 87 to 157 per quintal in all four crops, with significance after multiple-comparison correction; conformal floors with delayed feedback; and a measured audit of look-ahead leakage in decompose-then-forecast models. The inspectable layer (breakdown, what-if, track record, silence tax, crowd scenario) is an engineering contribution on top.</w:t>
      </w:r>
    </w:p>
    <w:p>
      <w:pPr>
        <w:spacing w:after="20"/>
      </w:pPr>
      <w:r>
        <w:rPr>
          <w:b/>
          <w:sz w:val="21"/>
        </w:rPr>
        <w:t>Q. Why did SPO+ not help?</w:t>
      </w:r>
    </w:p>
    <w:p>
      <w:pPr>
        <w:spacing w:after="120"/>
      </w:pPr>
      <w:r>
        <w:rPr>
          <w:sz w:val="21"/>
        </w:rPr>
        <w:t>Once labels reflect what the farmer received, the loss makes no reliable difference (p 0.17 to 0.95). The literature reports that the benefit of decision-focused learning depends on the problem.</w:t>
      </w:r>
    </w:p>
    <w:p>
      <w:pPr>
        <w:spacing w:after="20"/>
      </w:pPr>
      <w:r>
        <w:rPr>
          <w:b/>
          <w:sz w:val="21"/>
        </w:rPr>
        <w:t>Q. Is the crowd result real?</w:t>
      </w:r>
    </w:p>
    <w:p>
      <w:pPr>
        <w:spacing w:after="120"/>
      </w:pPr>
      <w:r>
        <w:rPr>
          <w:sz w:val="21"/>
        </w:rPr>
        <w:t>It is a scenario with a stated price flexibility b = 0.115, an association in past data (SE 0.023), not a causal estimate. At b = 0 all policies are equal. The real response needs a field trial.</w:t>
      </w:r>
    </w:p>
    <w:p>
      <w:pPr>
        <w:spacing w:after="20"/>
      </w:pPr>
      <w:r>
        <w:rPr>
          <w:b/>
          <w:sz w:val="21"/>
        </w:rPr>
        <w:t>Q. Why no live data?</w:t>
      </w:r>
    </w:p>
    <w:p>
      <w:pPr>
        <w:spacing w:after="120"/>
      </w:pPr>
      <w:r>
        <w:rPr>
          <w:sz w:val="21"/>
        </w:rPr>
        <w:t>Agmarknet exports are downloaded manually; there is no live feed available to us. The digest says how old its data is. The pipeline reloads with one command.</w:t>
      </w:r>
    </w:p>
    <w:p>
      <w:pPr>
        <w:spacing w:after="20"/>
      </w:pPr>
      <w:r>
        <w:rPr>
          <w:b/>
          <w:sz w:val="21"/>
        </w:rPr>
        <w:t>Q. How is the Telegram bot secured and private?</w:t>
      </w:r>
    </w:p>
    <w:p>
      <w:pPr>
        <w:spacing w:after="120"/>
      </w:pPr>
      <w:r>
        <w:rPr>
          <w:sz w:val="21"/>
        </w:rPr>
        <w:t>The token is read from the environment and never logged; only chat id, first name, language, district and crops are stored locally; a user can stop at any time; a blocked bot marks the user inactive.</w:t>
      </w:r>
    </w:p>
    <w:p>
      <w:pPr>
        <w:spacing w:after="20"/>
      </w:pPr>
      <w:r>
        <w:rPr>
          <w:b/>
          <w:sz w:val="21"/>
        </w:rPr>
        <w:t>Q. What about farmers who do not use Telegram?</w:t>
      </w:r>
    </w:p>
    <w:p>
      <w:pPr>
        <w:spacing w:after="120"/>
      </w:pPr>
      <w:r>
        <w:rPr>
          <w:sz w:val="21"/>
        </w:rPr>
        <w:t>Agreed: Telegram is the free channel that lets us demonstrate the flow. The message builder is channel-independent and can drive SMS or WhatsApp once sender registration is done; the survey in Appendix B asks about channel preference.</w:t>
      </w:r>
    </w:p>
    <w:p>
      <w:pPr>
        <w:spacing w:after="20"/>
      </w:pPr>
      <w:r>
        <w:rPr>
          <w:b/>
          <w:sz w:val="21"/>
        </w:rPr>
        <w:t>Q. Why is potato not advised?</w:t>
      </w:r>
    </w:p>
    <w:p>
      <w:pPr>
        <w:spacing w:after="120"/>
      </w:pPr>
      <w:r>
        <w:rPr>
          <w:sz w:val="21"/>
        </w:rPr>
        <w:t>The back-test gain over yesterday's highest price (Rs 15, CI -38 to +60) is not distinguishable from zero, so the evidence is limited and the app gives prices only. Garlic has one eligible mandi, so there is no choice.</w:t>
      </w:r>
    </w:p>
    <w:p>
      <w:pPr>
        <w:spacing w:after="20"/>
      </w:pPr>
      <w:r>
        <w:rPr>
          <w:b/>
          <w:sz w:val="21"/>
        </w:rPr>
        <w:t>Q. What does silent mean?</w:t>
      </w:r>
    </w:p>
    <w:p>
      <w:pPr>
        <w:spacing w:after="120"/>
      </w:pPr>
      <w:r>
        <w:rPr>
          <w:sz w:val="21"/>
        </w:rPr>
        <w:t>A day with no reported price. It may be a closed mandi or a missed upload; the portal does not distinguish. We treat weekdays silent on 90 percent or more of days as known closed days.</w:t>
      </w:r>
    </w:p>
    <w:p>
      <w:pPr>
        <w:spacing w:after="20"/>
      </w:pPr>
      <w:r>
        <w:rPr>
          <w:b/>
          <w:sz w:val="21"/>
        </w:rPr>
        <w:t>Q. Is your spillover engine broken?</w:t>
      </w:r>
    </w:p>
    <w:p>
      <w:pPr>
        <w:spacing w:after="120"/>
      </w:pPr>
      <w:r>
        <w:rPr>
          <w:sz w:val="21"/>
        </w:rPr>
        <w:t>It ran correctly and withheld. It found zero shock episodes because its episode detector relies on supply-regime labels that the real panel does not supply. That is listed as future work; the shock study defines shocks directly from arrivals and found suggestive same-crop effects.</w:t>
      </w:r>
    </w:p>
    <w:p>
      <w:pPr>
        <w:spacing w:after="20"/>
      </w:pPr>
      <w:r>
        <w:rPr>
          <w:b/>
          <w:sz w:val="21"/>
        </w:rPr>
        <w:t>Q. How do you avoid look-ahead leakage in your own work?</w:t>
      </w:r>
    </w:p>
    <w:p>
      <w:pPr>
        <w:spacing w:after="120"/>
      </w:pPr>
      <w:r>
        <w:rPr>
          <w:sz w:val="21"/>
        </w:rPr>
        <w:t>Features at index s use data up to s-1; targets are strictly future; a K+2-day gap separates every training window from its test block; unit tests perturb the future and require features to be unchanged; the floor releases an outcome only after its sale date.</w:t>
      </w:r>
    </w:p>
    <w:p>
      <w:pPr>
        <w:spacing w:after="20"/>
      </w:pPr>
      <w:r>
        <w:rPr>
          <w:b/>
          <w:sz w:val="21"/>
        </w:rPr>
        <w:t>Q. Who did what?</w:t>
      </w:r>
    </w:p>
    <w:p>
      <w:pPr>
        <w:spacing w:after="120"/>
      </w:pPr>
      <w:r>
        <w:rPr>
          <w:sz w:val="21"/>
        </w:rPr>
        <w:t>Manohara: data, engines, research, pipeline; Srijan: API, farmer and trader apps, language layer, insight features and digest in the agreed split; Shreejith: literature survey, requirements, test plan, report and appendices. The repository's contribution record is in the report; it shows the commit history as it is.</w:t>
      </w:r>
    </w:p>
    <w:p>
      <w:pPr>
        <w:spacing w:after="20"/>
      </w:pPr>
      <w:r>
        <w:rPr>
          <w:b/>
          <w:sz w:val="21"/>
        </w:rPr>
        <w:t>Q. How much did it cost?</w:t>
      </w:r>
    </w:p>
    <w:p>
      <w:pPr>
        <w:spacing w:after="120"/>
      </w:pPr>
      <w:r>
        <w:rPr>
          <w:sz w:val="21"/>
        </w:rPr>
        <w:t>Cash spent zero: open-source tools, public data, free tiers; notional labour at Rs 200 per hour for 970 hours is Rs 1,94,000.</w:t>
      </w:r>
    </w:p>
    <w:p>
      <w:pPr>
        <w:spacing w:after="20"/>
      </w:pPr>
      <w:r>
        <w:rPr>
          <w:b/>
          <w:sz w:val="21"/>
        </w:rPr>
        <w:t>Q. What would you do with more time?</w:t>
      </w:r>
    </w:p>
    <w:p>
      <w:pPr>
        <w:spacing w:after="120"/>
      </w:pPr>
      <w:r>
        <w:rPr>
          <w:sz w:val="21"/>
        </w:rPr>
        <w:t>A field pilot through the bot with an outcome form, fix the spillover labelling, estimate the cost parameters from data, and verify the deployment.</w:t>
      </w:r>
    </w:p>
    <w:p>
      <w:pPr>
        <w:pStyle w:val="Heading1"/>
      </w:pPr>
      <w:r>
        <w:t>Three sentences to keep in your head</w:t>
      </w:r>
    </w:p>
    <w:p>
      <w:pPr>
        <w:pStyle w:val="ListNumber"/>
        <w:spacing w:after="80"/>
      </w:pPr>
      <w:r>
        <w:rPr>
          <w:sz w:val="21"/>
        </w:rPr>
        <w:t>We train on what the farmer actually keeps, and that, not a fancier loss, is what improves decisions in all four crops.</w:t>
      </w:r>
    </w:p>
    <w:p>
      <w:pPr>
        <w:pStyle w:val="ListNumber"/>
        <w:spacing w:after="80"/>
      </w:pPr>
      <w:r>
        <w:rPr>
          <w:sz w:val="21"/>
        </w:rPr>
        <w:t>We publish a claim only when the evidence supports it, which is why the council, the shocks and the spillover are reported as not served.</w:t>
      </w:r>
    </w:p>
    <w:p>
      <w:pPr>
        <w:pStyle w:val="ListNumber"/>
        <w:spacing w:after="80"/>
      </w:pPr>
      <w:r>
        <w:rPr>
          <w:sz w:val="21"/>
        </w:rPr>
        <w:t>We show the farmer the real score, including the 84 percent floor and the crowd scenario's stated assumption, because trust comes from what you admit.</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