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Datastraw Assessment — Written Responses</w:t>
      </w:r>
    </w:p>
    <w:p>
      <w:pPr>
        <w:spacing w:after="220"/>
      </w:pPr>
      <w:r>
        <w:rPr>
          <w:i/>
          <w:iCs/>
          <w:color w:val="5F5E5A"/>
          <w:sz w:val="21"/>
          <w:szCs w:val="21"/>
        </w:rPr>
        <w:t xml:space="preserve">Parts 3 &amp; 4 — Manish Kumar Chellapandi</w:t>
      </w:r>
    </w:p>
    <w:p>
      <w:pPr>
        <w:pStyle w:val="Heading1"/>
        <w:spacing w:after="120" w:before="220"/>
      </w:pPr>
      <w:r>
        <w:t xml:space="preserve">Part 3 — Technical Problem Solving</w:t>
      </w:r>
    </w:p>
    <w:p>
      <w:pPr>
        <w:pStyle w:val="Heading2"/>
        <w:spacing w:after="90" w:before="180"/>
      </w:pPr>
      <w:r>
        <w:t xml:space="preserve">Scenario 1: AI costs (₹20k/month → ₹1 lakh/month, conversations up ~40%)</w:t>
      </w:r>
    </w:p>
    <w:p>
      <w:pPr>
        <w:spacing w:after="130"/>
      </w:pPr>
      <w:r>
        <w:rPr>
          <w:sz w:val="21"/>
          <w:szCs w:val="21"/>
        </w:rPr>
        <w:t xml:space="preserve">A 5x cost increase against a 1.4x usage increase means the cost per conversation has gone up roughly 3.5x. That ratio is the whole investigation — something changed in how each conversation is being served, not just how many there are. I'd investigate in this order, cheapest checks first:</w:t>
      </w:r>
    </w:p>
    <w:p>
      <w:pPr>
        <w:pStyle w:val="ListParagraph"/>
        <w:numPr>
          <w:ilvl w:val="0"/>
          <w:numId w:val="2"/>
        </w:numPr>
        <w:spacing w:after="90"/>
      </w:pPr>
      <w:r>
        <w:rPr>
          <w:b/>
          <w:bCs/>
          <w:sz w:val="21"/>
          <w:szCs w:val="21"/>
        </w:rPr>
        <w:t xml:space="preserve">1. Token usage and prompt size — </w:t>
      </w:r>
      <w:r>
        <w:rPr>
          <w:sz w:val="21"/>
          <w:szCs w:val="21"/>
        </w:rPr>
        <w:t xml:space="preserve">pull average input/output tokens per request, per week, for the last three months, split by brand if possible. The two most common causes at this stage: conversation history is being included in full and unbounded (a 40-turn conversation costs far more per “Generate Reply” click than a 3-turn one, with nothing capping how much history gets sent), or the knowledge base has grown and retrieval isn't actually filtering — the prompt is getting the whole KB instead of the top few relevant chunks. Both are silent: nothing errors, the app just gets slowly more expensive per call.</w:t>
      </w:r>
    </w:p>
    <w:p>
      <w:pPr>
        <w:pStyle w:val="ListParagraph"/>
        <w:numPr>
          <w:ilvl w:val="0"/>
          <w:numId w:val="2"/>
        </w:numPr>
        <w:spacing w:after="90"/>
      </w:pPr>
      <w:r>
        <w:rPr>
          <w:b/>
          <w:bCs/>
          <w:sz w:val="21"/>
          <w:szCs w:val="21"/>
        </w:rPr>
        <w:t xml:space="preserve">2. Unnecessary AI calls — </w:t>
      </w:r>
      <w:r>
        <w:rPr>
          <w:sz w:val="21"/>
          <w:szCs w:val="21"/>
        </w:rPr>
        <w:t xml:space="preserve">check the ratio of “Generate Reply” clicks to actual approved sends. If agents are hitting Regenerate 3-4 times per conversation because the first draft is often wrong, that's the same underlying problem (bad retrieval/grounding) showing up as a cost problem instead of a quality problem — the fix is upstream, not “make the model cheaper.” Also check for retries-on-failure that aren't capped, or a frontend bug causing double-firing (e.g. a button that isn't disabled while a request is in flight).</w:t>
      </w:r>
    </w:p>
    <w:p>
      <w:pPr>
        <w:pStyle w:val="ListParagraph"/>
        <w:numPr>
          <w:ilvl w:val="0"/>
          <w:numId w:val="2"/>
        </w:numPr>
        <w:spacing w:after="90"/>
      </w:pPr>
      <w:r>
        <w:rPr>
          <w:b/>
          <w:bCs/>
          <w:sz w:val="21"/>
          <w:szCs w:val="21"/>
        </w:rPr>
        <w:t xml:space="preserve">3. Model selection — </w:t>
      </w:r>
      <w:r>
        <w:rPr>
          <w:sz w:val="21"/>
          <w:szCs w:val="21"/>
        </w:rPr>
        <w:t xml:space="preserve">check what model is actually being called in production versus what was tested. Growth from 20 to roughly 28 brands over three months is a plausible moment for someone to have bumped a default model tier for quality reasons, or for a testing/eval script to have been left calling a larger model in a loop. This is the fastest thing to check and rule out first, before assuming the problem is architectural.</w:t>
      </w:r>
    </w:p>
    <w:p>
      <w:pPr>
        <w:pStyle w:val="ListParagraph"/>
        <w:numPr>
          <w:ilvl w:val="0"/>
          <w:numId w:val="2"/>
        </w:numPr>
        <w:spacing w:after="90"/>
      </w:pPr>
      <w:r>
        <w:rPr>
          <w:b/>
          <w:bCs/>
          <w:sz w:val="21"/>
          <w:szCs w:val="21"/>
        </w:rPr>
        <w:t xml:space="preserve">4. Caching — </w:t>
      </w:r>
      <w:r>
        <w:rPr>
          <w:sz w:val="21"/>
          <w:szCs w:val="21"/>
        </w:rPr>
        <w:t xml:space="preserve">are repeated or near-identical requests (same customer re-asking, or a KB lookup for the same policy question) hitting the LLM fresh every time? Caching retrieval results, and where safe, common Q&amp;A patterns, can cut real spend without touching quality.</w:t>
      </w:r>
    </w:p>
    <w:p>
      <w:pPr>
        <w:pStyle w:val="ListParagraph"/>
        <w:numPr>
          <w:ilvl w:val="0"/>
          <w:numId w:val="2"/>
        </w:numPr>
        <w:spacing w:after="90"/>
      </w:pPr>
      <w:r>
        <w:rPr>
          <w:b/>
          <w:bCs/>
          <w:sz w:val="21"/>
          <w:szCs w:val="21"/>
        </w:rPr>
        <w:t xml:space="preserve">5. Rate limits and monitoring — </w:t>
      </w:r>
      <w:r>
        <w:rPr>
          <w:sz w:val="21"/>
          <w:szCs w:val="21"/>
        </w:rPr>
        <w:t xml:space="preserve">is there per-brand usage monitoring at all right now? If costs only surfaced as a lagging monthly bill rather than a live dashboard, that's the actual root cause of why this took three months to notice — not why it happened. I'd treat “we found out from the invoice” as its own finding.</w:t>
      </w:r>
    </w:p>
    <w:p>
      <w:pPr>
        <w:spacing w:after="130"/>
      </w:pPr>
      <w:r>
        <w:rPr>
          <w:sz w:val="21"/>
          <w:szCs w:val="21"/>
        </w:rPr>
        <w:t xml:space="preserve">What I'd change, roughly in priority order:</w:t>
      </w:r>
    </w:p>
    <w:p>
      <w:pPr>
        <w:pStyle w:val="ListParagraph"/>
        <w:numPr>
          <w:ilvl w:val="0"/>
          <w:numId w:val="2"/>
        </w:numPr>
        <w:spacing w:after="90"/>
      </w:pPr>
      <w:r>
        <w:rPr>
          <w:sz w:val="21"/>
          <w:szCs w:val="21"/>
        </w:rPr>
        <w:t xml:space="preserve">Add per-brand, per-day token usage logging immediately — cheap, non-invasive, and the highest-leverage change: you can't fix what you can't see.</w:t>
      </w:r>
    </w:p>
    <w:p>
      <w:pPr>
        <w:pStyle w:val="ListParagraph"/>
        <w:numPr>
          <w:ilvl w:val="0"/>
          <w:numId w:val="2"/>
        </w:numPr>
        <w:spacing w:after="90"/>
      </w:pPr>
      <w:r>
        <w:rPr>
          <w:sz w:val="21"/>
          <w:szCs w:val="21"/>
        </w:rPr>
        <w:t xml:space="preserve">Cap conversation history sent to the model (e.g. last N turns plus a summary of earlier ones) rather than the full thread.</w:t>
      </w:r>
    </w:p>
    <w:p>
      <w:pPr>
        <w:pStyle w:val="ListParagraph"/>
        <w:numPr>
          <w:ilvl w:val="0"/>
          <w:numId w:val="2"/>
        </w:numPr>
        <w:spacing w:after="90"/>
      </w:pPr>
      <w:r>
        <w:rPr>
          <w:sz w:val="21"/>
          <w:szCs w:val="21"/>
        </w:rPr>
        <w:t xml:space="preserve">Tighten retrieval so only genuinely relevant KB chunks go into the prompt, not the whole document set.</w:t>
      </w:r>
    </w:p>
    <w:p>
      <w:pPr>
        <w:pStyle w:val="ListParagraph"/>
        <w:numPr>
          <w:ilvl w:val="0"/>
          <w:numId w:val="2"/>
        </w:numPr>
        <w:spacing w:after="90"/>
      </w:pPr>
      <w:r>
        <w:rPr>
          <w:sz w:val="21"/>
          <w:szCs w:val="21"/>
        </w:rPr>
        <w:t xml:space="preserve">Re-confirm the model in use matches intent, and consider a cheaper model for the common/simple case with escalation to a stronger model only for low-confidence or complex requests.</w:t>
      </w:r>
    </w:p>
    <w:p>
      <w:pPr>
        <w:pStyle w:val="ListParagraph"/>
        <w:numPr>
          <w:ilvl w:val="0"/>
          <w:numId w:val="2"/>
        </w:numPr>
        <w:spacing w:after="90"/>
      </w:pPr>
      <w:r>
        <w:rPr>
          <w:sz w:val="21"/>
          <w:szCs w:val="21"/>
        </w:rPr>
        <w:t xml:space="preserve">Add a soft per-brand rate limit / spend alert so a future spike is caught in days, not months.</w:t>
      </w:r>
    </w:p>
    <w:p>
      <w:pPr>
        <w:spacing w:after="130"/>
      </w:pPr>
      <w:r>
        <w:rPr>
          <w:sz w:val="21"/>
          <w:szCs w:val="21"/>
        </w:rPr>
        <w:t xml:space="preserve">There's no single answer here — the point of this exercise is the investigation order and the reasoning, not a specific root cause I can't actually observe from outside the system.</w:t>
      </w:r>
    </w:p>
    <w:p>
      <w:pPr>
        <w:pStyle w:val="Heading1"/>
        <w:spacing w:after="120" w:before="220"/>
      </w:pPr>
      <w:r>
        <w:t xml:space="preserve">Part 4 — Leadership &amp; Ownership</w:t>
      </w:r>
    </w:p>
    <w:p>
      <w:pPr>
        <w:pStyle w:val="Heading2"/>
        <w:spacing w:after="90" w:before="180"/>
      </w:pPr>
      <w:r>
        <w:t xml:space="preserve">1. Leadership</w:t>
      </w:r>
    </w:p>
    <w:p>
      <w:pPr>
        <w:spacing w:after="130"/>
      </w:pPr>
      <w:r>
        <w:rPr>
          <w:sz w:val="21"/>
          <w:szCs w:val="21"/>
        </w:rPr>
        <w:t xml:space="preserve">I haven't formally managed anyone — my roughly 3 years so far have been as an individual contributor (Junior Programmer at Proteus Technologies, then Associate Consultant at Allied Globetech). What I have done is take ownership of pieces of work end-to-end without someone senior directing every step: the Kong migration framework (automating APIGEE-to-Kong proxy conversion) and the authentication/RBAC workflow for a Flutter-based mobile app were both areas where I had to work out the approach myself and hand off something other people could build on.</w:t>
      </w:r>
    </w:p>
    <w:p>
      <w:pPr>
        <w:spacing w:after="130"/>
      </w:pPr>
      <w:r>
        <w:rPr>
          <w:sz w:val="21"/>
          <w:szCs w:val="21"/>
        </w:rPr>
        <w:t xml:space="preserve">I don't have a specific instance I can point to yet — the teams I've been on so far haven't put me in a position to onboard or mentor someone more junior. What I'd bring to it, based on how I've had to learn things myself (largely self-directed, across API gateways, auth systems, and full-stack side projects with no one senior to check my approach against), is patience with the “why,” not just the “how” — I'd rather someone understand why a fix works than just apply it, because that's what let me move from copying patterns to designing the Kong migration framework and the auth/RBAC workflows myself.</w:t>
      </w:r>
    </w:p>
    <w:p>
      <w:pPr>
        <w:pStyle w:val="Heading2"/>
        <w:spacing w:after="90" w:before="180"/>
      </w:pPr>
      <w:r>
        <w:t xml:space="preserve">2. Giving feedback</w:t>
      </w:r>
    </w:p>
    <w:p>
      <w:pPr>
        <w:spacing w:after="130"/>
      </w:pPr>
      <w:r>
        <w:rPr>
          <w:sz w:val="21"/>
          <w:szCs w:val="21"/>
        </w:rPr>
        <w:t xml:space="preserve">I'd go more concrete and more collaborative the second time, since “it works but it's poorly structured” clearly didn't land as actionable the first time. Rather than repeating the same general feedback, I'd pick one recent PR of theirs and go through it with them directly — not to relitigate that PR, but to make the pattern visible: “here's where this logic getting duplicated three times is going to bite us when it changes” is more useful than “please structure your code better.” I'd also ask what's driving it — sometimes messy-but-working code is a deadline problem, not a skill problem, and the fix is different depending on which it is. If it's a skill gap, I'd suggest we pair on their next piece of work rather than reviewing it after the fact, since catching structural issues while writing beats catching them in review. And I'd set a concrete, small expectation for the next PR rather than a vague “do better” — something specific enough that we can both tell whether it happened.</w:t>
      </w:r>
    </w:p>
    <w:p>
      <w:pPr>
        <w:pStyle w:val="Heading2"/>
        <w:spacing w:after="90" w:before="180"/>
      </w:pPr>
      <w:r>
        <w:t xml:space="preserve">3. Disagreement</w:t>
      </w:r>
    </w:p>
    <w:p>
      <w:pPr>
        <w:spacing w:after="130"/>
      </w:pPr>
      <w:r>
        <w:rPr>
          <w:sz w:val="21"/>
          <w:szCs w:val="21"/>
        </w:rPr>
        <w:t xml:space="preserve">I'd want to actually hear the disagreement out before defending the decision — on the projects I've worked on (the Kong migration framework, the auth/RBAC design), the person closest to the day-to-day implementation sometimes sees a constraint I didn't weigh properly. So first, understand specifically what they think is wrong and why: is it a real technical flaw, a different trade-off preference, or a missing piece of context on either side. If they're right, I'd say so plainly and change course — that costs nothing and builds trust for the next disagreement. If I still think the original decision is right after hearing them out, I'd explain the reasoning and the trade-off I made, and if we still don't agree, make the call and own it — but I'd rather that be a rare last resort than the default, and I'd check back in after the decision has played out to see if they were right and I was wrong.</w:t>
      </w:r>
    </w:p>
    <w:p>
      <w:pPr>
        <w:pStyle w:val="Heading2"/>
        <w:spacing w:after="90" w:before="180"/>
      </w:pPr>
      <w:r>
        <w:t xml:space="preserve">4. Mistake &amp; ownership</w:t>
      </w:r>
    </w:p>
    <w:p>
      <w:pPr>
        <w:spacing w:after="130"/>
      </w:pPr>
      <w:r>
        <w:rPr>
          <w:sz w:val="21"/>
          <w:szCs w:val="21"/>
        </w:rPr>
        <w:t xml:space="preserve">A recurring mistake I made early in the NESL/PFMS/VLP/CERSAI-CKYC integration work was assuming that an encryption implementation I wrote in Java (via Nimbus, on APIGEE) would produce byte-compatible output with partner systems, which were often written in PHP or .NET. Padding schemes, byte ordering, and key-derivation defaults differ subtly between language libraries even when both claim to implement the same standard, and I wasn't verifying that explicitly enough before treating an integration as done. The result was that encryption/decryption would work fine on our side and only fail once the partner tried to decrypt what we'd sent — so the mistake surfaced late, during their testing rather than mine, which cost both teams time and delayed the integration going live.</w:t>
      </w:r>
    </w:p>
    <w:p>
      <w:pPr>
        <w:spacing w:after="130"/>
      </w:pPr>
      <w:r>
        <w:rPr>
          <w:sz w:val="21"/>
          <w:szCs w:val="21"/>
        </w:rPr>
        <w:t xml:space="preserve">Once I recognized the pattern was recurring rather than a one-off, I changed how I approached these integrations rather than just fixing each failure as it came up: I started writing small cross-language test vectors upfront — encrypt a known payload in Java, hand the exact same payload and key to the partner's PHP/.NET side, and confirm decryption matches before building anything else on top of it. That caught mismatches early instead of after an integration was considered “complete.” It's the same principle behind this assessment's AI guardrails: don't assume compatibility or correctness across a boundary you don't control — verify it directly with a concrete, checkable fact.</w:t>
      </w:r>
    </w:p>
    <w:p>
      <w:pPr>
        <w:pStyle w:val="Heading2"/>
        <w:spacing w:after="90" w:before="180"/>
      </w:pPr>
      <w:r>
        <w:t xml:space="preserve">5. Joining Datastraw</w:t>
      </w:r>
    </w:p>
    <w:p>
      <w:pPr>
        <w:spacing w:after="130"/>
      </w:pPr>
      <w:r>
        <w:rPr>
          <w:sz w:val="21"/>
          <w:szCs w:val="21"/>
        </w:rPr>
        <w:t xml:space="preserve">Given messy processes and incomplete documentation, I wouldn't try to fix everything in the first 30 days — I'd spend the first chunk of time understanding how the system actually behaves in production versus how it's documented (or not documented), since those two things are rarely the same and the gap is usually where the real risk lives. Concretely:</w:t>
      </w:r>
    </w:p>
    <w:p>
      <w:pPr>
        <w:pStyle w:val="ListParagraph"/>
        <w:numPr>
          <w:ilvl w:val="0"/>
          <w:numId w:val="2"/>
        </w:numPr>
        <w:spacing w:after="90"/>
      </w:pPr>
      <w:r>
        <w:rPr>
          <w:b/>
          <w:bCs/>
          <w:sz w:val="21"/>
          <w:szCs w:val="21"/>
        </w:rPr>
        <w:t xml:space="preserve">Week 1 — </w:t>
      </w:r>
      <w:r>
        <w:rPr>
          <w:sz w:val="21"/>
          <w:szCs w:val="21"/>
        </w:rPr>
        <w:t xml:space="preserve">trace a few real conversations end-to-end through the existing CRM, automation, and integration stack, asking “what happens when X fails” rather than just “how does X work.” This is the same instinct behind the Part 1 build's guardrail design: understand the failure modes before trusting the happy path.</w:t>
      </w:r>
    </w:p>
    <w:p>
      <w:pPr>
        <w:pStyle w:val="ListParagraph"/>
        <w:numPr>
          <w:ilvl w:val="0"/>
          <w:numId w:val="2"/>
        </w:numPr>
        <w:spacing w:after="90"/>
      </w:pPr>
      <w:r>
        <w:rPr>
          <w:b/>
          <w:bCs/>
          <w:sz w:val="21"/>
          <w:szCs w:val="21"/>
        </w:rPr>
        <w:t xml:space="preserve">Week 2 — </w:t>
      </w:r>
      <w:r>
        <w:rPr>
          <w:sz w:val="21"/>
          <w:szCs w:val="21"/>
        </w:rPr>
        <w:t xml:space="preserve">talk to whoever's closest to the pain: the CX agents actually using the tools, and whoever gets paged when something breaks. Their mental model of “what's actually broken” is usually more accurate than what's written down.</w:t>
      </w:r>
    </w:p>
    <w:p>
      <w:pPr>
        <w:pStyle w:val="ListParagraph"/>
        <w:numPr>
          <w:ilvl w:val="0"/>
          <w:numId w:val="2"/>
        </w:numPr>
        <w:spacing w:after="90"/>
      </w:pPr>
      <w:r>
        <w:rPr>
          <w:b/>
          <w:bCs/>
          <w:sz w:val="21"/>
          <w:szCs w:val="21"/>
        </w:rPr>
        <w:t xml:space="preserve">Week 3 — </w:t>
      </w:r>
      <w:r>
        <w:rPr>
          <w:sz w:val="21"/>
          <w:szCs w:val="21"/>
        </w:rPr>
        <w:t xml:space="preserve">write down what I've learned in a form other people can use — not a full rewrite of documentation, but the specific gaps that are actively costing time or causing incidents, prioritized.</w:t>
      </w:r>
    </w:p>
    <w:p>
      <w:pPr>
        <w:pStyle w:val="ListParagraph"/>
        <w:numPr>
          <w:ilvl w:val="0"/>
          <w:numId w:val="2"/>
        </w:numPr>
        <w:spacing w:after="90"/>
      </w:pPr>
      <w:r>
        <w:rPr>
          <w:b/>
          <w:bCs/>
          <w:sz w:val="21"/>
          <w:szCs w:val="21"/>
        </w:rPr>
        <w:t xml:space="preserve">Week 4 — </w:t>
      </w:r>
      <w:r>
        <w:rPr>
          <w:sz w:val="21"/>
          <w:szCs w:val="21"/>
        </w:rPr>
        <w:t xml:space="preserve">pick one well-scoped improvement (not a rewrite) that's low-risk and clearly valuable, ship it, and use it to establish a working pattern with the team rather than showing up with a 90-day plan to overhaul everything.</w:t>
      </w:r>
    </w:p>
    <w:p>
      <w:pPr>
        <w:spacing w:after="130"/>
      </w:pPr>
      <w:r>
        <w:rPr>
          <w:sz w:val="21"/>
          <w:szCs w:val="21"/>
        </w:rPr>
        <w:t xml:space="preserve">The goal for the first 30 days is credibility and an accurate map, not visible heroics — the biggest risk in a messy environment is confidently fixing the wrong thing.</w:t>
      </w:r>
    </w:p>
    <w:p>
      <w:pPr>
        <w:pStyle w:val="Heading1"/>
        <w:spacing w:after="120" w:before="220"/>
      </w:pPr>
      <w:r>
        <w:t xml:space="preserve">AI Usage</w:t>
      </w:r>
    </w:p>
    <w:p>
      <w:pPr>
        <w:pStyle w:val="Heading2"/>
        <w:spacing w:after="90" w:before="180"/>
      </w:pPr>
      <w:r>
        <w:t xml:space="preserve">1. Which AI tools did you use?</w:t>
      </w:r>
    </w:p>
    <w:p>
      <w:pPr>
        <w:spacing w:after="130"/>
      </w:pPr>
      <w:r>
        <w:rPr>
          <w:sz w:val="21"/>
          <w:szCs w:val="21"/>
        </w:rPr>
        <w:t xml:space="preserve">Claude (Sonnet), used directly in a chat/agentic coding workflow for this assessment.</w:t>
      </w:r>
    </w:p>
    <w:p>
      <w:pPr>
        <w:pStyle w:val="Heading2"/>
        <w:spacing w:after="90" w:before="180"/>
      </w:pPr>
      <w:r>
        <w:t xml:space="preserve">2. How did you use them?</w:t>
      </w:r>
    </w:p>
    <w:p>
      <w:pPr>
        <w:pStyle w:val="ListParagraph"/>
        <w:numPr>
          <w:ilvl w:val="0"/>
          <w:numId w:val="2"/>
        </w:numPr>
        <w:spacing w:after="90"/>
      </w:pPr>
      <w:r>
        <w:rPr>
          <w:sz w:val="21"/>
          <w:szCs w:val="21"/>
        </w:rPr>
        <w:t xml:space="preserve">Built the Part 1 application end-to-end: schema design, retrieval/guardrail logic, the OpenRouter integration, and the React/Next.js UI — then ran it live against a real Neon database and OpenRouter key to verify the exact guardrail scenario from the brief (a refund request outside the policy window) actually gets declined rather than hallucinated.</w:t>
      </w:r>
    </w:p>
    <w:p>
      <w:pPr>
        <w:pStyle w:val="ListParagraph"/>
        <w:numPr>
          <w:ilvl w:val="0"/>
          <w:numId w:val="2"/>
        </w:numPr>
        <w:spacing w:after="90"/>
      </w:pPr>
      <w:r>
        <w:rPr>
          <w:sz w:val="21"/>
          <w:szCs w:val="21"/>
        </w:rPr>
        <w:t xml:space="preserve">Drew the Part 2 architecture diagram and used it to structure the written explanation, rather than writing the document first and illustrating it after.</w:t>
      </w:r>
    </w:p>
    <w:p>
      <w:pPr>
        <w:pStyle w:val="ListParagraph"/>
        <w:numPr>
          <w:ilvl w:val="0"/>
          <w:numId w:val="2"/>
        </w:numPr>
        <w:spacing w:after="90"/>
      </w:pPr>
      <w:r>
        <w:rPr>
          <w:sz w:val="21"/>
          <w:szCs w:val="21"/>
        </w:rPr>
        <w:t xml:space="preserve">Used it to structure and tighten the Part 3 and Part 4 written responses — but the technical judgment (what to investigate for the AI cost scenario, the RLS-based multi-tenant isolation approach) and the personal/leadership content are mine, not generated content I accepted uncritically.</w:t>
      </w:r>
    </w:p>
    <w:p>
      <w:pPr>
        <w:pStyle w:val="Heading2"/>
        <w:spacing w:after="90" w:before="180"/>
      </w:pPr>
      <w:r>
        <w:t xml:space="preserve">3. What did AI get wrong?</w:t>
      </w:r>
    </w:p>
    <w:p>
      <w:pPr>
        <w:spacing w:after="130"/>
      </w:pPr>
      <w:r>
        <w:rPr>
          <w:sz w:val="21"/>
          <w:szCs w:val="21"/>
        </w:rPr>
        <w:t xml:space="preserve">While building the Part 1 app, my first pass at the OpenRouter integration hardcoded the model slug anthropic/claude-3.5-haiku. When I tested it live against a real OpenRouter key, it failed with a 404 — that model route had been renamed/retired on OpenRouter's side, and the AI didn't know that from its own training. I had to query OpenRouter's models endpoint directly to find the current correct slug (anthropic/claude-haiku-4.5) and fix both the code default and the .env.example before generation actually worked. It's a small example, but it's the reason I insisted on testing the whole flow against real credentials rather than accepting that the code merely looked correct — an AI-written integration can be syntactically fine and still be wrong about a live external API's current state.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2026-08-27T10:13:25.947Z</dcterms:created>
  <dcterms:modified xsi:type="dcterms:W3CDTF">2026-08-27T10:13:25.962Z</dcterms:modified>
</cp:coreProperties>
</file>

<file path=docProps/custom.xml><?xml version="1.0" encoding="utf-8"?>
<Properties xmlns="http://schemas.openxmlformats.org/officeDocument/2006/custom-properties" xmlns:vt="http://schemas.openxmlformats.org/officeDocument/2006/docPropsVTypes"/>
</file>