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F8DE" w14:textId="77777777" w:rsidR="004D2BAB" w:rsidRPr="0075643E" w:rsidRDefault="004D2BAB" w:rsidP="0075643E">
      <w:pPr>
        <w:pStyle w:val="Ttulo2"/>
        <w:spacing w:before="0" w:after="0"/>
        <w:rPr>
          <w:color w:val="0A2F41" w:themeColor="accent1" w:themeShade="80"/>
        </w:rPr>
      </w:pPr>
      <w:r w:rsidRPr="0075643E">
        <w:rPr>
          <w:color w:val="0A2F41" w:themeColor="accent1" w:themeShade="80"/>
        </w:rPr>
        <w:t>Ejercicio 3.1 – Plan de emergencia, autoprotección y señalización</w:t>
      </w:r>
    </w:p>
    <w:p w14:paraId="5370E02F" w14:textId="77777777" w:rsidR="0075643E" w:rsidRPr="0075643E" w:rsidRDefault="0075643E" w:rsidP="0075643E">
      <w:pPr>
        <w:spacing w:after="0"/>
      </w:pPr>
    </w:p>
    <w:p w14:paraId="4D8F1704" w14:textId="77777777" w:rsidR="004D2BAB" w:rsidRDefault="004D2BAB" w:rsidP="0075643E">
      <w:pPr>
        <w:pStyle w:val="Ttulo3"/>
        <w:spacing w:before="0" w:after="0"/>
      </w:pPr>
      <w:r w:rsidRPr="0075643E">
        <w:t>Parte 1 – Evaluación de riesgos</w:t>
      </w:r>
    </w:p>
    <w:p w14:paraId="2EE63872" w14:textId="77777777" w:rsidR="0075643E" w:rsidRPr="0075643E" w:rsidRDefault="0075643E" w:rsidP="0075643E">
      <w:pPr>
        <w:spacing w:after="0"/>
      </w:pPr>
    </w:p>
    <w:tbl>
      <w:tblPr>
        <w:tblStyle w:val="Tablaconcuadrcula"/>
        <w:tblW w:w="0" w:type="auto"/>
        <w:tblInd w:w="400" w:type="dxa"/>
        <w:tblLook w:val="04A0" w:firstRow="1" w:lastRow="0" w:firstColumn="1" w:lastColumn="0" w:noHBand="0" w:noVBand="1"/>
      </w:tblPr>
      <w:tblGrid>
        <w:gridCol w:w="2740"/>
        <w:gridCol w:w="1382"/>
        <w:gridCol w:w="1123"/>
        <w:gridCol w:w="4740"/>
      </w:tblGrid>
      <w:tr w:rsidR="004D2BAB" w:rsidRPr="0075643E" w14:paraId="24D5D09A" w14:textId="77777777" w:rsidTr="0075643E">
        <w:trPr>
          <w:trHeight w:val="300"/>
        </w:trPr>
        <w:tc>
          <w:tcPr>
            <w:tcW w:w="2740" w:type="dxa"/>
            <w:hideMark/>
          </w:tcPr>
          <w:p w14:paraId="72F87F2C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Tipo de riesgo</w:t>
            </w:r>
          </w:p>
        </w:tc>
        <w:tc>
          <w:tcPr>
            <w:tcW w:w="1382" w:type="dxa"/>
            <w:hideMark/>
          </w:tcPr>
          <w:p w14:paraId="4233A4B5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Probabilidad</w:t>
            </w:r>
          </w:p>
        </w:tc>
        <w:tc>
          <w:tcPr>
            <w:tcW w:w="1123" w:type="dxa"/>
            <w:hideMark/>
          </w:tcPr>
          <w:p w14:paraId="524298FB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Severidad</w:t>
            </w:r>
          </w:p>
        </w:tc>
        <w:tc>
          <w:tcPr>
            <w:tcW w:w="4740" w:type="dxa"/>
            <w:hideMark/>
          </w:tcPr>
          <w:p w14:paraId="5FF3BE3B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Medidas preventivas</w:t>
            </w:r>
          </w:p>
        </w:tc>
      </w:tr>
      <w:tr w:rsidR="004D2BAB" w:rsidRPr="0075643E" w14:paraId="58665F2F" w14:textId="77777777" w:rsidTr="0075643E">
        <w:trPr>
          <w:trHeight w:val="300"/>
        </w:trPr>
        <w:tc>
          <w:tcPr>
            <w:tcW w:w="2740" w:type="dxa"/>
            <w:hideMark/>
          </w:tcPr>
          <w:p w14:paraId="39B05E64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Incendio en taller eléctrico</w:t>
            </w:r>
          </w:p>
        </w:tc>
        <w:tc>
          <w:tcPr>
            <w:tcW w:w="1382" w:type="dxa"/>
            <w:hideMark/>
          </w:tcPr>
          <w:p w14:paraId="3E21EFE1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Media</w:t>
            </w:r>
          </w:p>
        </w:tc>
        <w:tc>
          <w:tcPr>
            <w:tcW w:w="1123" w:type="dxa"/>
            <w:hideMark/>
          </w:tcPr>
          <w:p w14:paraId="36FC6481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Muy grave</w:t>
            </w:r>
          </w:p>
        </w:tc>
        <w:tc>
          <w:tcPr>
            <w:tcW w:w="4740" w:type="dxa"/>
            <w:hideMark/>
          </w:tcPr>
          <w:p w14:paraId="0BA87392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Revisar cableado, extintores CO2, formación</w:t>
            </w:r>
          </w:p>
        </w:tc>
      </w:tr>
      <w:tr w:rsidR="004D2BAB" w:rsidRPr="0075643E" w14:paraId="729E6C9F" w14:textId="77777777" w:rsidTr="0075643E">
        <w:trPr>
          <w:trHeight w:val="300"/>
        </w:trPr>
        <w:tc>
          <w:tcPr>
            <w:tcW w:w="2740" w:type="dxa"/>
            <w:hideMark/>
          </w:tcPr>
          <w:p w14:paraId="6A5E8249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Derrame químico</w:t>
            </w:r>
          </w:p>
        </w:tc>
        <w:tc>
          <w:tcPr>
            <w:tcW w:w="1382" w:type="dxa"/>
            <w:hideMark/>
          </w:tcPr>
          <w:p w14:paraId="46B92028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Baja</w:t>
            </w:r>
          </w:p>
        </w:tc>
        <w:tc>
          <w:tcPr>
            <w:tcW w:w="1123" w:type="dxa"/>
            <w:hideMark/>
          </w:tcPr>
          <w:p w14:paraId="47137F1D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Grave</w:t>
            </w:r>
          </w:p>
        </w:tc>
        <w:tc>
          <w:tcPr>
            <w:tcW w:w="4740" w:type="dxa"/>
            <w:hideMark/>
          </w:tcPr>
          <w:p w14:paraId="52005A8B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Almacenamiento seguro, EPI, ventilación</w:t>
            </w:r>
          </w:p>
        </w:tc>
      </w:tr>
      <w:tr w:rsidR="004D2BAB" w:rsidRPr="0075643E" w14:paraId="014F896E" w14:textId="77777777" w:rsidTr="0075643E">
        <w:trPr>
          <w:trHeight w:val="300"/>
        </w:trPr>
        <w:tc>
          <w:tcPr>
            <w:tcW w:w="2740" w:type="dxa"/>
            <w:hideMark/>
          </w:tcPr>
          <w:p w14:paraId="42B9FFB4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Accidente eléctrico</w:t>
            </w:r>
          </w:p>
        </w:tc>
        <w:tc>
          <w:tcPr>
            <w:tcW w:w="1382" w:type="dxa"/>
            <w:hideMark/>
          </w:tcPr>
          <w:p w14:paraId="7493849D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Media</w:t>
            </w:r>
          </w:p>
        </w:tc>
        <w:tc>
          <w:tcPr>
            <w:tcW w:w="1123" w:type="dxa"/>
            <w:hideMark/>
          </w:tcPr>
          <w:p w14:paraId="5A536E46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Grave</w:t>
            </w:r>
          </w:p>
        </w:tc>
        <w:tc>
          <w:tcPr>
            <w:tcW w:w="4740" w:type="dxa"/>
            <w:hideMark/>
          </w:tcPr>
          <w:p w14:paraId="4DBA5B5B" w14:textId="77777777" w:rsidR="004D2BAB" w:rsidRPr="0075643E" w:rsidRDefault="004D2BAB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Mantenimiento, señalización, equipos aislados</w:t>
            </w:r>
          </w:p>
        </w:tc>
      </w:tr>
    </w:tbl>
    <w:p w14:paraId="5E96C15A" w14:textId="77777777" w:rsidR="004D2BAB" w:rsidRPr="0075643E" w:rsidRDefault="004D2BAB" w:rsidP="0075643E">
      <w:pPr>
        <w:spacing w:after="0"/>
        <w:rPr>
          <w:rFonts w:ascii="Calibri" w:hAnsi="Calibri" w:cs="Calibri"/>
        </w:rPr>
      </w:pPr>
    </w:p>
    <w:p w14:paraId="7ABF11DF" w14:textId="77777777" w:rsidR="004D2BAB" w:rsidRDefault="004D2BAB" w:rsidP="0075643E">
      <w:pPr>
        <w:pStyle w:val="Ttulo3"/>
        <w:spacing w:before="0" w:after="0"/>
      </w:pPr>
      <w:r w:rsidRPr="0075643E">
        <w:t>Parte 2 – Medios de protección</w:t>
      </w:r>
    </w:p>
    <w:p w14:paraId="564E5018" w14:textId="77777777" w:rsidR="0075643E" w:rsidRPr="0075643E" w:rsidRDefault="0075643E" w:rsidP="0075643E">
      <w:pPr>
        <w:spacing w:after="0"/>
      </w:pPr>
    </w:p>
    <w:p w14:paraId="7A2641E2" w14:textId="631B8D21" w:rsidR="00C077B2" w:rsidRPr="0075643E" w:rsidRDefault="00C077B2" w:rsidP="007564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5643E">
        <w:rPr>
          <w:rStyle w:val="citation-104"/>
          <w:rFonts w:ascii="Calibri" w:eastAsiaTheme="majorEastAsia" w:hAnsi="Calibri" w:cs="Calibri"/>
          <w:b/>
          <w:bCs/>
          <w:sz w:val="22"/>
          <w:szCs w:val="22"/>
        </w:rPr>
        <w:t>Extintores de CO2 (Riesgo eléctrico):</w:t>
      </w:r>
      <w:r w:rsidRPr="0075643E">
        <w:rPr>
          <w:rStyle w:val="citation-104"/>
          <w:rFonts w:ascii="Calibri" w:eastAsiaTheme="majorEastAsia" w:hAnsi="Calibri" w:cs="Calibri"/>
          <w:sz w:val="22"/>
          <w:szCs w:val="22"/>
        </w:rPr>
        <w:t xml:space="preserve"> Colocados en el </w:t>
      </w:r>
      <w:r w:rsidRPr="0075643E">
        <w:rPr>
          <w:rStyle w:val="citation-104"/>
          <w:rFonts w:ascii="Calibri" w:eastAsiaTheme="majorEastAsia" w:hAnsi="Calibri" w:cs="Calibri"/>
          <w:i/>
          <w:iCs/>
          <w:sz w:val="22"/>
          <w:szCs w:val="22"/>
        </w:rPr>
        <w:t xml:space="preserve">Taller </w:t>
      </w:r>
      <w:r w:rsidR="0075643E" w:rsidRPr="0075643E">
        <w:rPr>
          <w:rStyle w:val="citation-104"/>
          <w:rFonts w:ascii="Calibri" w:eastAsiaTheme="majorEastAsia" w:hAnsi="Calibri" w:cs="Calibri"/>
          <w:i/>
          <w:iCs/>
          <w:sz w:val="22"/>
          <w:szCs w:val="22"/>
        </w:rPr>
        <w:t>eléctrico</w:t>
      </w:r>
      <w:r w:rsidR="0075643E" w:rsidRPr="0075643E">
        <w:rPr>
          <w:rStyle w:val="citation-104"/>
          <w:rFonts w:ascii="Calibri" w:eastAsiaTheme="majorEastAsia" w:hAnsi="Calibri" w:cs="Calibri"/>
          <w:sz w:val="22"/>
          <w:szCs w:val="22"/>
        </w:rPr>
        <w:t>,</w:t>
      </w:r>
      <w:r w:rsidRPr="0075643E">
        <w:rPr>
          <w:rStyle w:val="citation-103"/>
          <w:rFonts w:ascii="Calibri" w:eastAsiaTheme="majorEastAsia" w:hAnsi="Calibri" w:cs="Calibri"/>
          <w:sz w:val="22"/>
          <w:szCs w:val="22"/>
        </w:rPr>
        <w:t xml:space="preserve"> </w:t>
      </w:r>
      <w:r w:rsidRPr="0075643E">
        <w:rPr>
          <w:rStyle w:val="citation-103"/>
          <w:rFonts w:ascii="Calibri" w:eastAsiaTheme="majorEastAsia" w:hAnsi="Calibri" w:cs="Calibri"/>
          <w:i/>
          <w:iCs/>
          <w:sz w:val="22"/>
          <w:szCs w:val="22"/>
        </w:rPr>
        <w:t>Sala de compresores</w:t>
      </w:r>
      <w:r w:rsidRPr="0075643E">
        <w:rPr>
          <w:rStyle w:val="citation-103"/>
          <w:rFonts w:ascii="Calibri" w:eastAsiaTheme="majorEastAsia" w:hAnsi="Calibri" w:cs="Calibri"/>
          <w:sz w:val="22"/>
          <w:szCs w:val="22"/>
        </w:rPr>
        <w:t xml:space="preserve"> </w:t>
      </w:r>
      <w:r w:rsidRPr="0075643E">
        <w:rPr>
          <w:rStyle w:val="citation-102"/>
          <w:rFonts w:ascii="Calibri" w:eastAsiaTheme="majorEastAsia" w:hAnsi="Calibri" w:cs="Calibri"/>
          <w:sz w:val="22"/>
          <w:szCs w:val="22"/>
        </w:rPr>
        <w:t xml:space="preserve">y </w:t>
      </w:r>
      <w:r w:rsidRPr="0075643E">
        <w:rPr>
          <w:rStyle w:val="citation-102"/>
          <w:rFonts w:ascii="Calibri" w:eastAsiaTheme="majorEastAsia" w:hAnsi="Calibri" w:cs="Calibri"/>
          <w:i/>
          <w:iCs/>
          <w:sz w:val="22"/>
          <w:szCs w:val="22"/>
        </w:rPr>
        <w:t>Despacho de dirección</w:t>
      </w:r>
      <w:r w:rsidRPr="0075643E">
        <w:rPr>
          <w:rStyle w:val="citation-102"/>
          <w:rFonts w:ascii="Calibri" w:eastAsiaTheme="majorEastAsia" w:hAnsi="Calibri" w:cs="Calibri"/>
          <w:sz w:val="22"/>
          <w:szCs w:val="22"/>
        </w:rPr>
        <w:t xml:space="preserve"> (por equipos informáticos)</w:t>
      </w:r>
      <w:r w:rsidRPr="0075643E">
        <w:rPr>
          <w:rFonts w:ascii="Calibri" w:hAnsi="Calibri" w:cs="Calibri"/>
          <w:sz w:val="22"/>
          <w:szCs w:val="22"/>
        </w:rPr>
        <w:t>.</w:t>
      </w:r>
    </w:p>
    <w:p w14:paraId="28BA6C05" w14:textId="77777777" w:rsidR="00C077B2" w:rsidRPr="0075643E" w:rsidRDefault="00C077B2" w:rsidP="007564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5643E">
        <w:rPr>
          <w:rStyle w:val="citation-101"/>
          <w:rFonts w:ascii="Calibri" w:eastAsiaTheme="majorEastAsia" w:hAnsi="Calibri" w:cs="Calibri"/>
          <w:b/>
          <w:bCs/>
          <w:sz w:val="22"/>
          <w:szCs w:val="22"/>
        </w:rPr>
        <w:t>Extintores de Polvo ABC (Fuego general):</w:t>
      </w:r>
      <w:r w:rsidRPr="0075643E">
        <w:rPr>
          <w:rStyle w:val="citation-101"/>
          <w:rFonts w:ascii="Calibri" w:eastAsiaTheme="majorEastAsia" w:hAnsi="Calibri" w:cs="Calibri"/>
          <w:sz w:val="22"/>
          <w:szCs w:val="22"/>
        </w:rPr>
        <w:t xml:space="preserve"> En los pasillos centrales de ambas plantas, </w:t>
      </w:r>
      <w:r w:rsidRPr="0075643E">
        <w:rPr>
          <w:rStyle w:val="citation-101"/>
          <w:rFonts w:ascii="Calibri" w:eastAsiaTheme="majorEastAsia" w:hAnsi="Calibri" w:cs="Calibri"/>
          <w:i/>
          <w:iCs/>
          <w:sz w:val="22"/>
          <w:szCs w:val="22"/>
        </w:rPr>
        <w:t>Muelle de carga</w:t>
      </w:r>
      <w:r w:rsidRPr="0075643E">
        <w:rPr>
          <w:rStyle w:val="citation-101"/>
          <w:rFonts w:ascii="Calibri" w:eastAsiaTheme="majorEastAsia" w:hAnsi="Calibri" w:cs="Calibri"/>
          <w:sz w:val="22"/>
          <w:szCs w:val="22"/>
        </w:rPr>
        <w:t xml:space="preserve"> </w:t>
      </w:r>
      <w:r w:rsidRPr="0075643E">
        <w:rPr>
          <w:rStyle w:val="citation-100"/>
          <w:rFonts w:ascii="Calibri" w:eastAsiaTheme="majorEastAsia" w:hAnsi="Calibri" w:cs="Calibri"/>
          <w:sz w:val="22"/>
          <w:szCs w:val="22"/>
        </w:rPr>
        <w:t xml:space="preserve">y </w:t>
      </w:r>
      <w:r w:rsidRPr="0075643E">
        <w:rPr>
          <w:rStyle w:val="citation-100"/>
          <w:rFonts w:ascii="Calibri" w:eastAsiaTheme="majorEastAsia" w:hAnsi="Calibri" w:cs="Calibri"/>
          <w:i/>
          <w:iCs/>
          <w:sz w:val="22"/>
          <w:szCs w:val="22"/>
        </w:rPr>
        <w:t>Archivo</w:t>
      </w:r>
      <w:r w:rsidRPr="0075643E">
        <w:rPr>
          <w:rFonts w:ascii="Calibri" w:hAnsi="Calibri" w:cs="Calibri"/>
          <w:sz w:val="22"/>
          <w:szCs w:val="22"/>
        </w:rPr>
        <w:t>.</w:t>
      </w:r>
    </w:p>
    <w:p w14:paraId="12CECB78" w14:textId="77777777" w:rsidR="00C077B2" w:rsidRPr="0075643E" w:rsidRDefault="00C077B2" w:rsidP="007564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5643E">
        <w:rPr>
          <w:rStyle w:val="citation-99"/>
          <w:rFonts w:ascii="Calibri" w:eastAsiaTheme="majorEastAsia" w:hAnsi="Calibri" w:cs="Calibri"/>
          <w:b/>
          <w:bCs/>
          <w:sz w:val="22"/>
          <w:szCs w:val="22"/>
        </w:rPr>
        <w:t>Ducha de seguridad y lavaojos:</w:t>
      </w:r>
      <w:r w:rsidRPr="0075643E">
        <w:rPr>
          <w:rStyle w:val="citation-99"/>
          <w:rFonts w:ascii="Calibri" w:eastAsiaTheme="majorEastAsia" w:hAnsi="Calibri" w:cs="Calibri"/>
          <w:sz w:val="22"/>
          <w:szCs w:val="22"/>
        </w:rPr>
        <w:t xml:space="preserve"> Indispensable instalarla dentro o justo a la salida de los </w:t>
      </w:r>
      <w:r w:rsidRPr="0075643E">
        <w:rPr>
          <w:rStyle w:val="citation-99"/>
          <w:rFonts w:ascii="Calibri" w:eastAsiaTheme="majorEastAsia" w:hAnsi="Calibri" w:cs="Calibri"/>
          <w:i/>
          <w:iCs/>
          <w:sz w:val="22"/>
          <w:szCs w:val="22"/>
        </w:rPr>
        <w:t>Laboratorios A y B</w:t>
      </w:r>
      <w:r w:rsidRPr="0075643E">
        <w:rPr>
          <w:rStyle w:val="citation-99"/>
          <w:rFonts w:ascii="Calibri" w:eastAsiaTheme="majorEastAsia" w:hAnsi="Calibri" w:cs="Calibri"/>
          <w:sz w:val="22"/>
          <w:szCs w:val="22"/>
        </w:rPr>
        <w:t xml:space="preserve"> </w:t>
      </w:r>
      <w:r w:rsidRPr="0075643E">
        <w:rPr>
          <w:rStyle w:val="citation-98"/>
          <w:rFonts w:ascii="Calibri" w:eastAsiaTheme="majorEastAsia" w:hAnsi="Calibri" w:cs="Calibri"/>
          <w:sz w:val="22"/>
          <w:szCs w:val="22"/>
        </w:rPr>
        <w:t xml:space="preserve">y el </w:t>
      </w:r>
      <w:r w:rsidRPr="0075643E">
        <w:rPr>
          <w:rStyle w:val="citation-98"/>
          <w:rFonts w:ascii="Calibri" w:eastAsiaTheme="majorEastAsia" w:hAnsi="Calibri" w:cs="Calibri"/>
          <w:i/>
          <w:iCs/>
          <w:sz w:val="22"/>
          <w:szCs w:val="22"/>
        </w:rPr>
        <w:t>Almacén de Químicos</w:t>
      </w:r>
      <w:r w:rsidRPr="0075643E">
        <w:rPr>
          <w:rStyle w:val="citation-98"/>
          <w:rFonts w:ascii="Calibri" w:eastAsiaTheme="majorEastAsia" w:hAnsi="Calibri" w:cs="Calibri"/>
          <w:sz w:val="22"/>
          <w:szCs w:val="22"/>
        </w:rPr>
        <w:t xml:space="preserve"> </w:t>
      </w:r>
      <w:r w:rsidRPr="0075643E">
        <w:rPr>
          <w:rFonts w:ascii="Calibri" w:hAnsi="Calibri" w:cs="Calibri"/>
          <w:sz w:val="22"/>
          <w:szCs w:val="22"/>
        </w:rPr>
        <w:t>por riesgo de salpicaduras.</w:t>
      </w:r>
    </w:p>
    <w:p w14:paraId="6326E66F" w14:textId="38EA10F0" w:rsidR="00C077B2" w:rsidRDefault="00C077B2" w:rsidP="0075643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5643E">
        <w:rPr>
          <w:rStyle w:val="citation-97"/>
          <w:rFonts w:ascii="Calibri" w:hAnsi="Calibri" w:cs="Calibri"/>
          <w:b/>
          <w:bCs/>
          <w:sz w:val="22"/>
          <w:szCs w:val="22"/>
        </w:rPr>
        <w:t>Botiquín:</w:t>
      </w:r>
      <w:r w:rsidRPr="0075643E">
        <w:rPr>
          <w:rStyle w:val="citation-97"/>
          <w:rFonts w:ascii="Calibri" w:hAnsi="Calibri" w:cs="Calibri"/>
          <w:sz w:val="22"/>
          <w:szCs w:val="22"/>
        </w:rPr>
        <w:t xml:space="preserve"> Reforzar el que ya existe marcado con una cruz verde cerca de la </w:t>
      </w:r>
      <w:r w:rsidRPr="0075643E">
        <w:rPr>
          <w:rStyle w:val="citation-97"/>
          <w:rFonts w:ascii="Calibri" w:hAnsi="Calibri" w:cs="Calibri"/>
          <w:i/>
          <w:iCs/>
          <w:sz w:val="22"/>
          <w:szCs w:val="22"/>
        </w:rPr>
        <w:t>Sala de compresores</w:t>
      </w:r>
      <w:r w:rsidRPr="0075643E">
        <w:rPr>
          <w:rStyle w:val="citation-97"/>
          <w:rFonts w:ascii="Calibri" w:hAnsi="Calibri" w:cs="Calibri"/>
          <w:sz w:val="22"/>
          <w:szCs w:val="22"/>
        </w:rPr>
        <w:t xml:space="preserve"> </w:t>
      </w:r>
      <w:r w:rsidRPr="0075643E">
        <w:rPr>
          <w:rStyle w:val="citation-96"/>
          <w:rFonts w:ascii="Calibri" w:eastAsiaTheme="majorEastAsia" w:hAnsi="Calibri" w:cs="Calibri"/>
          <w:sz w:val="22"/>
          <w:szCs w:val="22"/>
        </w:rPr>
        <w:t xml:space="preserve">y añadir uno portátil en el </w:t>
      </w:r>
      <w:r w:rsidRPr="0075643E">
        <w:rPr>
          <w:rStyle w:val="citation-96"/>
          <w:rFonts w:ascii="Calibri" w:eastAsiaTheme="majorEastAsia" w:hAnsi="Calibri" w:cs="Calibri"/>
          <w:i/>
          <w:iCs/>
          <w:sz w:val="22"/>
          <w:szCs w:val="22"/>
        </w:rPr>
        <w:t>Gimnasio</w:t>
      </w:r>
      <w:r w:rsidRPr="0075643E">
        <w:rPr>
          <w:rFonts w:ascii="Calibri" w:hAnsi="Calibri" w:cs="Calibri"/>
          <w:sz w:val="22"/>
          <w:szCs w:val="22"/>
        </w:rPr>
        <w:t>.</w:t>
      </w:r>
    </w:p>
    <w:p w14:paraId="6E38CD92" w14:textId="77777777" w:rsidR="0075643E" w:rsidRDefault="0075643E" w:rsidP="0075643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0D87577B" w14:textId="7251E44A" w:rsidR="0075643E" w:rsidRPr="0075643E" w:rsidRDefault="0075643E" w:rsidP="0075643E">
      <w:pPr>
        <w:pStyle w:val="Ttulo3"/>
        <w:spacing w:before="0" w:after="0"/>
      </w:pPr>
      <w:r w:rsidRPr="0075643E">
        <w:t>PARTE 3 - Roles y Responsabilidades</w:t>
      </w:r>
    </w:p>
    <w:p w14:paraId="74F092AF" w14:textId="19D4965E" w:rsidR="004D2BAB" w:rsidRPr="0075643E" w:rsidRDefault="004D2BAB" w:rsidP="0075643E">
      <w:pPr>
        <w:spacing w:after="0"/>
        <w:rPr>
          <w:rFonts w:ascii="Calibri" w:hAnsi="Calibri" w:cs="Calibri"/>
        </w:rPr>
      </w:pPr>
    </w:p>
    <w:tbl>
      <w:tblPr>
        <w:tblStyle w:val="Tablaconcuadrcula"/>
        <w:tblW w:w="10632" w:type="dxa"/>
        <w:tblInd w:w="-5" w:type="dxa"/>
        <w:tblLook w:val="04A0" w:firstRow="1" w:lastRow="0" w:firstColumn="1" w:lastColumn="0" w:noHBand="0" w:noVBand="1"/>
      </w:tblPr>
      <w:tblGrid>
        <w:gridCol w:w="2836"/>
        <w:gridCol w:w="7796"/>
      </w:tblGrid>
      <w:tr w:rsidR="0075643E" w:rsidRPr="0075643E" w14:paraId="6900FE8F" w14:textId="77777777" w:rsidTr="0075643E">
        <w:trPr>
          <w:trHeight w:val="300"/>
        </w:trPr>
        <w:tc>
          <w:tcPr>
            <w:tcW w:w="2836" w:type="dxa"/>
            <w:hideMark/>
          </w:tcPr>
          <w:p w14:paraId="2113C066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Rol</w:t>
            </w:r>
          </w:p>
        </w:tc>
        <w:tc>
          <w:tcPr>
            <w:tcW w:w="7796" w:type="dxa"/>
            <w:hideMark/>
          </w:tcPr>
          <w:p w14:paraId="0DC8BCD5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Función asignada</w:t>
            </w:r>
          </w:p>
        </w:tc>
      </w:tr>
      <w:tr w:rsidR="0075643E" w:rsidRPr="0075643E" w14:paraId="54944F34" w14:textId="77777777" w:rsidTr="0075643E">
        <w:trPr>
          <w:trHeight w:val="1200"/>
        </w:trPr>
        <w:tc>
          <w:tcPr>
            <w:tcW w:w="2836" w:type="dxa"/>
            <w:hideMark/>
          </w:tcPr>
          <w:p w14:paraId="6632A337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Jefe de Intervención (JI)</w:t>
            </w:r>
          </w:p>
        </w:tc>
        <w:tc>
          <w:tcPr>
            <w:tcW w:w="7796" w:type="dxa"/>
            <w:hideMark/>
          </w:tcPr>
          <w:p w14:paraId="3FAC6B11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Es el máximo responsable operativo. Se dirige al lugar de la emergencia, valora la gravedad y decide si se evacúa o si se puede controlar con medios propios. Coordina a los equipos.</w:t>
            </w:r>
          </w:p>
        </w:tc>
      </w:tr>
      <w:tr w:rsidR="0075643E" w:rsidRPr="0075643E" w14:paraId="25D45042" w14:textId="77777777" w:rsidTr="0075643E">
        <w:trPr>
          <w:trHeight w:val="1200"/>
        </w:trPr>
        <w:tc>
          <w:tcPr>
            <w:tcW w:w="2836" w:type="dxa"/>
            <w:hideMark/>
          </w:tcPr>
          <w:p w14:paraId="58AF6A89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Responsable de planta o zona</w:t>
            </w:r>
          </w:p>
        </w:tc>
        <w:tc>
          <w:tcPr>
            <w:tcW w:w="7796" w:type="dxa"/>
            <w:hideMark/>
          </w:tcPr>
          <w:p w14:paraId="5C96F225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Se encarga de recibir la alarma en su planta (Planta 1 o 2), dar la orden de evacuar a su sector y verificar que las vías de evacuación (pasillos/escaleras) estén despejadas.</w:t>
            </w:r>
          </w:p>
        </w:tc>
      </w:tr>
      <w:tr w:rsidR="0075643E" w:rsidRPr="0075643E" w14:paraId="547B1AA4" w14:textId="77777777" w:rsidTr="0075643E">
        <w:trPr>
          <w:trHeight w:val="1200"/>
        </w:trPr>
        <w:tc>
          <w:tcPr>
            <w:tcW w:w="2836" w:type="dxa"/>
            <w:hideMark/>
          </w:tcPr>
          <w:p w14:paraId="5D17AD25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Guía</w:t>
            </w:r>
          </w:p>
        </w:tc>
        <w:tc>
          <w:tcPr>
            <w:tcW w:w="7796" w:type="dxa"/>
            <w:hideMark/>
          </w:tcPr>
          <w:p w14:paraId="705A54FB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Su función es liderar al grupo de personas hacia la salida de emergencia más cercana y segura, evitando que la gente corra o se disperse. "Yo guío el camino".</w:t>
            </w:r>
          </w:p>
        </w:tc>
      </w:tr>
      <w:tr w:rsidR="0075643E" w:rsidRPr="0075643E" w14:paraId="1CB5722E" w14:textId="77777777" w:rsidTr="0075643E">
        <w:trPr>
          <w:trHeight w:val="1200"/>
        </w:trPr>
        <w:tc>
          <w:tcPr>
            <w:tcW w:w="2836" w:type="dxa"/>
            <w:hideMark/>
          </w:tcPr>
          <w:p w14:paraId="11B9F05B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Contraguía</w:t>
            </w:r>
          </w:p>
        </w:tc>
        <w:tc>
          <w:tcPr>
            <w:tcW w:w="7796" w:type="dxa"/>
            <w:hideMark/>
          </w:tcPr>
          <w:p w14:paraId="25468051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 xml:space="preserve">Es el "barrendero". Va el último del grupo, revisando despachos, baños y vestuarios para asegurarse de que nadie se queda atrás (heridos o despistados) y cierra las puertas tras de sí. </w:t>
            </w:r>
          </w:p>
        </w:tc>
      </w:tr>
      <w:tr w:rsidR="0075643E" w:rsidRPr="0075643E" w14:paraId="36836FFF" w14:textId="77777777" w:rsidTr="0075643E">
        <w:trPr>
          <w:trHeight w:val="1200"/>
        </w:trPr>
        <w:tc>
          <w:tcPr>
            <w:tcW w:w="2836" w:type="dxa"/>
            <w:hideMark/>
          </w:tcPr>
          <w:p w14:paraId="77E9FE83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75643E">
              <w:rPr>
                <w:rFonts w:ascii="Calibri" w:hAnsi="Calibri" w:cs="Calibri"/>
                <w:b/>
                <w:bCs/>
              </w:rPr>
              <w:t>Equipo de Primeros Auxilios (EPA)</w:t>
            </w:r>
          </w:p>
        </w:tc>
        <w:tc>
          <w:tcPr>
            <w:tcW w:w="7796" w:type="dxa"/>
            <w:hideMark/>
          </w:tcPr>
          <w:p w14:paraId="66D5E372" w14:textId="77777777" w:rsidR="0075643E" w:rsidRPr="0075643E" w:rsidRDefault="0075643E" w:rsidP="0075643E">
            <w:pPr>
              <w:spacing w:after="0"/>
              <w:rPr>
                <w:rFonts w:ascii="Calibri" w:hAnsi="Calibri" w:cs="Calibri"/>
              </w:rPr>
            </w:pPr>
            <w:r w:rsidRPr="0075643E">
              <w:rPr>
                <w:rFonts w:ascii="Calibri" w:hAnsi="Calibri" w:cs="Calibri"/>
              </w:rPr>
              <w:t>Presta la primera asistencia sanitaria a los posibles heridos (en el punto de reunión o in situ si es seguro) hasta que llega la ayuda externa (ambulancia).</w:t>
            </w:r>
          </w:p>
        </w:tc>
      </w:tr>
    </w:tbl>
    <w:p w14:paraId="0F6F7AC6" w14:textId="429617BD" w:rsidR="00574FF5" w:rsidRDefault="00574FF5" w:rsidP="0075643E">
      <w:pPr>
        <w:spacing w:after="0"/>
        <w:rPr>
          <w:rFonts w:ascii="Calibri" w:hAnsi="Calibri" w:cs="Calibri"/>
        </w:rPr>
      </w:pPr>
    </w:p>
    <w:p w14:paraId="553C4D80" w14:textId="77777777" w:rsidR="00E91081" w:rsidRDefault="00E91081" w:rsidP="0075643E">
      <w:pPr>
        <w:spacing w:after="0"/>
        <w:rPr>
          <w:rFonts w:ascii="Calibri" w:hAnsi="Calibri" w:cs="Calibri"/>
        </w:rPr>
      </w:pPr>
    </w:p>
    <w:p w14:paraId="17151D9F" w14:textId="77777777" w:rsidR="00E91081" w:rsidRDefault="00E91081" w:rsidP="0075643E">
      <w:pPr>
        <w:spacing w:after="0"/>
        <w:rPr>
          <w:rFonts w:ascii="Calibri" w:hAnsi="Calibri" w:cs="Calibri"/>
        </w:rPr>
      </w:pPr>
    </w:p>
    <w:p w14:paraId="3E2DB124" w14:textId="77777777" w:rsidR="00E91081" w:rsidRDefault="00E91081" w:rsidP="0075643E">
      <w:pPr>
        <w:spacing w:after="0"/>
        <w:rPr>
          <w:rFonts w:ascii="Calibri" w:hAnsi="Calibri" w:cs="Calibri"/>
        </w:rPr>
      </w:pPr>
    </w:p>
    <w:p w14:paraId="416C553C" w14:textId="18C8566C" w:rsidR="00E91081" w:rsidRPr="0075643E" w:rsidRDefault="00E91081" w:rsidP="0075643E">
      <w:pPr>
        <w:spacing w:after="0"/>
        <w:rPr>
          <w:rFonts w:ascii="Calibri" w:hAnsi="Calibri" w:cs="Calibri"/>
        </w:rPr>
      </w:pPr>
      <w:r w:rsidRPr="00E91081">
        <w:rPr>
          <w:rFonts w:ascii="Calibri" w:hAnsi="Calibri" w:cs="Calibri"/>
          <w:noProof/>
        </w:rPr>
        <w:lastRenderedPageBreak/>
        <w:drawing>
          <wp:inline distT="0" distB="0" distL="0" distR="0" wp14:anchorId="7D97E344" wp14:editId="71711C1C">
            <wp:extent cx="6497320" cy="9144000"/>
            <wp:effectExtent l="0" t="0" r="0" b="0"/>
            <wp:docPr id="191763056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30569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081" w:rsidRPr="0075643E" w:rsidSect="007564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F51"/>
    <w:multiLevelType w:val="multilevel"/>
    <w:tmpl w:val="C0A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458AF"/>
    <w:multiLevelType w:val="multilevel"/>
    <w:tmpl w:val="0BE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7419173">
    <w:abstractNumId w:val="1"/>
  </w:num>
  <w:num w:numId="2" w16cid:durableId="154220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AB"/>
    <w:rsid w:val="004D2BAB"/>
    <w:rsid w:val="004F0324"/>
    <w:rsid w:val="00574FF5"/>
    <w:rsid w:val="00710EFB"/>
    <w:rsid w:val="0075643E"/>
    <w:rsid w:val="00906FC7"/>
    <w:rsid w:val="0094017E"/>
    <w:rsid w:val="00C077B2"/>
    <w:rsid w:val="00E91081"/>
    <w:rsid w:val="00F6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2DC8"/>
  <w15:chartTrackingRefBased/>
  <w15:docId w15:val="{24B0245A-8A49-4C3D-B6C0-E2F5EF89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BAB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2BA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2BA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2BA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BA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BA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BA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BA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BA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BA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B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B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D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BA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D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BA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D2B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BAB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D2B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B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B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2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7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04">
    <w:name w:val="citation-104"/>
    <w:basedOn w:val="Fuentedeprrafopredeter"/>
    <w:rsid w:val="00C077B2"/>
  </w:style>
  <w:style w:type="character" w:customStyle="1" w:styleId="citation-103">
    <w:name w:val="citation-103"/>
    <w:basedOn w:val="Fuentedeprrafopredeter"/>
    <w:rsid w:val="00C077B2"/>
  </w:style>
  <w:style w:type="character" w:customStyle="1" w:styleId="citation-102">
    <w:name w:val="citation-102"/>
    <w:basedOn w:val="Fuentedeprrafopredeter"/>
    <w:rsid w:val="00C077B2"/>
  </w:style>
  <w:style w:type="character" w:customStyle="1" w:styleId="citation-101">
    <w:name w:val="citation-101"/>
    <w:basedOn w:val="Fuentedeprrafopredeter"/>
    <w:rsid w:val="00C077B2"/>
  </w:style>
  <w:style w:type="character" w:customStyle="1" w:styleId="citation-100">
    <w:name w:val="citation-100"/>
    <w:basedOn w:val="Fuentedeprrafopredeter"/>
    <w:rsid w:val="00C077B2"/>
  </w:style>
  <w:style w:type="character" w:customStyle="1" w:styleId="citation-99">
    <w:name w:val="citation-99"/>
    <w:basedOn w:val="Fuentedeprrafopredeter"/>
    <w:rsid w:val="00C077B2"/>
  </w:style>
  <w:style w:type="character" w:customStyle="1" w:styleId="citation-98">
    <w:name w:val="citation-98"/>
    <w:basedOn w:val="Fuentedeprrafopredeter"/>
    <w:rsid w:val="00C077B2"/>
  </w:style>
  <w:style w:type="character" w:customStyle="1" w:styleId="citation-97">
    <w:name w:val="citation-97"/>
    <w:basedOn w:val="Fuentedeprrafopredeter"/>
    <w:rsid w:val="00C077B2"/>
  </w:style>
  <w:style w:type="character" w:customStyle="1" w:styleId="citation-96">
    <w:name w:val="citation-96"/>
    <w:basedOn w:val="Fuentedeprrafopredeter"/>
    <w:rsid w:val="00C0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Fernández</cp:lastModifiedBy>
  <cp:revision>5</cp:revision>
  <cp:lastPrinted>2025-12-31T07:41:00Z</cp:lastPrinted>
  <dcterms:created xsi:type="dcterms:W3CDTF">2025-12-02T15:51:00Z</dcterms:created>
  <dcterms:modified xsi:type="dcterms:W3CDTF">2025-12-31T07:41:00Z</dcterms:modified>
</cp:coreProperties>
</file>