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7B1C2E"/>
          <w:sz w:val="52"/>
          <w:szCs w:val="52"/>
        </w:rPr>
        <w:t xml:space="preserve">MAMC BioStat</w:t>
      </w:r>
    </w:p>
    <w:p>
      <w:pPr>
        <w:spacing w:after="60"/>
      </w:pPr>
      <w:r>
        <w:rPr>
          <w:color w:val="333333"/>
          <w:sz w:val="30"/>
          <w:szCs w:val="30"/>
        </w:rPr>
        <w:t xml:space="preserve">Quick-Start Guide for UG &amp; PG students</w:t>
      </w:r>
    </w:p>
    <w:p>
      <w:pPr>
        <w:pBdr>
          <w:bottom w:val="single" w:color="7B1C2E" w:sz="12" w:space="4"/>
        </w:pBdr>
        <w:spacing w:after="240"/>
      </w:pPr>
      <w:r>
        <w:rPr>
          <w:color w:val="555555"/>
          <w:sz w:val="20"/>
          <w:szCs w:val="20"/>
        </w:rPr>
        <w:t xml:space="preserve">Free, open-source biostatistics software built on R - Maulana Azad Medical College, New Delhi - Version 1.1.0</w:t>
      </w:r>
    </w:p>
    <w:p>
      <w:pPr>
        <w:pStyle w:val="Heading1"/>
        <w:spacing w:after="140" w:before="280"/>
      </w:pPr>
      <w:r>
        <w:rPr>
          <w:color w:val="7B1C2E"/>
        </w:rPr>
        <w:t xml:space="preserve">1. Installing and starting</w:t>
      </w:r>
    </w:p>
    <w:p>
      <w:pPr>
        <w:pStyle w:val="ListParagraph"/>
        <w:numPr>
          <w:ilvl w:val="0"/>
          <w:numId w:val="2"/>
        </w:numPr>
        <w:spacing w:after="60"/>
      </w:pPr>
      <w:r>
        <w:rPr>
          <w:b/>
          <w:bCs/>
        </w:rPr>
        <w:t xml:space="preserve">Windows 10/11: </w:t>
      </w:r>
      <w:r>
        <w:t xml:space="preserve">double-click MAMC_BioStat_Setup_..._Windows10-11.exe, then Next and Install. R and everything else is included - no admin rights and no internet needed. Start it from the desktop icon.</w:t>
      </w:r>
    </w:p>
    <w:p>
      <w:pPr>
        <w:pStyle w:val="ListParagraph"/>
        <w:numPr>
          <w:ilvl w:val="0"/>
          <w:numId w:val="2"/>
        </w:numPr>
        <w:spacing w:after="60"/>
      </w:pPr>
      <w:r>
        <w:rPr>
          <w:b/>
          <w:bCs/>
        </w:rPr>
        <w:t xml:space="preserve">Windows 7/8.1: </w:t>
      </w:r>
      <w:r>
        <w:t xml:space="preserve">use the ..._Windows7-8.exe installer (needs Windows 7 SP1 with updates and Chrome or Edge 109).</w:t>
      </w:r>
    </w:p>
    <w:p>
      <w:pPr>
        <w:pStyle w:val="ListParagraph"/>
        <w:numPr>
          <w:ilvl w:val="0"/>
          <w:numId w:val="2"/>
        </w:numPr>
        <w:spacing w:after="60"/>
      </w:pPr>
      <w:r>
        <w:rPr>
          <w:b/>
          <w:bCs/>
        </w:rPr>
        <w:t xml:space="preserve">Mac: </w:t>
      </w:r>
      <w:r>
        <w:t xml:space="preserve">open the .dmg (Apple chip or Intel version), drag MAMC BioStat to Applications, and the first time right-click it and choose Open. If R is not yet on the Mac, the app installs it for you (included).</w:t>
      </w:r>
    </w:p>
    <w:p>
      <w:pPr>
        <w:pStyle w:val="ListParagraph"/>
        <w:numPr>
          <w:ilvl w:val="0"/>
          <w:numId w:val="2"/>
        </w:numPr>
        <w:spacing w:after="60"/>
      </w:pPr>
      <w:r>
        <w:rPr>
          <w:b/>
          <w:bCs/>
        </w:rPr>
        <w:t xml:space="preserve">College PC without install rights: </w:t>
      </w:r>
      <w:r>
        <w:t xml:space="preserve">extract the portable .zip (e.g. to a USB stick) and double-click “MAMC BioStat.vbs”.</w:t>
      </w:r>
    </w:p>
    <w:p>
      <w:pPr>
        <w:pStyle w:val="ListParagraph"/>
        <w:numPr>
          <w:ilvl w:val="0"/>
          <w:numId w:val="2"/>
        </w:numPr>
        <w:spacing w:after="60"/>
      </w:pPr>
      <w:r>
        <w:t xml:space="preserve">MAMC BioStat opens in its own window and runs only on your computer - your data never leave it. Close the window to quit.</w:t>
      </w:r>
    </w:p>
    <w:p>
      <w:pPr>
        <w:spacing w:before="120"/>
        <w:jc w:val="center"/>
      </w:pPr>
      <w:r>
        <w:drawing>
          <wp:inline distT="0" distB="0" distL="0" distR="0">
            <wp:extent cx="5715000" cy="3771900"/>
            <wp:effectExtent t="0" r="0" b="0" l="0"/>
            <wp:docPr id="1" name="01_home.png" descr="Figure 1. Home screen - four steps: Data, Choose Test, Analyse, Visualise &amp; Report" title="Figure 1. Home screen - four steps: Data, Choose Test, Analyse, Visualise &amp;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1. Home screen - four steps: Data, Choose Test, Analyse, Visualise &amp; Report</w:t>
      </w:r>
    </w:p>
    <w:p>
      <w:pPr>
        <w:pStyle w:val="Heading1"/>
        <w:spacing w:after="140" w:before="280"/>
      </w:pPr>
      <w:r>
        <w:rPr>
          <w:color w:val="7B1C2E"/>
        </w:rPr>
        <w:t xml:space="preserve">2. Prepare and import your Excel sheet</w:t>
      </w:r>
    </w:p>
    <w:p>
      <w:pPr>
        <w:pStyle w:val="ListParagraph"/>
        <w:numPr>
          <w:ilvl w:val="0"/>
          <w:numId w:val="3"/>
        </w:numPr>
        <w:spacing w:after="60"/>
      </w:pPr>
      <w:r>
        <w:t xml:space="preserve">Row 1 holds short column names (Age, Sex, SBP_baseline). Do not use merged cells or a title row.</w:t>
      </w:r>
    </w:p>
    <w:p>
      <w:pPr>
        <w:pStyle w:val="ListParagraph"/>
        <w:numPr>
          <w:ilvl w:val="0"/>
          <w:numId w:val="3"/>
        </w:numPr>
        <w:spacing w:after="60"/>
      </w:pPr>
      <w:r>
        <w:t xml:space="preserve">Use one row per patient and one column per variable. Remove names, phone numbers and CR numbers.</w:t>
      </w:r>
    </w:p>
    <w:p>
      <w:pPr>
        <w:pStyle w:val="ListParagraph"/>
        <w:numPr>
          <w:ilvl w:val="0"/>
          <w:numId w:val="3"/>
        </w:numPr>
        <w:spacing w:after="60"/>
      </w:pPr>
      <w:r>
        <w:t xml:space="preserve">Put only numbers in numeric columns: no units ('120 mg') and no '&lt;5'. Leave missing cells blank.</w:t>
      </w:r>
    </w:p>
    <w:p>
      <w:pPr>
        <w:pStyle w:val="ListParagraph"/>
        <w:numPr>
          <w:ilvl w:val="0"/>
          <w:numId w:val="3"/>
        </w:numPr>
        <w:spacing w:after="60"/>
      </w:pPr>
      <w:r>
        <w:t xml:space="preserve">Spell each category the same way every time (Male / Female, not M, male, MALE).</w:t>
      </w:r>
    </w:p>
    <w:p>
      <w:pPr>
        <w:pStyle w:val="ListParagraph"/>
        <w:numPr>
          <w:ilvl w:val="0"/>
          <w:numId w:val="3"/>
        </w:numPr>
        <w:spacing w:after="60"/>
      </w:pPr>
      <w:r>
        <w:t xml:space="preserve">Before-after or repeated values go in separate columns (SBP_week0, SBP_week4, SBP_week8).</w:t>
      </w:r>
    </w:p>
    <w:p>
      <w:pPr>
        <w:spacing w:after="120"/>
      </w:pPr>
      <w:r>
        <w:t xml:space="preserve">Open the </w:t>
      </w:r>
      <w:r>
        <w:rPr>
          <w:b/>
          <w:bCs/>
        </w:rPr>
        <w:t xml:space="preserve">1. Data</w:t>
      </w:r>
      <w:r>
        <w:t xml:space="preserve"> tab and click Browse. The </w:t>
      </w:r>
      <w:r>
        <w:rPr>
          <w:b/>
          <w:bCs/>
        </w:rPr>
        <w:t xml:space="preserve">Data Health Check</w:t>
      </w:r>
      <w:r>
        <w:t xml:space="preserve"> runs straight away and lists each problem with what to do about it. Tick the automatic fixes you want and click </w:t>
      </w:r>
      <w:r>
        <w:rPr>
          <w:b/>
          <w:bCs/>
        </w:rPr>
        <w:t xml:space="preserve">Apply selected fixes</w:t>
      </w:r>
      <w:r>
        <w:t xml:space="preserve">. Your original file is never changed, and you can download the cleaned copy. If a numeric code such as 0/1 means a category, use </w:t>
      </w:r>
      <w:r>
        <w:rPr>
          <w:b/>
          <w:bCs/>
        </w:rPr>
        <w:t xml:space="preserve">Treat as categorical</w:t>
      </w:r>
      <w:r>
        <w:t xml:space="preserve">.</w:t>
      </w:r>
    </w:p>
    <w:p>
      <w:pPr>
        <w:spacing w:before="120"/>
        <w:jc w:val="center"/>
      </w:pPr>
      <w:r>
        <w:drawing>
          <wp:inline distT="0" distB="0" distL="0" distR="0">
            <wp:extent cx="5715000" cy="3771900"/>
            <wp:effectExtent t="0" r="0" b="0" l="0"/>
            <wp:docPr id="1" name="02_messy_check.png" descr="Figure 2. Data Health Check on the messy demo file - problems found, suggestions and one-click fixes" title="Figure 2. Data Health Check on the messy demo file - problems found, suggestions and one-click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2. Data Health Check on the messy demo file - problems found, suggestions and one-click fixes</w:t>
      </w:r>
    </w:p>
    <w:p>
      <w:pPr>
        <w:pStyle w:val="Heading1"/>
        <w:spacing w:after="140" w:before="280"/>
      </w:pPr>
      <w:r>
        <w:rPr>
          <w:color w:val="7B1C2E"/>
        </w:rPr>
        <w:t xml:space="preserve">3. Choose the right test</w:t>
      </w:r>
    </w:p>
    <w:p>
      <w:pPr>
        <w:spacing w:after="120"/>
      </w:pPr>
      <w:r>
        <w:t xml:space="preserve">Open </w:t>
      </w:r>
      <w:r>
        <w:rPr>
          <w:b/>
          <w:bCs/>
        </w:rPr>
        <w:t xml:space="preserve">2. Choose Test</w:t>
      </w:r>
      <w:r>
        <w:t xml:space="preserve"> and answer the questions: your aim, the outcome type, the number of groups, independent or paired, and whether the data are normal. If you do not know whether the data are normal, choose “I don't know - check it for me”. The recommended test appears on the right, and </w:t>
      </w:r>
      <w:r>
        <w:rPr>
          <w:b/>
          <w:bCs/>
        </w:rPr>
        <w:t xml:space="preserve">Open this test</w:t>
      </w:r>
      <w:r>
        <w:t xml:space="preserve"> takes you straight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tblHeader/>
        </w:trPr>
        <w:tc>
          <w:tcPr>
            <w:tcW w:type="dxa" w:w="2300"/>
            <w:tcBorders>
              <w:top w:val="single" w:color="D9D6D0" w:sz="4"/>
              <w:left w:val="single" w:color="D9D6D0" w:sz="4"/>
              <w:bottom w:val="single" w:color="D9D6D0" w:sz="4"/>
              <w:right w:val="single" w:color="D9D6D0" w:sz="4"/>
            </w:tcBorders>
            <w:shd w:fill="F3E6E9" w:color="auto" w:val="clear"/>
            <w:tcMar>
              <w:top w:type="dxa" w:w="60"/>
              <w:left w:type="dxa" w:w="100"/>
              <w:bottom w:type="dxa" w:w="60"/>
              <w:right w:type="dxa" w:w="100"/>
            </w:tcMar>
          </w:tcPr>
          <w:p>
            <w:r>
              <w:rPr>
                <w:b/>
                <w:bCs/>
                <w:sz w:val="19"/>
                <w:szCs w:val="19"/>
              </w:rPr>
              <w:t xml:space="preserve">Your aim</w:t>
            </w:r>
          </w:p>
        </w:tc>
        <w:tc>
          <w:tcPr>
            <w:tcW w:type="dxa" w:w="2300"/>
            <w:tcBorders>
              <w:top w:val="single" w:color="D9D6D0" w:sz="4"/>
              <w:left w:val="single" w:color="D9D6D0" w:sz="4"/>
              <w:bottom w:val="single" w:color="D9D6D0" w:sz="4"/>
              <w:right w:val="single" w:color="D9D6D0" w:sz="4"/>
            </w:tcBorders>
            <w:shd w:fill="F3E6E9" w:color="auto" w:val="clear"/>
            <w:tcMar>
              <w:top w:type="dxa" w:w="60"/>
              <w:left w:type="dxa" w:w="100"/>
              <w:bottom w:type="dxa" w:w="60"/>
              <w:right w:type="dxa" w:w="100"/>
            </w:tcMar>
          </w:tcPr>
          <w:p>
            <w:r>
              <w:rPr>
                <w:b/>
                <w:bCs/>
                <w:sz w:val="19"/>
                <w:szCs w:val="19"/>
              </w:rPr>
              <w:t xml:space="preserve">Normal numeric data</w:t>
            </w:r>
          </w:p>
        </w:tc>
        <w:tc>
          <w:tcPr>
            <w:tcW w:type="dxa" w:w="2300"/>
            <w:tcBorders>
              <w:top w:val="single" w:color="D9D6D0" w:sz="4"/>
              <w:left w:val="single" w:color="D9D6D0" w:sz="4"/>
              <w:bottom w:val="single" w:color="D9D6D0" w:sz="4"/>
              <w:right w:val="single" w:color="D9D6D0" w:sz="4"/>
            </w:tcBorders>
            <w:shd w:fill="F3E6E9" w:color="auto" w:val="clear"/>
            <w:tcMar>
              <w:top w:type="dxa" w:w="60"/>
              <w:left w:type="dxa" w:w="100"/>
              <w:bottom w:type="dxa" w:w="60"/>
              <w:right w:type="dxa" w:w="100"/>
            </w:tcMar>
          </w:tcPr>
          <w:p>
            <w:r>
              <w:rPr>
                <w:b/>
                <w:bCs/>
                <w:sz w:val="19"/>
                <w:szCs w:val="19"/>
              </w:rPr>
              <w:t xml:space="preserve">Skewed / ordinal data</w:t>
            </w:r>
          </w:p>
        </w:tc>
        <w:tc>
          <w:tcPr>
            <w:tcW w:type="dxa" w:w="2126"/>
            <w:tcBorders>
              <w:top w:val="single" w:color="D9D6D0" w:sz="4"/>
              <w:left w:val="single" w:color="D9D6D0" w:sz="4"/>
              <w:bottom w:val="single" w:color="D9D6D0" w:sz="4"/>
              <w:right w:val="single" w:color="D9D6D0" w:sz="4"/>
            </w:tcBorders>
            <w:shd w:fill="F3E6E9" w:color="auto" w:val="clear"/>
            <w:tcMar>
              <w:top w:type="dxa" w:w="60"/>
              <w:left w:type="dxa" w:w="100"/>
              <w:bottom w:type="dxa" w:w="60"/>
              <w:right w:type="dxa" w:w="100"/>
            </w:tcMar>
          </w:tcPr>
          <w:p>
            <w:r>
              <w:rPr>
                <w:b/>
                <w:bCs/>
                <w:sz w:val="19"/>
                <w:szCs w:val="19"/>
              </w:rPr>
              <w:t xml:space="preserve">Categorical outcome</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1 group vs known value</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One-sample t-test</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Wilcoxon signed-rank (one sample)</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One-sample proportion / chi-square GOF</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2 independent groups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Independent t-test (Welch)</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Mann-Whitney U</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Chi-square / Fisher's exact</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2 paired measurements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Paired t-test</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Wilcoxon signed-rank (paired)</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McNemar</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3+ independent groups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One-way ANOVA + Tukey</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Kruskal-Wallis + Dunn</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Chi-square (R x C)</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3+ repeated measurements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Repeated-measures ANOVA</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Friedman</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Association of two variables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Pearson r</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Spearman rho</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Chi-square, OR / RR</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Predict outcome, adjust confounders</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Linear regression</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w:t>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Logistic regression</w:t>
            </w:r>
          </w:p>
        </w:tc>
      </w:tr>
      <w:tr>
        <w:trPr>
          <w:tblHeader w:val="false"/>
        </w:trPr>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Time to event</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Kaplan-Meier + log-rank; Cox regression</w:t>
            </w:r>
          </w:p>
        </w:tc>
        <w:tc>
          <w:tcPr>
            <w:tcW w:type="dxa" w:w="2300"/>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
            </w:r>
          </w:p>
        </w:tc>
        <w:tc>
          <w:tcPr>
            <w:tcW w:type="dxa" w:w="2126"/>
            <w:tcBorders>
              <w:top w:val="single" w:color="D9D6D0" w:sz="4"/>
              <w:left w:val="single" w:color="D9D6D0" w:sz="4"/>
              <w:bottom w:val="single" w:color="D9D6D0" w:sz="4"/>
              <w:right w:val="single" w:color="D9D6D0" w:sz="4"/>
            </w:tcBorders>
            <w:tcMar>
              <w:top w:type="dxa" w:w="60"/>
              <w:left w:type="dxa" w:w="100"/>
              <w:bottom w:type="dxa" w:w="60"/>
              <w:right w:type="dxa" w:w="100"/>
            </w:tcMar>
          </w:tcPr>
          <w:p>
            <w:r>
              <w:rPr>
                <w:b w:val="false"/>
                <w:bCs w:val="false"/>
                <w:sz w:val="19"/>
                <w:szCs w:val="19"/>
              </w:rPr>
              <w:t xml:space="preserve"/>
            </w:r>
          </w:p>
        </w:tc>
      </w:tr>
    </w:tbl>
    <w:p>
      <w:pPr>
        <w:spacing w:before="120"/>
        <w:jc w:val="center"/>
      </w:pPr>
      <w:r>
        <w:drawing>
          <wp:inline distT="0" distB="0" distL="0" distR="0">
            <wp:extent cx="5715000" cy="3771900"/>
            <wp:effectExtent t="0" r="0" b="0" l="0"/>
            <wp:docPr id="1" name="05_wizard.png" descr="Figure 3. The test-chooser wizard recommending one-way ANOVA" title="Figure 3. The test-chooser wizard recommending one-way A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3. The test-chooser wizard recommending one-way ANOVA</w:t>
      </w:r>
    </w:p>
    <w:p>
      <w:pPr>
        <w:pStyle w:val="Heading1"/>
        <w:spacing w:after="140" w:before="280"/>
      </w:pPr>
      <w:r>
        <w:rPr>
          <w:color w:val="7B1C2E"/>
        </w:rPr>
        <w:t xml:space="preserve">4. Run the analysis</w:t>
      </w:r>
    </w:p>
    <w:p>
      <w:pPr>
        <w:spacing w:after="120"/>
      </w:pPr>
      <w:r>
        <w:t xml:space="preserve">In </w:t>
      </w:r>
      <w:r>
        <w:rPr>
          <w:b/>
          <w:bCs/>
        </w:rPr>
        <w:t xml:space="preserve">3. Analyse</w:t>
      </w:r>
      <w:r>
        <w:t xml:space="preserve">, the software asks only for what that test needs, such as an outcome variable, a grouping variable or a reference value. Select them and click </w:t>
      </w:r>
      <w:r>
        <w:rPr>
          <w:b/>
          <w:bCs/>
        </w:rPr>
        <w:t xml:space="preserve">Run analysis</w:t>
      </w:r>
      <w:r>
        <w:t xml:space="preserve">. You get four tabs:</w:t>
      </w:r>
    </w:p>
    <w:p>
      <w:pPr>
        <w:pStyle w:val="ListParagraph"/>
        <w:numPr>
          <w:ilvl w:val="0"/>
          <w:numId w:val="2"/>
        </w:numPr>
        <w:spacing w:after="60"/>
      </w:pPr>
      <w:r>
        <w:rPr>
          <w:b/>
          <w:bCs/>
        </w:rPr>
        <w:t xml:space="preserve">Results - </w:t>
      </w:r>
      <w:r>
        <w:t xml:space="preserve">tables, plain-English interpretation, the H0 decision, assumption checks (normality, equal variances, expected counts) with warnings, effect size with 95% CI, and a ready-made </w:t>
      </w:r>
      <w:r>
        <w:rPr>
          <w:b/>
          <w:bCs/>
        </w:rPr>
        <w:t xml:space="preserve">thesis sentence</w:t>
      </w:r>
      <w:r>
        <w:t xml:space="preserve">.</w:t>
      </w:r>
    </w:p>
    <w:p>
      <w:pPr>
        <w:pStyle w:val="ListParagraph"/>
        <w:numPr>
          <w:ilvl w:val="0"/>
          <w:numId w:val="2"/>
        </w:numPr>
        <w:spacing w:after="60"/>
      </w:pPr>
      <w:r>
        <w:rPr>
          <w:b/>
          <w:bCs/>
        </w:rPr>
        <w:t xml:space="preserve">Plot - </w:t>
      </w:r>
      <w:r>
        <w:t xml:space="preserve">a graph for the test, downloadable at 300 dpi.</w:t>
      </w:r>
    </w:p>
    <w:p>
      <w:pPr>
        <w:pStyle w:val="ListParagraph"/>
        <w:numPr>
          <w:ilvl w:val="0"/>
          <w:numId w:val="2"/>
        </w:numPr>
        <w:spacing w:after="60"/>
      </w:pPr>
      <w:r>
        <w:rPr>
          <w:b/>
          <w:bCs/>
        </w:rPr>
        <w:t xml:space="preserve">Step-by-step calculation - </w:t>
      </w:r>
      <w:r>
        <w:t xml:space="preserve">the formula worked out with </w:t>
      </w:r>
      <w:r>
        <w:rPr>
          <w:b/>
          <w:bCs/>
        </w:rPr>
        <w:t xml:space="preserve">your own numbers</w:t>
      </w:r>
      <w:r>
        <w:t xml:space="preserve">, step by step.</w:t>
      </w:r>
    </w:p>
    <w:p>
      <w:pPr>
        <w:pStyle w:val="ListParagraph"/>
        <w:numPr>
          <w:ilvl w:val="0"/>
          <w:numId w:val="2"/>
        </w:numPr>
        <w:spacing w:after="60"/>
      </w:pPr>
      <w:r>
        <w:rPr>
          <w:b/>
          <w:bCs/>
        </w:rPr>
        <w:t xml:space="preserve">Help - </w:t>
      </w:r>
      <w:r>
        <w:t xml:space="preserve">when to use the test, its hypotheses and assumptions, the formula, background (why and how it works) and what to do if assumptions fail.</w:t>
      </w:r>
    </w:p>
    <w:p>
      <w:pPr>
        <w:spacing w:before="120"/>
        <w:jc w:val="center"/>
      </w:pPr>
      <w:r>
        <w:drawing>
          <wp:inline distT="0" distB="0" distL="0" distR="0">
            <wp:extent cx="5715000" cy="3771900"/>
            <wp:effectExtent t="0" r="0" b="0" l="0"/>
            <wp:docPr id="1" name="06_anova_results.png" descr="Figure 4. One-way ANOVA results with interpretation, decision and thesis sentence" title="Figure 4. One-way ANOVA results with interpretation, decision and thesis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4. One-way ANOVA results with interpretation, decision and thesis sentence</w:t>
      </w:r>
    </w:p>
    <w:p>
      <w:pPr>
        <w:spacing w:before="120"/>
        <w:jc w:val="center"/>
      </w:pPr>
      <w:r>
        <w:drawing>
          <wp:inline distT="0" distB="0" distL="0" distR="0">
            <wp:extent cx="5715000" cy="3771900"/>
            <wp:effectExtent t="0" r="0" b="0" l="0"/>
            <wp:docPr id="1" name="07_anova_steps.png" descr="Figure 5. Worked calculation showing every step of the F test" title="Figure 5. Worked calculation showing every step of the F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5. Worked calculation showing every step of the F test</w:t>
      </w:r>
    </w:p>
    <w:p>
      <w:pPr>
        <w:pStyle w:val="Heading1"/>
        <w:spacing w:after="140" w:before="280"/>
      </w:pPr>
      <w:r>
        <w:rPr>
          <w:color w:val="7B1C2E"/>
        </w:rPr>
        <w:t xml:space="preserve">5. Make charts (with Python code)</w:t>
      </w:r>
    </w:p>
    <w:p>
      <w:pPr>
        <w:spacing w:after="120"/>
      </w:pPr>
      <w:r>
        <w:t xml:space="preserve">The </w:t>
      </w:r>
      <w:r>
        <w:rPr>
          <w:b/>
          <w:bCs/>
        </w:rPr>
        <w:t xml:space="preserve">4. Visualise</w:t>
      </w:r>
      <w:r>
        <w:t xml:space="preserve"> tab draws 12 chart types: histogram, density, box, violin, mean ± error bars, bar (grouped / stacked / 100%), pie / donut, scatter with regression line, line chart over time, correlation heat map, Q-Q plot and forest plot. Choose variables, a colour palette (the default is colour-blind safe), value labels, titles and font size. Export as PNG (300 dpi), PDF or TIFF for journals.</w:t>
      </w:r>
    </w:p>
    <w:p>
      <w:pPr>
        <w:spacing w:after="120"/>
      </w:pPr>
      <w:r>
        <w:t xml:space="preserve">The </w:t>
      </w:r>
      <w:r>
        <w:rPr>
          <w:b/>
          <w:bCs/>
        </w:rPr>
        <w:t xml:space="preserve">Python code for this chart</w:t>
      </w:r>
      <w:r>
        <w:t xml:space="preserve"> tab gives the same chart in pandas + seaborn + matplotlib. Download the .py file, change the file name in the read_excel line, and run it in Jupyter or Spyder.</w:t>
      </w:r>
    </w:p>
    <w:p>
      <w:pPr>
        <w:spacing w:before="120"/>
        <w:jc w:val="center"/>
      </w:pPr>
      <w:r>
        <w:drawing>
          <wp:inline distT="0" distB="0" distL="0" distR="0">
            <wp:extent cx="5715000" cy="3771900"/>
            <wp:effectExtent t="0" r="0" b="0" l="0"/>
            <wp:docPr id="1" name="10_visualise.png" descr="Figure 6. Chart studio - labelled histogram with normal curve" title="Figure 6. Chart studio - labelled histogram with norma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6. Chart studio - labelled histogram with normal curve</w:t>
      </w:r>
    </w:p>
    <w:p>
      <w:pPr>
        <w:spacing w:before="120"/>
        <w:jc w:val="center"/>
      </w:pPr>
      <w:r>
        <w:drawing>
          <wp:inline distT="0" distB="0" distL="0" distR="0">
            <wp:extent cx="5715000" cy="3771900"/>
            <wp:effectExtent t="0" r="0" b="0" l="0"/>
            <wp:docPr id="1" name="11_python.png" descr="Figure 7. Matching Python code generated for the chart" title="Figure 7. Matching Python code generated for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color w:val="555555"/>
          <w:sz w:val="18"/>
          <w:szCs w:val="18"/>
        </w:rPr>
        <w:t xml:space="preserve">Figure 7. Matching Python code generated for the chart</w:t>
      </w:r>
    </w:p>
    <w:p>
      <w:pPr>
        <w:pStyle w:val="Heading1"/>
        <w:spacing w:after="140" w:before="280"/>
      </w:pPr>
      <w:r>
        <w:rPr>
          <w:color w:val="7B1C2E"/>
        </w:rPr>
        <w:t xml:space="preserve">6. Report, learning and help</w:t>
      </w:r>
    </w:p>
    <w:p>
      <w:pPr>
        <w:pStyle w:val="ListParagraph"/>
        <w:numPr>
          <w:ilvl w:val="0"/>
          <w:numId w:val="2"/>
        </w:numPr>
        <w:spacing w:after="60"/>
      </w:pPr>
      <w:r>
        <w:rPr>
          <w:b/>
          <w:bCs/>
        </w:rPr>
        <w:t xml:space="preserve">Report - </w:t>
      </w:r>
      <w:r>
        <w:t xml:space="preserve">every analysis you run is collected here. Download it as an HTML report (it opens in any browser and can be copied into Word) or download all result tables as one Excel file.</w:t>
      </w:r>
    </w:p>
    <w:p>
      <w:pPr>
        <w:pStyle w:val="ListParagraph"/>
        <w:numPr>
          <w:ilvl w:val="0"/>
          <w:numId w:val="2"/>
        </w:numPr>
        <w:spacing w:after="60"/>
      </w:pPr>
      <w:r>
        <w:rPr>
          <w:b/>
          <w:bCs/>
        </w:rPr>
        <w:t xml:space="preserve">Learn - </w:t>
      </w:r>
      <w:r>
        <w:t xml:space="preserve">a statistics primer (p-value, CI, type I/II error, parametric vs non-parametric, multiple comparisons) and a page for each of the 40 methods.</w:t>
      </w:r>
    </w:p>
    <w:p>
      <w:pPr>
        <w:pStyle w:val="ListParagraph"/>
        <w:numPr>
          <w:ilvl w:val="0"/>
          <w:numId w:val="2"/>
        </w:numPr>
        <w:spacing w:after="60"/>
      </w:pPr>
      <w:r>
        <w:rPr>
          <w:b/>
          <w:bCs/>
        </w:rPr>
        <w:t xml:space="preserve">Significance level - </w:t>
      </w:r>
      <w:r>
        <w:t xml:space="preserve">the default is α = 0.05. You can change it in the Analyse tab.</w:t>
      </w:r>
    </w:p>
    <w:p>
      <w:pPr>
        <w:pStyle w:val="Heading2"/>
        <w:spacing w:after="100" w:before="200"/>
      </w:pPr>
      <w:r>
        <w:t xml:space="preserve">Methods available (40)</w:t>
      </w:r>
    </w:p>
    <w:p>
      <w:pPr>
        <w:spacing w:after="120"/>
      </w:pPr>
      <w:r>
        <w:t xml:space="preserve">Descriptive statistics, frequency tables, normality; one-sample, independent (Student/Welch) and paired t-tests; one-way, two-way and repeated-measures ANOVA, ANCOVA; Wilcoxon (one-sample and paired), Mann-Whitney, Kruskal-Wallis + Dunn, Friedman; chi-square (association and goodness-of-fit), Fisher's exact, McNemar, OR/RR/NNT, one- and two-proportion tests; Pearson, Spearman/Kendall, correlation matrix; linear and logistic regression; Cohen's kappa, Bland-Altman, ICC, diagnostic accuracy, ROC/AUC, Cronbach's alpha; Kaplan-Meier + log-rank, Cox regression; sample size for means, proportions, prevalence, correlation and ANOVA.</w:t>
      </w:r>
    </w:p>
    <w:p>
      <w:pPr>
        <w:pStyle w:val="Heading2"/>
        <w:spacing w:after="100" w:before="200"/>
      </w:pPr>
      <w:r>
        <w:t xml:space="preserve">Citing the software</w:t>
      </w:r>
    </w:p>
    <w:p>
      <w:pPr>
        <w:spacing w:after="120"/>
      </w:pPr>
      <w:r>
        <w:t xml:space="preserve">MAMC BioStat (Version 1.1.0) [Computer software]. Maulana Azad Medical College, New Delhi; 2026. Available from: https://github.com/ManuHCI/mamc-biostat</w:t>
      </w:r>
    </w:p>
    <w:p>
      <w:pPr>
        <w:spacing w:after="120"/>
      </w:pPr>
      <w:r>
        <w:rPr>
          <w:i/>
          <w:iCs/>
          <w:color w:val="555555"/>
          <w:sz w:val="19"/>
          <w:szCs w:val="19"/>
        </w:rPr>
        <w:t xml:space="preserve">Interpretations are generated automatically to help you learn. You remain responsible for the choice of method, so consult a biostatistician for complex designs.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MAMC BioStat - Maulana Azad Medical College &amp; Lok Nayak Hospital, New Delhi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8979f9e569fa3c256676ce9d72fc95b8475b3c.png"/><Relationship Id="rId9" Type="http://schemas.openxmlformats.org/officeDocument/2006/relationships/image" Target="media/53f41524f4bbc6a1d531988dd88cff65191872fd.png"/><Relationship Id="rId10" Type="http://schemas.openxmlformats.org/officeDocument/2006/relationships/image" Target="media/33bb2337fb12ec0c6217ee3f87358b3adab1c99f.png"/><Relationship Id="rId11" Type="http://schemas.openxmlformats.org/officeDocument/2006/relationships/image" Target="media/0f50963124dec2cae3e5f69c876bbb0cd809f74f.png"/><Relationship Id="rId12" Type="http://schemas.openxmlformats.org/officeDocument/2006/relationships/image" Target="media/1d1c2ac82e4a0dd47e51fb0640390b63c3503a6b.png"/><Relationship Id="rId13" Type="http://schemas.openxmlformats.org/officeDocument/2006/relationships/image" Target="media/b57c8c6b5eec70ad00b3b620b9c09b54c2960740.png"/><Relationship Id="rId14" Type="http://schemas.openxmlformats.org/officeDocument/2006/relationships/image" Target="media/99266b4616dfde7d9892bd75a0a5c29eb37938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MAMC BioStat - Quick-Start Guide</dc:title>
  <dc:creator>MAMC BioStat</dc:creator>
  <cp:lastModifiedBy>Un-named</cp:lastModifiedBy>
  <cp:revision>1</cp:revision>
  <dcterms:created xsi:type="dcterms:W3CDTF">2026-10-05T07:29:38.571Z</dcterms:created>
  <dcterms:modified xsi:type="dcterms:W3CDTF">2026-10-05T07:29:38.578Z</dcterms:modified>
</cp:coreProperties>
</file>

<file path=docProps/custom.xml><?xml version="1.0" encoding="utf-8"?>
<Properties xmlns="http://schemas.openxmlformats.org/officeDocument/2006/custom-properties" xmlns:vt="http://schemas.openxmlformats.org/officeDocument/2006/docPropsVTypes"/>
</file>