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242"/>
        <w:gridCol w:w="4820"/>
        <w:gridCol w:w="2954"/>
      </w:tblGrid>
      <w:tr w:rsidR="00820811" w:rsidRPr="00820811" w14:paraId="3D468104" w14:textId="77777777" w:rsidTr="00C04599">
        <w:trPr>
          <w:trHeight w:val="1691"/>
        </w:trPr>
        <w:tc>
          <w:tcPr>
            <w:tcW w:w="1242" w:type="dxa"/>
          </w:tcPr>
          <w:p w14:paraId="716B1285" w14:textId="77777777" w:rsidR="00820811" w:rsidRPr="00820811" w:rsidRDefault="00820811" w:rsidP="00820811">
            <w:pPr>
              <w:spacing w:line="276" w:lineRule="auto"/>
              <w:jc w:val="both"/>
              <w:rPr>
                <w:rFonts w:ascii="Calibri Light" w:hAnsi="Calibri Light" w:cs="Mangal"/>
                <w:sz w:val="24"/>
                <w:szCs w:val="24"/>
              </w:rPr>
            </w:pPr>
            <w:r w:rsidRPr="00820811">
              <w:rPr>
                <w:rFonts w:ascii="Verdana" w:hAnsi="Verdana" w:cs="Times New Roman"/>
                <w:sz w:val="21"/>
                <w:szCs w:val="21"/>
              </w:rPr>
              <w:br w:type="page"/>
            </w:r>
            <w:r w:rsidRPr="00820811">
              <w:rPr>
                <w:rFonts w:ascii="Verdana" w:hAnsi="Verdana" w:cs="Times New Roman"/>
                <w:sz w:val="24"/>
                <w:szCs w:val="28"/>
              </w:rPr>
              <w:br w:type="page"/>
            </w:r>
            <w:r w:rsidRPr="00820811">
              <w:rPr>
                <w:rFonts w:ascii="Times New Roman" w:hAnsi="Times New Roman" w:cs="Times New Roman"/>
                <w:sz w:val="24"/>
                <w:szCs w:val="28"/>
              </w:rPr>
              <w:br w:type="page"/>
            </w:r>
            <w:r w:rsidRPr="00820811">
              <w:rPr>
                <w:rFonts w:ascii="Calibri Light" w:hAnsi="Calibri Light" w:cs="Mangal"/>
                <w:noProof/>
                <w:sz w:val="24"/>
                <w:szCs w:val="24"/>
              </w:rPr>
              <w:drawing>
                <wp:inline distT="0" distB="0" distL="0" distR="0" wp14:anchorId="603390EC" wp14:editId="354BA5C5">
                  <wp:extent cx="523210" cy="808010"/>
                  <wp:effectExtent l="19050" t="0" r="0" b="0"/>
                  <wp:docPr id="1530869427" name="Picture 1" descr="Satyameva Jayate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atyameva Jayate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572" cy="807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  <w:gridSpan w:val="2"/>
          </w:tcPr>
          <w:p w14:paraId="33B270A7" w14:textId="77777777" w:rsidR="00820811" w:rsidRPr="00820811" w:rsidRDefault="00820811" w:rsidP="00820811">
            <w:pPr>
              <w:jc w:val="center"/>
              <w:rPr>
                <w:rFonts w:ascii="Calibri Light" w:hAnsi="Calibri Light" w:cs="Arial Unicode MS"/>
                <w:b/>
                <w:bCs/>
                <w:sz w:val="40"/>
                <w:szCs w:val="40"/>
              </w:rPr>
            </w:pPr>
            <w:r w:rsidRPr="00820811">
              <w:rPr>
                <w:rFonts w:ascii="Mangal" w:hAnsi="Mangal" w:cs="Mangal" w:hint="cs"/>
                <w:b/>
                <w:bCs/>
                <w:sz w:val="40"/>
                <w:szCs w:val="40"/>
                <w:cs/>
              </w:rPr>
              <w:t>कार्यालय</w:t>
            </w:r>
            <w:r w:rsidRPr="00820811">
              <w:rPr>
                <w:rFonts w:ascii="Calibri Light" w:hAnsi="Calibri Light" w:cs="Arial Unicode MS" w:hint="cs"/>
                <w:b/>
                <w:bCs/>
                <w:sz w:val="40"/>
                <w:szCs w:val="40"/>
                <w:cs/>
              </w:rPr>
              <w:t xml:space="preserve"> </w:t>
            </w:r>
            <w:r w:rsidRPr="00820811">
              <w:rPr>
                <w:rFonts w:ascii="Mangal" w:hAnsi="Mangal" w:cs="Mangal" w:hint="cs"/>
                <w:b/>
                <w:bCs/>
                <w:sz w:val="40"/>
                <w:szCs w:val="40"/>
                <w:cs/>
              </w:rPr>
              <w:t>आयकर</w:t>
            </w:r>
            <w:r w:rsidRPr="00820811">
              <w:rPr>
                <w:rFonts w:ascii="Calibri Light" w:hAnsi="Calibri Light" w:cs="Arial Unicode MS" w:hint="cs"/>
                <w:b/>
                <w:bCs/>
                <w:sz w:val="40"/>
                <w:szCs w:val="40"/>
                <w:cs/>
              </w:rPr>
              <w:t xml:space="preserve"> </w:t>
            </w:r>
            <w:r w:rsidRPr="00820811">
              <w:rPr>
                <w:rFonts w:ascii="Mangal" w:hAnsi="Mangal" w:cs="Mangal" w:hint="cs"/>
                <w:b/>
                <w:bCs/>
                <w:sz w:val="40"/>
                <w:szCs w:val="40"/>
                <w:cs/>
              </w:rPr>
              <w:t>आयुक्त</w:t>
            </w:r>
            <w:r w:rsidRPr="00820811">
              <w:rPr>
                <w:rFonts w:ascii="Calibri Light" w:hAnsi="Calibri Light" w:cs="Arial Unicode MS" w:hint="cs"/>
                <w:b/>
                <w:bCs/>
                <w:sz w:val="40"/>
                <w:szCs w:val="40"/>
                <w:cs/>
              </w:rPr>
              <w:t xml:space="preserve"> (</w:t>
            </w:r>
            <w:r w:rsidRPr="00820811">
              <w:rPr>
                <w:rFonts w:ascii="Mangal" w:hAnsi="Mangal" w:cs="Mangal" w:hint="cs"/>
                <w:b/>
                <w:bCs/>
                <w:sz w:val="40"/>
                <w:szCs w:val="40"/>
                <w:cs/>
              </w:rPr>
              <w:t>आई</w:t>
            </w:r>
            <w:r w:rsidRPr="00820811">
              <w:rPr>
                <w:rFonts w:ascii="Calibri Light" w:hAnsi="Calibri Light" w:cs="Arial Unicode MS" w:hint="cs"/>
                <w:b/>
                <w:bCs/>
                <w:sz w:val="40"/>
                <w:szCs w:val="40"/>
                <w:cs/>
              </w:rPr>
              <w:t>.</w:t>
            </w:r>
            <w:r w:rsidRPr="00820811">
              <w:rPr>
                <w:rFonts w:ascii="Mangal" w:hAnsi="Mangal" w:cs="Mangal" w:hint="cs"/>
                <w:b/>
                <w:bCs/>
                <w:sz w:val="40"/>
                <w:szCs w:val="40"/>
                <w:cs/>
              </w:rPr>
              <w:t>टी</w:t>
            </w:r>
            <w:r w:rsidRPr="00820811">
              <w:rPr>
                <w:rFonts w:ascii="Calibri Light" w:hAnsi="Calibri Light" w:cs="Arial Unicode MS" w:hint="cs"/>
                <w:b/>
                <w:bCs/>
                <w:sz w:val="40"/>
                <w:szCs w:val="40"/>
                <w:cs/>
              </w:rPr>
              <w:t>.</w:t>
            </w:r>
            <w:r w:rsidRPr="00820811">
              <w:rPr>
                <w:rFonts w:ascii="Mangal" w:hAnsi="Mangal" w:cs="Mangal" w:hint="cs"/>
                <w:b/>
                <w:bCs/>
                <w:sz w:val="40"/>
                <w:szCs w:val="40"/>
                <w:cs/>
              </w:rPr>
              <w:t>ए</w:t>
            </w:r>
            <w:r w:rsidRPr="00820811">
              <w:rPr>
                <w:rFonts w:ascii="Calibri Light" w:hAnsi="Calibri Light" w:cs="Arial Unicode MS" w:hint="cs"/>
                <w:b/>
                <w:bCs/>
                <w:sz w:val="40"/>
                <w:szCs w:val="40"/>
                <w:cs/>
              </w:rPr>
              <w:t>.</w:t>
            </w:r>
            <w:r w:rsidRPr="00820811">
              <w:rPr>
                <w:rFonts w:ascii="Mangal" w:hAnsi="Mangal" w:cs="Mangal" w:hint="cs"/>
                <w:b/>
                <w:bCs/>
                <w:sz w:val="40"/>
                <w:szCs w:val="40"/>
                <w:cs/>
              </w:rPr>
              <w:t>टी</w:t>
            </w:r>
            <w:r w:rsidRPr="00820811">
              <w:rPr>
                <w:rFonts w:ascii="Calibri Light" w:hAnsi="Calibri Light" w:cs="Arial Unicode MS" w:hint="cs"/>
                <w:b/>
                <w:bCs/>
                <w:sz w:val="40"/>
                <w:szCs w:val="40"/>
                <w:cs/>
              </w:rPr>
              <w:t>)</w:t>
            </w:r>
          </w:p>
          <w:p w14:paraId="5F9885B7" w14:textId="77777777" w:rsidR="00820811" w:rsidRPr="00820811" w:rsidRDefault="00820811" w:rsidP="00820811">
            <w:pPr>
              <w:jc w:val="center"/>
              <w:rPr>
                <w:rFonts w:ascii="Calibri Light" w:hAnsi="Calibri Light" w:cs="Mangal"/>
                <w:b/>
                <w:bCs/>
                <w:sz w:val="32"/>
                <w:szCs w:val="32"/>
              </w:rPr>
            </w:pPr>
            <w:r w:rsidRPr="00820811">
              <w:rPr>
                <w:rFonts w:ascii="Calibri Light" w:hAnsi="Calibri Light" w:cs="Mangal"/>
                <w:b/>
                <w:bCs/>
                <w:sz w:val="32"/>
                <w:szCs w:val="32"/>
              </w:rPr>
              <w:t xml:space="preserve">OFFICE OF THE </w:t>
            </w:r>
          </w:p>
          <w:p w14:paraId="794EAF85" w14:textId="77777777" w:rsidR="00820811" w:rsidRPr="00820811" w:rsidRDefault="00820811" w:rsidP="00820811">
            <w:pPr>
              <w:jc w:val="center"/>
              <w:rPr>
                <w:rFonts w:ascii="Calibri Light" w:hAnsi="Calibri Light" w:cs="Mangal"/>
                <w:b/>
                <w:bCs/>
                <w:sz w:val="32"/>
                <w:szCs w:val="32"/>
              </w:rPr>
            </w:pPr>
            <w:r w:rsidRPr="00820811">
              <w:rPr>
                <w:rFonts w:ascii="Calibri Light" w:hAnsi="Calibri Light" w:cs="Mangal"/>
                <w:b/>
                <w:bCs/>
                <w:sz w:val="32"/>
                <w:szCs w:val="32"/>
              </w:rPr>
              <w:t>COMMISSIONER OF INCOME TAX (ITAT)(DR)</w:t>
            </w:r>
          </w:p>
          <w:p w14:paraId="5AB06CB0" w14:textId="77777777" w:rsidR="00820811" w:rsidRPr="00820811" w:rsidRDefault="00820811" w:rsidP="00820811">
            <w:pPr>
              <w:jc w:val="center"/>
              <w:rPr>
                <w:rFonts w:ascii="Calibri Light" w:hAnsi="Calibri Light" w:cs="Mangal"/>
                <w:b/>
                <w:bCs/>
                <w:sz w:val="24"/>
                <w:szCs w:val="24"/>
              </w:rPr>
            </w:pPr>
            <w:r w:rsidRPr="00820811">
              <w:rPr>
                <w:rFonts w:ascii="Calibri Light" w:hAnsi="Calibri Light" w:cs="Mangal"/>
                <w:b/>
                <w:bCs/>
                <w:sz w:val="24"/>
                <w:szCs w:val="24"/>
              </w:rPr>
              <w:t>7</w:t>
            </w:r>
            <w:r w:rsidRPr="00820811">
              <w:rPr>
                <w:rFonts w:ascii="Calibri Light" w:hAnsi="Calibri Light" w:cs="Mangal"/>
                <w:b/>
                <w:bCs/>
                <w:sz w:val="24"/>
                <w:szCs w:val="24"/>
                <w:vertAlign w:val="superscript"/>
              </w:rPr>
              <w:t>th</w:t>
            </w:r>
            <w:r w:rsidRPr="00820811">
              <w:rPr>
                <w:rFonts w:ascii="Calibri Light" w:hAnsi="Calibri Light" w:cs="Mangal"/>
                <w:b/>
                <w:bCs/>
                <w:sz w:val="24"/>
                <w:szCs w:val="24"/>
              </w:rPr>
              <w:t xml:space="preserve"> Floor, ‘A’ Wing, CGO Complex, Seminary Hills, Nagpur – 440006</w:t>
            </w:r>
          </w:p>
        </w:tc>
      </w:tr>
      <w:tr w:rsidR="00820811" w:rsidRPr="00820811" w14:paraId="6A4CFEE6" w14:textId="77777777" w:rsidTr="00C04599">
        <w:tc>
          <w:tcPr>
            <w:tcW w:w="6525" w:type="dxa"/>
            <w:gridSpan w:val="2"/>
            <w:tcBorders>
              <w:right w:val="single" w:sz="4" w:space="0" w:color="auto"/>
            </w:tcBorders>
          </w:tcPr>
          <w:p w14:paraId="54D05191" w14:textId="56A2D8FA" w:rsidR="00820811" w:rsidRPr="00820811" w:rsidRDefault="00820811" w:rsidP="00820811">
            <w:pPr>
              <w:spacing w:line="276" w:lineRule="auto"/>
              <w:jc w:val="both"/>
              <w:rPr>
                <w:rFonts w:ascii="Calibri Light" w:hAnsi="Calibri Light" w:cs="Mangal"/>
                <w:sz w:val="24"/>
              </w:rPr>
            </w:pPr>
            <w:r w:rsidRPr="00820811">
              <w:rPr>
                <w:rFonts w:ascii="Times New Roman" w:hAnsi="Times New Roman" w:cs="Times New Roman"/>
                <w:b/>
                <w:bCs/>
                <w:sz w:val="24"/>
              </w:rPr>
              <w:t>No. CIT(ITAT)/NGP/Bench/FPD/</w:t>
            </w:r>
            <w:r w:rsidR="009D5751">
              <w:rPr>
                <w:rFonts w:ascii="Times New Roman" w:hAnsi="Times New Roman" w:cs="Times New Roman"/>
                <w:b/>
                <w:bCs/>
                <w:sz w:val="24"/>
              </w:rPr>
              <w:t>2025-26</w:t>
            </w:r>
          </w:p>
        </w:tc>
        <w:tc>
          <w:tcPr>
            <w:tcW w:w="3222" w:type="dxa"/>
            <w:tcBorders>
              <w:left w:val="single" w:sz="4" w:space="0" w:color="auto"/>
            </w:tcBorders>
          </w:tcPr>
          <w:p w14:paraId="56D5FCB8" w14:textId="59BDD1D9" w:rsidR="00820811" w:rsidRPr="00820811" w:rsidRDefault="00820811" w:rsidP="00820811">
            <w:pPr>
              <w:spacing w:line="276" w:lineRule="auto"/>
              <w:jc w:val="right"/>
              <w:rPr>
                <w:rFonts w:ascii="Calibri Light" w:hAnsi="Calibri Light" w:cs="Mangal"/>
                <w:sz w:val="24"/>
              </w:rPr>
            </w:pPr>
            <w:r w:rsidRPr="00820811">
              <w:rPr>
                <w:rFonts w:ascii="Times New Roman" w:hAnsi="Times New Roman" w:cs="Times New Roman"/>
                <w:b/>
                <w:bCs/>
                <w:sz w:val="24"/>
              </w:rPr>
              <w:t xml:space="preserve">  Date : </w:t>
            </w:r>
            <w:r w:rsidR="009D5751">
              <w:rPr>
                <w:rFonts w:ascii="Times New Roman" w:hAnsi="Times New Roman" w:cs="Times New Roman"/>
                <w:b/>
                <w:bCs/>
                <w:sz w:val="24"/>
              </w:rPr>
              <w:t>04.06</w:t>
            </w:r>
            <w:r w:rsidRPr="00820811">
              <w:rPr>
                <w:rFonts w:ascii="Times New Roman" w:hAnsi="Times New Roman" w:cs="Times New Roman"/>
                <w:b/>
                <w:bCs/>
                <w:sz w:val="24"/>
              </w:rPr>
              <w:t>.2025</w:t>
            </w:r>
          </w:p>
        </w:tc>
      </w:tr>
    </w:tbl>
    <w:p w14:paraId="26DBB884" w14:textId="77777777" w:rsidR="00820811" w:rsidRPr="00820811" w:rsidRDefault="00820811" w:rsidP="00820811">
      <w:pPr>
        <w:spacing w:after="0" w:line="276" w:lineRule="auto"/>
        <w:jc w:val="right"/>
        <w:rPr>
          <w:rFonts w:ascii="Calibri Light" w:eastAsia="Times New Roman" w:hAnsi="Calibri Light" w:cs="Mangal"/>
          <w:b/>
          <w:bCs/>
          <w:kern w:val="0"/>
          <w:sz w:val="6"/>
          <w:szCs w:val="8"/>
          <w:u w:val="single"/>
          <w:lang w:val="en-US" w:bidi="hi-IN"/>
          <w14:ligatures w14:val="none"/>
        </w:rPr>
      </w:pPr>
    </w:p>
    <w:p w14:paraId="56425633" w14:textId="77777777" w:rsidR="00820811" w:rsidRPr="00820811" w:rsidRDefault="00820811" w:rsidP="00820811">
      <w:pPr>
        <w:spacing w:after="0" w:line="276" w:lineRule="auto"/>
        <w:jc w:val="both"/>
        <w:rPr>
          <w:rFonts w:ascii="Verdana" w:eastAsia="Times New Roman" w:hAnsi="Verdana" w:cs="Times New Roman"/>
          <w:kern w:val="0"/>
          <w:sz w:val="24"/>
          <w:szCs w:val="24"/>
          <w:lang w:val="en-US" w:bidi="hi-IN"/>
          <w14:ligatures w14:val="none"/>
        </w:rPr>
      </w:pPr>
    </w:p>
    <w:p w14:paraId="49F1CFD9" w14:textId="77777777" w:rsidR="00820811" w:rsidRPr="00820811" w:rsidRDefault="00820811" w:rsidP="00820811">
      <w:pPr>
        <w:spacing w:after="0" w:line="276" w:lineRule="auto"/>
        <w:jc w:val="both"/>
        <w:rPr>
          <w:rFonts w:ascii="Verdana" w:eastAsia="Times New Roman" w:hAnsi="Verdana" w:cs="Times New Roman"/>
          <w:kern w:val="0"/>
          <w:sz w:val="24"/>
          <w:szCs w:val="24"/>
          <w:lang w:val="en-US" w:bidi="hi-IN"/>
          <w14:ligatures w14:val="none"/>
        </w:rPr>
      </w:pPr>
      <w:r w:rsidRPr="00820811">
        <w:rPr>
          <w:rFonts w:ascii="Verdana" w:eastAsia="Times New Roman" w:hAnsi="Verdana" w:cs="Times New Roman"/>
          <w:kern w:val="0"/>
          <w:sz w:val="24"/>
          <w:szCs w:val="24"/>
          <w:lang w:val="en-US" w:bidi="hi-IN"/>
          <w14:ligatures w14:val="none"/>
        </w:rPr>
        <w:t>To</w:t>
      </w:r>
    </w:p>
    <w:p w14:paraId="5CBF9232" w14:textId="77777777" w:rsidR="00820811" w:rsidRPr="00820811" w:rsidRDefault="00820811" w:rsidP="00820811">
      <w:pPr>
        <w:spacing w:after="0" w:line="276" w:lineRule="auto"/>
        <w:jc w:val="both"/>
        <w:rPr>
          <w:rFonts w:ascii="Verdana" w:eastAsia="Times New Roman" w:hAnsi="Verdana" w:cs="Times New Roman"/>
          <w:kern w:val="0"/>
          <w:sz w:val="24"/>
          <w:szCs w:val="24"/>
          <w:lang w:val="en-US" w:bidi="hi-IN"/>
          <w14:ligatures w14:val="none"/>
        </w:rPr>
      </w:pPr>
      <w:r w:rsidRPr="00820811">
        <w:rPr>
          <w:rFonts w:ascii="Verdana" w:eastAsia="Times New Roman" w:hAnsi="Verdana" w:cs="Times New Roman"/>
          <w:kern w:val="0"/>
          <w:sz w:val="24"/>
          <w:szCs w:val="24"/>
          <w:lang w:val="en-US" w:bidi="hi-IN"/>
          <w14:ligatures w14:val="none"/>
        </w:rPr>
        <w:t>The Income Tax Officer,</w:t>
      </w:r>
    </w:p>
    <w:p w14:paraId="3C586440" w14:textId="77777777" w:rsidR="00820811" w:rsidRPr="00820811" w:rsidRDefault="00820811" w:rsidP="00820811">
      <w:pPr>
        <w:spacing w:after="0" w:line="276" w:lineRule="auto"/>
        <w:jc w:val="both"/>
        <w:rPr>
          <w:rFonts w:ascii="Verdana" w:eastAsia="Times New Roman" w:hAnsi="Verdana" w:cs="Times New Roman"/>
          <w:kern w:val="0"/>
          <w:sz w:val="24"/>
          <w:szCs w:val="24"/>
          <w:lang w:val="en-US" w:bidi="hi-IN"/>
          <w14:ligatures w14:val="none"/>
        </w:rPr>
      </w:pPr>
      <w:r w:rsidRPr="00820811">
        <w:rPr>
          <w:rFonts w:ascii="Verdana" w:eastAsia="Times New Roman" w:hAnsi="Verdana" w:cs="Times New Roman"/>
          <w:kern w:val="0"/>
          <w:sz w:val="24"/>
          <w:szCs w:val="24"/>
          <w:lang w:val="en-US" w:bidi="hi-IN"/>
          <w14:ligatures w14:val="none"/>
        </w:rPr>
        <w:t>Ward – 3 (1), Nagpur.</w:t>
      </w:r>
    </w:p>
    <w:p w14:paraId="260ACE28" w14:textId="77777777" w:rsidR="00820811" w:rsidRPr="00820811" w:rsidRDefault="00820811" w:rsidP="00820811">
      <w:pPr>
        <w:spacing w:after="0" w:line="276" w:lineRule="auto"/>
        <w:jc w:val="both"/>
        <w:rPr>
          <w:rFonts w:ascii="Verdana" w:eastAsia="Times New Roman" w:hAnsi="Verdana" w:cs="Times New Roman"/>
          <w:kern w:val="0"/>
          <w:sz w:val="4"/>
          <w:szCs w:val="4"/>
          <w:lang w:val="en-US" w:bidi="hi-IN"/>
          <w14:ligatures w14:val="none"/>
        </w:rPr>
      </w:pPr>
    </w:p>
    <w:p w14:paraId="0793A562" w14:textId="77777777" w:rsidR="00820811" w:rsidRPr="00820811" w:rsidRDefault="00820811" w:rsidP="00820811">
      <w:pPr>
        <w:spacing w:after="0" w:line="276" w:lineRule="auto"/>
        <w:jc w:val="both"/>
        <w:rPr>
          <w:rFonts w:ascii="Verdana" w:eastAsia="Times New Roman" w:hAnsi="Verdana" w:cs="Times New Roman"/>
          <w:kern w:val="0"/>
          <w:sz w:val="24"/>
          <w:szCs w:val="24"/>
          <w:lang w:val="en-US" w:bidi="hi-IN"/>
          <w14:ligatures w14:val="none"/>
        </w:rPr>
      </w:pPr>
    </w:p>
    <w:p w14:paraId="463C53B4" w14:textId="77777777" w:rsidR="00820811" w:rsidRPr="00820811" w:rsidRDefault="00820811" w:rsidP="00820811">
      <w:pPr>
        <w:spacing w:after="0" w:line="276" w:lineRule="auto"/>
        <w:jc w:val="both"/>
        <w:rPr>
          <w:rFonts w:ascii="Verdana" w:eastAsia="Times New Roman" w:hAnsi="Verdana" w:cs="Times New Roman"/>
          <w:kern w:val="0"/>
          <w:sz w:val="24"/>
          <w:szCs w:val="24"/>
          <w:lang w:val="en-US" w:bidi="hi-IN"/>
          <w14:ligatures w14:val="none"/>
        </w:rPr>
      </w:pPr>
    </w:p>
    <w:p w14:paraId="1363F596" w14:textId="77777777" w:rsidR="00820811" w:rsidRPr="00820811" w:rsidRDefault="00820811" w:rsidP="00820811">
      <w:pPr>
        <w:spacing w:after="0" w:line="360" w:lineRule="auto"/>
        <w:ind w:left="2235" w:hanging="795"/>
        <w:jc w:val="both"/>
        <w:rPr>
          <w:rFonts w:ascii="Verdana" w:eastAsia="Times New Roman" w:hAnsi="Verdana" w:cs="Times New Roman"/>
          <w:kern w:val="0"/>
          <w:sz w:val="24"/>
          <w:szCs w:val="24"/>
          <w:lang w:val="en-US"/>
          <w14:ligatures w14:val="none"/>
        </w:rPr>
      </w:pPr>
      <w:r w:rsidRPr="00820811">
        <w:rPr>
          <w:rFonts w:ascii="Verdana" w:eastAsia="Times New Roman" w:hAnsi="Verdana" w:cs="Times New Roman"/>
          <w:kern w:val="0"/>
          <w:sz w:val="24"/>
          <w:szCs w:val="24"/>
          <w:lang w:val="en-US"/>
          <w14:ligatures w14:val="none"/>
        </w:rPr>
        <w:t>Sub: Seeking Clarification of the</w:t>
      </w:r>
      <w:r w:rsidR="003B44AE">
        <w:rPr>
          <w:rFonts w:ascii="Verdana" w:eastAsia="Times New Roman" w:hAnsi="Verdana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820811">
        <w:rPr>
          <w:rFonts w:ascii="Verdana" w:eastAsia="Times New Roman" w:hAnsi="Verdana" w:cs="Times New Roman"/>
          <w:kern w:val="0"/>
          <w:sz w:val="24"/>
          <w:szCs w:val="24"/>
          <w:lang w:val="en-US"/>
          <w14:ligatures w14:val="none"/>
        </w:rPr>
        <w:t xml:space="preserve">Assessing Officer in respect of the additional ground raised by the assessee in the case of </w:t>
      </w:r>
      <w:proofErr w:type="spellStart"/>
      <w:r w:rsidRPr="00820811">
        <w:rPr>
          <w:rFonts w:ascii="Verdana" w:eastAsia="Times New Roman" w:hAnsi="Verdana" w:cs="Times New Roman"/>
          <w:kern w:val="0"/>
          <w:sz w:val="24"/>
          <w:szCs w:val="24"/>
          <w:lang w:val="en-US"/>
          <w14:ligatures w14:val="none"/>
        </w:rPr>
        <w:t>Fattesing</w:t>
      </w:r>
      <w:proofErr w:type="spellEnd"/>
      <w:r w:rsidRPr="00820811">
        <w:rPr>
          <w:rFonts w:ascii="Verdana" w:eastAsia="Times New Roman" w:hAnsi="Verdana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20811">
        <w:rPr>
          <w:rFonts w:ascii="Verdana" w:eastAsia="Times New Roman" w:hAnsi="Verdana" w:cs="Times New Roman"/>
          <w:kern w:val="0"/>
          <w:sz w:val="24"/>
          <w:szCs w:val="24"/>
          <w:lang w:val="en-US"/>
          <w14:ligatures w14:val="none"/>
        </w:rPr>
        <w:t>Punaji</w:t>
      </w:r>
      <w:proofErr w:type="spellEnd"/>
      <w:r w:rsidRPr="00820811">
        <w:rPr>
          <w:rFonts w:ascii="Verdana" w:eastAsia="Times New Roman" w:hAnsi="Verdana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20811">
        <w:rPr>
          <w:rFonts w:ascii="Verdana" w:eastAsia="Times New Roman" w:hAnsi="Verdana" w:cs="Times New Roman"/>
          <w:kern w:val="0"/>
          <w:sz w:val="24"/>
          <w:szCs w:val="24"/>
          <w:lang w:val="en-US"/>
          <w14:ligatures w14:val="none"/>
        </w:rPr>
        <w:t>Dhabre</w:t>
      </w:r>
      <w:proofErr w:type="spellEnd"/>
      <w:r w:rsidRPr="00820811">
        <w:rPr>
          <w:rFonts w:ascii="Verdana" w:eastAsia="Times New Roman" w:hAnsi="Verdana" w:cs="Times New Roman"/>
          <w:kern w:val="0"/>
          <w:sz w:val="24"/>
          <w:szCs w:val="24"/>
          <w:lang w:val="en-US"/>
          <w14:ligatures w14:val="none"/>
        </w:rPr>
        <w:t xml:space="preserve">, ITA 368/NAG/2022. </w:t>
      </w:r>
    </w:p>
    <w:p w14:paraId="7CD1431F" w14:textId="77777777" w:rsidR="00820811" w:rsidRPr="00820811" w:rsidRDefault="00820811" w:rsidP="00820811">
      <w:pPr>
        <w:spacing w:after="0" w:line="360" w:lineRule="auto"/>
        <w:ind w:left="2235" w:hanging="795"/>
        <w:jc w:val="both"/>
        <w:rPr>
          <w:rFonts w:ascii="Verdana" w:eastAsia="Times New Roman" w:hAnsi="Verdana" w:cs="Times New Roman"/>
          <w:kern w:val="0"/>
          <w:sz w:val="24"/>
          <w:szCs w:val="24"/>
          <w:lang w:val="en-US"/>
          <w14:ligatures w14:val="none"/>
        </w:rPr>
      </w:pPr>
      <w:r w:rsidRPr="00820811">
        <w:rPr>
          <w:rFonts w:ascii="Verdana" w:eastAsia="Times New Roman" w:hAnsi="Verdana" w:cs="Times New Roman"/>
          <w:kern w:val="0"/>
          <w:sz w:val="24"/>
          <w:szCs w:val="24"/>
          <w:lang w:val="en-US"/>
          <w14:ligatures w14:val="none"/>
        </w:rPr>
        <w:t>Ref: F. No. ITO-Wd-3(1)/ITAT/FPD/2024-25 dated 10.03.2025</w:t>
      </w:r>
    </w:p>
    <w:p w14:paraId="0308EEFB" w14:textId="77777777" w:rsidR="00820811" w:rsidRPr="00820811" w:rsidRDefault="00820811" w:rsidP="00820811">
      <w:pPr>
        <w:spacing w:after="0" w:line="240" w:lineRule="auto"/>
        <w:ind w:left="1440" w:hanging="510"/>
        <w:jc w:val="center"/>
        <w:rPr>
          <w:rFonts w:ascii="Verdana" w:eastAsia="Times New Roman" w:hAnsi="Verdana" w:cs="Times New Roman"/>
          <w:kern w:val="0"/>
          <w:sz w:val="24"/>
          <w:szCs w:val="24"/>
          <w:lang w:val="en-US"/>
          <w14:ligatures w14:val="none"/>
        </w:rPr>
      </w:pPr>
      <w:r w:rsidRPr="00820811">
        <w:rPr>
          <w:rFonts w:ascii="Verdana" w:eastAsia="Times New Roman" w:hAnsi="Verdana" w:cs="Times New Roman"/>
          <w:kern w:val="0"/>
          <w:sz w:val="24"/>
          <w:szCs w:val="24"/>
          <w:lang w:val="en-US"/>
          <w14:ligatures w14:val="none"/>
        </w:rPr>
        <w:t>******</w:t>
      </w:r>
    </w:p>
    <w:p w14:paraId="08C4CA42" w14:textId="77777777" w:rsidR="00820811" w:rsidRPr="00820811" w:rsidRDefault="00820811" w:rsidP="00820811">
      <w:pPr>
        <w:spacing w:after="0" w:line="240" w:lineRule="auto"/>
        <w:jc w:val="both"/>
        <w:rPr>
          <w:rFonts w:ascii="Verdana" w:eastAsia="Times New Roman" w:hAnsi="Verdana" w:cs="Mangal"/>
          <w:kern w:val="0"/>
          <w:szCs w:val="21"/>
          <w:lang w:val="en-US" w:bidi="hi-IN"/>
          <w14:ligatures w14:val="none"/>
        </w:rPr>
      </w:pPr>
      <w:r w:rsidRPr="00820811">
        <w:rPr>
          <w:rFonts w:ascii="Verdana" w:eastAsia="Times New Roman" w:hAnsi="Verdana" w:cs="Times New Roman"/>
          <w:kern w:val="0"/>
          <w:sz w:val="24"/>
          <w:szCs w:val="24"/>
          <w:lang w:val="en-US" w:bidi="hi-IN"/>
          <w14:ligatures w14:val="none"/>
        </w:rPr>
        <w:tab/>
        <w:t xml:space="preserve"> </w:t>
      </w:r>
      <w:r w:rsidRPr="00820811">
        <w:rPr>
          <w:rFonts w:ascii="Verdana" w:eastAsia="Times New Roman" w:hAnsi="Verdana" w:cs="Mangal"/>
          <w:kern w:val="0"/>
          <w:szCs w:val="21"/>
          <w:lang w:val="en-US" w:bidi="hi-IN"/>
          <w14:ligatures w14:val="none"/>
        </w:rPr>
        <w:t xml:space="preserve">                                                                                     </w:t>
      </w:r>
    </w:p>
    <w:p w14:paraId="00900CDE" w14:textId="77777777" w:rsidR="00820811" w:rsidRPr="00820811" w:rsidRDefault="00820811" w:rsidP="00820811">
      <w:pPr>
        <w:spacing w:after="0" w:line="240" w:lineRule="auto"/>
        <w:jc w:val="both"/>
        <w:rPr>
          <w:rFonts w:ascii="Verdana" w:eastAsia="Times New Roman" w:hAnsi="Verdana" w:cs="Mangal"/>
          <w:kern w:val="0"/>
          <w:szCs w:val="21"/>
          <w:lang w:val="en-US" w:bidi="hi-IN"/>
          <w14:ligatures w14:val="none"/>
        </w:rPr>
      </w:pPr>
      <w:r w:rsidRPr="00820811">
        <w:rPr>
          <w:rFonts w:ascii="Verdana" w:eastAsia="Times New Roman" w:hAnsi="Verdana" w:cs="Mangal"/>
          <w:kern w:val="0"/>
          <w:szCs w:val="21"/>
          <w:lang w:val="en-US" w:bidi="hi-IN"/>
          <w14:ligatures w14:val="none"/>
        </w:rPr>
        <w:tab/>
        <w:t>Please refer to the above.</w:t>
      </w:r>
    </w:p>
    <w:p w14:paraId="314A3E50" w14:textId="77777777" w:rsidR="00820811" w:rsidRPr="00820811" w:rsidRDefault="00820811" w:rsidP="00820811">
      <w:pPr>
        <w:spacing w:after="0" w:line="240" w:lineRule="auto"/>
        <w:jc w:val="both"/>
        <w:rPr>
          <w:rFonts w:ascii="Verdana" w:eastAsia="Times New Roman" w:hAnsi="Verdana" w:cs="Mangal"/>
          <w:kern w:val="0"/>
          <w:szCs w:val="21"/>
          <w:lang w:val="en-US" w:bidi="hi-IN"/>
          <w14:ligatures w14:val="none"/>
        </w:rPr>
      </w:pPr>
    </w:p>
    <w:p w14:paraId="08454AF4" w14:textId="77777777" w:rsidR="00820811" w:rsidRPr="00820811" w:rsidRDefault="00820811" w:rsidP="00820811">
      <w:pPr>
        <w:spacing w:after="0" w:line="240" w:lineRule="auto"/>
        <w:jc w:val="both"/>
        <w:rPr>
          <w:rFonts w:ascii="Verdana" w:eastAsia="Times New Roman" w:hAnsi="Verdana" w:cs="Mangal"/>
          <w:kern w:val="0"/>
          <w:szCs w:val="21"/>
          <w:lang w:val="en-US" w:bidi="hi-IN"/>
          <w14:ligatures w14:val="none"/>
        </w:rPr>
      </w:pPr>
    </w:p>
    <w:p w14:paraId="1D343CF1" w14:textId="1559DAD4" w:rsidR="00820811" w:rsidRDefault="00820811" w:rsidP="00820811">
      <w:pPr>
        <w:spacing w:after="0" w:line="360" w:lineRule="auto"/>
        <w:jc w:val="both"/>
        <w:rPr>
          <w:rFonts w:ascii="Verdana" w:eastAsia="Times New Roman" w:hAnsi="Verdana" w:cs="Mangal"/>
          <w:kern w:val="0"/>
          <w:szCs w:val="20"/>
          <w:lang w:val="en-US" w:bidi="hi-IN"/>
          <w14:ligatures w14:val="none"/>
        </w:rPr>
      </w:pPr>
      <w:r w:rsidRPr="00820811">
        <w:rPr>
          <w:rFonts w:ascii="Verdana" w:eastAsia="Times New Roman" w:hAnsi="Verdana" w:cs="Mangal"/>
          <w:kern w:val="0"/>
          <w:szCs w:val="21"/>
          <w:lang w:val="en-US" w:bidi="hi-IN"/>
          <w14:ligatures w14:val="none"/>
        </w:rPr>
        <w:t>2.</w:t>
      </w:r>
      <w:r w:rsidRPr="00820811">
        <w:rPr>
          <w:rFonts w:ascii="Verdana" w:eastAsia="Times New Roman" w:hAnsi="Verdana" w:cs="Mangal"/>
          <w:kern w:val="0"/>
          <w:szCs w:val="21"/>
          <w:lang w:val="en-US" w:bidi="hi-IN"/>
          <w14:ligatures w14:val="none"/>
        </w:rPr>
        <w:tab/>
        <w:t xml:space="preserve">Vide the above referred letter it is stated that since the appeals ITA No. 81 &amp; 82/NAG/2023 </w:t>
      </w:r>
      <w:r w:rsidRPr="00820811">
        <w:rPr>
          <w:rFonts w:ascii="Verdana" w:eastAsia="Times New Roman" w:hAnsi="Verdana" w:cs="Mangal"/>
          <w:kern w:val="0"/>
          <w:szCs w:val="20"/>
          <w:lang w:val="en-US" w:bidi="hi-IN"/>
          <w14:ligatures w14:val="none"/>
        </w:rPr>
        <w:t xml:space="preserve">(erroneously mentioned as </w:t>
      </w:r>
      <w:r w:rsidRPr="00820811">
        <w:rPr>
          <w:rFonts w:ascii="Verdana" w:eastAsia="Times New Roman" w:hAnsi="Verdana" w:cs="Mangal"/>
          <w:kern w:val="0"/>
          <w:szCs w:val="21"/>
          <w:lang w:val="en-US" w:bidi="hi-IN"/>
          <w14:ligatures w14:val="none"/>
        </w:rPr>
        <w:t>ITA No. 81 &amp; 82/NAG/2024 in the above referred letter)</w:t>
      </w:r>
      <w:r w:rsidRPr="00820811">
        <w:rPr>
          <w:rFonts w:ascii="Verdana" w:eastAsia="Times New Roman" w:hAnsi="Verdana" w:cs="Mangal"/>
          <w:kern w:val="0"/>
          <w:szCs w:val="20"/>
          <w:lang w:val="en-US" w:bidi="hi-IN"/>
          <w14:ligatures w14:val="none"/>
        </w:rPr>
        <w:t xml:space="preserve"> </w:t>
      </w:r>
      <w:r w:rsidRPr="00820811">
        <w:rPr>
          <w:rFonts w:ascii="Verdana" w:eastAsia="Times New Roman" w:hAnsi="Verdana" w:cs="Mangal"/>
          <w:kern w:val="0"/>
          <w:szCs w:val="21"/>
          <w:lang w:val="en-US" w:bidi="hi-IN"/>
          <w14:ligatures w14:val="none"/>
        </w:rPr>
        <w:t>vide order dated 19.04.2024 have been set aside to NFAC, it was not clear on which the inputs have been sought.</w:t>
      </w:r>
      <w:r w:rsidR="009D5751">
        <w:rPr>
          <w:rFonts w:ascii="Verdana" w:eastAsia="Times New Roman" w:hAnsi="Verdana" w:cs="Mangal"/>
          <w:kern w:val="0"/>
          <w:szCs w:val="21"/>
          <w:lang w:val="en-US" w:bidi="hi-IN"/>
          <w14:ligatures w14:val="none"/>
        </w:rPr>
        <w:t xml:space="preserve"> In regards to this</w:t>
      </w:r>
      <w:r w:rsidR="00346343">
        <w:rPr>
          <w:rFonts w:ascii="Verdana" w:eastAsia="Times New Roman" w:hAnsi="Verdana" w:cs="Mangal"/>
          <w:kern w:val="0"/>
          <w:szCs w:val="21"/>
          <w:lang w:val="en-US" w:bidi="hi-IN"/>
          <w14:ligatures w14:val="none"/>
        </w:rPr>
        <w:t>, this is to inform that</w:t>
      </w:r>
      <w:r w:rsidRPr="00820811">
        <w:rPr>
          <w:rFonts w:ascii="Verdana" w:eastAsia="Times New Roman" w:hAnsi="Verdana" w:cs="Mangal"/>
          <w:kern w:val="0"/>
          <w:szCs w:val="20"/>
          <w:lang w:val="en-US" w:bidi="hi-IN"/>
          <w14:ligatures w14:val="none"/>
        </w:rPr>
        <w:t xml:space="preserve"> the clarification has been sought in the assessee’s case in ITA No. 368/NAG/2024 wherein assessee challenged the revision order u/s 263 passed by the PCIT.</w:t>
      </w:r>
    </w:p>
    <w:p w14:paraId="73CC1636" w14:textId="77777777" w:rsidR="009D5751" w:rsidRDefault="009D5751" w:rsidP="00820811">
      <w:pPr>
        <w:spacing w:after="0" w:line="360" w:lineRule="auto"/>
        <w:jc w:val="both"/>
        <w:rPr>
          <w:rFonts w:ascii="Verdana" w:eastAsia="Times New Roman" w:hAnsi="Verdana" w:cs="Mangal"/>
          <w:kern w:val="0"/>
          <w:szCs w:val="20"/>
          <w:lang w:val="en-US" w:bidi="hi-IN"/>
          <w14:ligatures w14:val="none"/>
        </w:rPr>
      </w:pPr>
    </w:p>
    <w:p w14:paraId="11B5ADE7" w14:textId="3786789E" w:rsidR="009D5751" w:rsidRDefault="009D5751" w:rsidP="00820811">
      <w:pPr>
        <w:spacing w:after="0" w:line="360" w:lineRule="auto"/>
        <w:jc w:val="both"/>
        <w:rPr>
          <w:rFonts w:ascii="Verdana" w:eastAsia="Times New Roman" w:hAnsi="Verdana" w:cs="Mangal"/>
          <w:kern w:val="0"/>
          <w:szCs w:val="20"/>
          <w:lang w:val="en-US" w:bidi="hi-IN"/>
          <w14:ligatures w14:val="none"/>
        </w:rPr>
      </w:pPr>
      <w:r>
        <w:rPr>
          <w:rFonts w:ascii="Verdana" w:eastAsia="Times New Roman" w:hAnsi="Verdana" w:cs="Mangal"/>
          <w:kern w:val="0"/>
          <w:szCs w:val="20"/>
          <w:lang w:val="en-US" w:bidi="hi-IN"/>
          <w14:ligatures w14:val="none"/>
        </w:rPr>
        <w:t>3</w:t>
      </w:r>
      <w:r w:rsidRPr="009D5751">
        <w:rPr>
          <w:rFonts w:ascii="Verdana" w:eastAsia="Times New Roman" w:hAnsi="Verdana" w:cs="Mangal"/>
          <w:kern w:val="0"/>
          <w:szCs w:val="20"/>
          <w:lang w:val="en-US" w:bidi="hi-IN"/>
          <w14:ligatures w14:val="none"/>
        </w:rPr>
        <w:t>.</w:t>
      </w:r>
      <w:r>
        <w:rPr>
          <w:rFonts w:ascii="Verdana" w:eastAsia="Times New Roman" w:hAnsi="Verdana" w:cs="Mangal"/>
          <w:kern w:val="0"/>
          <w:szCs w:val="20"/>
          <w:lang w:val="en-US" w:bidi="hi-IN"/>
          <w14:ligatures w14:val="none"/>
        </w:rPr>
        <w:tab/>
      </w:r>
      <w:r w:rsidRPr="009D5751">
        <w:rPr>
          <w:rFonts w:ascii="Verdana" w:eastAsia="Times New Roman" w:hAnsi="Verdana" w:cs="Mangal"/>
          <w:kern w:val="0"/>
          <w:szCs w:val="20"/>
          <w:lang w:val="en-US" w:bidi="hi-IN"/>
          <w14:ligatures w14:val="none"/>
        </w:rPr>
        <w:t xml:space="preserve">In the above mentioned case, assessment order was passed u/s 143(3) </w:t>
      </w:r>
      <w:proofErr w:type="spellStart"/>
      <w:r w:rsidRPr="009D5751">
        <w:rPr>
          <w:rFonts w:ascii="Verdana" w:eastAsia="Times New Roman" w:hAnsi="Verdana" w:cs="Mangal"/>
          <w:kern w:val="0"/>
          <w:szCs w:val="20"/>
          <w:lang w:val="en-US" w:bidi="hi-IN"/>
          <w14:ligatures w14:val="none"/>
        </w:rPr>
        <w:t>r.w.s</w:t>
      </w:r>
      <w:proofErr w:type="spellEnd"/>
      <w:r w:rsidRPr="009D5751">
        <w:rPr>
          <w:rFonts w:ascii="Verdana" w:eastAsia="Times New Roman" w:hAnsi="Verdana" w:cs="Mangal"/>
          <w:kern w:val="0"/>
          <w:szCs w:val="20"/>
          <w:lang w:val="en-US" w:bidi="hi-IN"/>
          <w14:ligatures w14:val="none"/>
        </w:rPr>
        <w:t>. 147 on 21-12-2018, based on information that assessee entered into transaction amounting to Rs 70 lakh for sale of immoveable property and deposited cash of Rs 6 lakh during F.Y. 2010-11, But assessee did not file ROI for A.Y. 2011-12.</w:t>
      </w:r>
    </w:p>
    <w:p w14:paraId="5AA3D872" w14:textId="77777777" w:rsidR="009D5751" w:rsidRDefault="009D5751" w:rsidP="00820811">
      <w:pPr>
        <w:spacing w:after="0" w:line="360" w:lineRule="auto"/>
        <w:jc w:val="both"/>
        <w:rPr>
          <w:rFonts w:ascii="Verdana" w:eastAsia="Times New Roman" w:hAnsi="Verdana" w:cs="Mangal"/>
          <w:kern w:val="0"/>
          <w:szCs w:val="20"/>
          <w:lang w:val="en-US" w:bidi="hi-IN"/>
          <w14:ligatures w14:val="none"/>
        </w:rPr>
      </w:pPr>
    </w:p>
    <w:p w14:paraId="106138F0" w14:textId="509EF84C" w:rsidR="009D5751" w:rsidRPr="009D5751" w:rsidRDefault="009D5751" w:rsidP="009D5751">
      <w:pPr>
        <w:spacing w:after="0" w:line="360" w:lineRule="auto"/>
        <w:jc w:val="both"/>
        <w:rPr>
          <w:rFonts w:ascii="Verdana" w:eastAsia="Times New Roman" w:hAnsi="Verdana" w:cs="Mangal"/>
          <w:kern w:val="0"/>
          <w:szCs w:val="20"/>
          <w:lang w:val="en-US" w:bidi="hi-IN"/>
          <w14:ligatures w14:val="none"/>
        </w:rPr>
      </w:pPr>
      <w:r>
        <w:rPr>
          <w:rFonts w:ascii="Verdana" w:eastAsia="Times New Roman" w:hAnsi="Verdana" w:cs="Mangal"/>
          <w:kern w:val="0"/>
          <w:szCs w:val="20"/>
          <w:lang w:val="en-US" w:bidi="hi-IN"/>
          <w14:ligatures w14:val="none"/>
        </w:rPr>
        <w:t>4</w:t>
      </w:r>
      <w:r w:rsidRPr="009D5751">
        <w:rPr>
          <w:rFonts w:ascii="Verdana" w:eastAsia="Times New Roman" w:hAnsi="Verdana" w:cs="Mangal"/>
          <w:kern w:val="0"/>
          <w:szCs w:val="20"/>
          <w:lang w:val="en-US" w:bidi="hi-IN"/>
          <w14:ligatures w14:val="none"/>
        </w:rPr>
        <w:t>.</w:t>
      </w:r>
      <w:r>
        <w:rPr>
          <w:rFonts w:ascii="Verdana" w:eastAsia="Times New Roman" w:hAnsi="Verdana" w:cs="Mangal"/>
          <w:kern w:val="0"/>
          <w:szCs w:val="20"/>
          <w:lang w:val="en-US" w:bidi="hi-IN"/>
          <w14:ligatures w14:val="none"/>
        </w:rPr>
        <w:tab/>
      </w:r>
      <w:r w:rsidRPr="009D5751">
        <w:rPr>
          <w:rFonts w:ascii="Verdana" w:eastAsia="Times New Roman" w:hAnsi="Verdana" w:cs="Mangal"/>
          <w:kern w:val="0"/>
          <w:szCs w:val="20"/>
          <w:lang w:val="en-US" w:bidi="hi-IN"/>
          <w14:ligatures w14:val="none"/>
        </w:rPr>
        <w:t>Later, PCIT vide its order u/s 263 dated 30/03/2021 held the order of AO to be erroneous and set aside the Assessment order, against which the assessee instituted appeal before Hon'ble ITAT challenging order passed u/s 263.</w:t>
      </w:r>
    </w:p>
    <w:p w14:paraId="20555E94" w14:textId="77777777" w:rsidR="009D5751" w:rsidRPr="009D5751" w:rsidRDefault="009D5751" w:rsidP="009D5751">
      <w:pPr>
        <w:spacing w:after="0" w:line="360" w:lineRule="auto"/>
        <w:jc w:val="both"/>
        <w:rPr>
          <w:rFonts w:ascii="Verdana" w:eastAsia="Times New Roman" w:hAnsi="Verdana" w:cs="Mangal"/>
          <w:kern w:val="0"/>
          <w:szCs w:val="20"/>
          <w:lang w:val="en-US" w:bidi="hi-IN"/>
          <w14:ligatures w14:val="none"/>
        </w:rPr>
      </w:pPr>
    </w:p>
    <w:p w14:paraId="061A12A2" w14:textId="29E55D56" w:rsidR="009D5751" w:rsidRPr="009D5751" w:rsidRDefault="009D5751" w:rsidP="009D5751">
      <w:pPr>
        <w:spacing w:after="0" w:line="360" w:lineRule="auto"/>
        <w:jc w:val="both"/>
        <w:rPr>
          <w:rFonts w:ascii="Verdana" w:eastAsia="Times New Roman" w:hAnsi="Verdana" w:cs="Mangal"/>
          <w:kern w:val="0"/>
          <w:szCs w:val="20"/>
          <w:lang w:val="en-US" w:bidi="hi-IN"/>
          <w14:ligatures w14:val="none"/>
        </w:rPr>
      </w:pPr>
      <w:r>
        <w:rPr>
          <w:rFonts w:ascii="Verdana" w:eastAsia="Times New Roman" w:hAnsi="Verdana" w:cs="Mangal"/>
          <w:kern w:val="0"/>
          <w:szCs w:val="20"/>
          <w:lang w:val="en-US" w:bidi="hi-IN"/>
          <w14:ligatures w14:val="none"/>
        </w:rPr>
        <w:lastRenderedPageBreak/>
        <w:t>5</w:t>
      </w:r>
      <w:r w:rsidRPr="009D5751">
        <w:rPr>
          <w:rFonts w:ascii="Verdana" w:eastAsia="Times New Roman" w:hAnsi="Verdana" w:cs="Mangal"/>
          <w:kern w:val="0"/>
          <w:szCs w:val="20"/>
          <w:lang w:val="en-US" w:bidi="hi-IN"/>
          <w14:ligatures w14:val="none"/>
        </w:rPr>
        <w:t>.</w:t>
      </w:r>
      <w:r>
        <w:rPr>
          <w:rFonts w:ascii="Verdana" w:eastAsia="Times New Roman" w:hAnsi="Verdana" w:cs="Mangal"/>
          <w:kern w:val="0"/>
          <w:szCs w:val="20"/>
          <w:lang w:val="en-US" w:bidi="hi-IN"/>
          <w14:ligatures w14:val="none"/>
        </w:rPr>
        <w:tab/>
      </w:r>
      <w:r w:rsidRPr="009D5751">
        <w:rPr>
          <w:rFonts w:ascii="Verdana" w:eastAsia="Times New Roman" w:hAnsi="Verdana" w:cs="Mangal"/>
          <w:kern w:val="0"/>
          <w:szCs w:val="20"/>
          <w:lang w:val="en-US" w:bidi="hi-IN"/>
          <w14:ligatures w14:val="none"/>
        </w:rPr>
        <w:t>During the appellate proceedings before Hon'ble ITAT, the assessee vide his letter dated 26/08/2024, has raised Additional Grounds. The copy of the same is attached herewith.</w:t>
      </w:r>
    </w:p>
    <w:p w14:paraId="3149938A" w14:textId="77777777" w:rsidR="009D5751" w:rsidRPr="009D5751" w:rsidRDefault="009D5751" w:rsidP="009D5751">
      <w:pPr>
        <w:spacing w:after="0" w:line="360" w:lineRule="auto"/>
        <w:jc w:val="both"/>
        <w:rPr>
          <w:rFonts w:ascii="Verdana" w:eastAsia="Times New Roman" w:hAnsi="Verdana" w:cs="Mangal"/>
          <w:kern w:val="0"/>
          <w:szCs w:val="20"/>
          <w:lang w:val="en-US" w:bidi="hi-IN"/>
          <w14:ligatures w14:val="none"/>
        </w:rPr>
      </w:pPr>
    </w:p>
    <w:p w14:paraId="32169D0F" w14:textId="15BBC674" w:rsidR="009D5751" w:rsidRPr="00820811" w:rsidRDefault="009D5751" w:rsidP="009D5751">
      <w:pPr>
        <w:spacing w:after="0" w:line="360" w:lineRule="auto"/>
        <w:jc w:val="both"/>
        <w:rPr>
          <w:rFonts w:ascii="Verdana" w:eastAsia="Times New Roman" w:hAnsi="Verdana" w:cs="Mangal"/>
          <w:kern w:val="0"/>
          <w:szCs w:val="20"/>
          <w:lang w:val="en-US" w:bidi="hi-IN"/>
          <w14:ligatures w14:val="none"/>
        </w:rPr>
      </w:pPr>
      <w:r>
        <w:rPr>
          <w:rFonts w:ascii="Verdana" w:eastAsia="Times New Roman" w:hAnsi="Verdana" w:cs="Mangal"/>
          <w:kern w:val="0"/>
          <w:szCs w:val="20"/>
          <w:lang w:val="en-US" w:bidi="hi-IN"/>
          <w14:ligatures w14:val="none"/>
        </w:rPr>
        <w:t>6</w:t>
      </w:r>
      <w:r w:rsidRPr="009D5751">
        <w:rPr>
          <w:rFonts w:ascii="Verdana" w:eastAsia="Times New Roman" w:hAnsi="Verdana" w:cs="Mangal"/>
          <w:kern w:val="0"/>
          <w:szCs w:val="20"/>
          <w:lang w:val="en-US" w:bidi="hi-IN"/>
          <w14:ligatures w14:val="none"/>
        </w:rPr>
        <w:t>.</w:t>
      </w:r>
      <w:r>
        <w:rPr>
          <w:rFonts w:ascii="Verdana" w:eastAsia="Times New Roman" w:hAnsi="Verdana" w:cs="Mangal"/>
          <w:kern w:val="0"/>
          <w:szCs w:val="20"/>
          <w:lang w:val="en-US" w:bidi="hi-IN"/>
          <w14:ligatures w14:val="none"/>
        </w:rPr>
        <w:tab/>
      </w:r>
      <w:r w:rsidRPr="009D5751">
        <w:rPr>
          <w:rFonts w:ascii="Verdana" w:eastAsia="Times New Roman" w:hAnsi="Verdana" w:cs="Mangal"/>
          <w:kern w:val="0"/>
          <w:szCs w:val="20"/>
          <w:lang w:val="en-US" w:bidi="hi-IN"/>
          <w14:ligatures w14:val="none"/>
        </w:rPr>
        <w:t>With respect to the above additional grounds, we are already contending that the assessee had never raised this objection either before the Assessing Officer or the PCIT. However</w:t>
      </w:r>
      <w:r>
        <w:rPr>
          <w:rFonts w:ascii="Verdana" w:eastAsia="Times New Roman" w:hAnsi="Verdana" w:cs="Mangal"/>
          <w:kern w:val="0"/>
          <w:szCs w:val="20"/>
          <w:lang w:val="en-US" w:bidi="hi-IN"/>
          <w14:ligatures w14:val="none"/>
        </w:rPr>
        <w:t>,</w:t>
      </w:r>
      <w:r w:rsidRPr="009D5751">
        <w:rPr>
          <w:rFonts w:ascii="Verdana" w:eastAsia="Times New Roman" w:hAnsi="Verdana" w:cs="Mangal"/>
          <w:kern w:val="0"/>
          <w:szCs w:val="20"/>
          <w:lang w:val="en-US" w:bidi="hi-IN"/>
          <w14:ligatures w14:val="none"/>
        </w:rPr>
        <w:t xml:space="preserve"> a factual clarification with regards to the questions, as to who issued notice under section 148, whether he had jurisdiction, why was case</w:t>
      </w:r>
      <w:r>
        <w:rPr>
          <w:rFonts w:ascii="Verdana" w:eastAsia="Times New Roman" w:hAnsi="Verdana" w:cs="Mangal"/>
          <w:kern w:val="0"/>
          <w:szCs w:val="20"/>
          <w:lang w:val="en-US" w:bidi="hi-IN"/>
          <w14:ligatures w14:val="none"/>
        </w:rPr>
        <w:t xml:space="preserve"> </w:t>
      </w:r>
      <w:r w:rsidRPr="009D5751">
        <w:rPr>
          <w:rFonts w:ascii="Verdana" w:eastAsia="Times New Roman" w:hAnsi="Verdana" w:cs="Mangal"/>
          <w:kern w:val="0"/>
          <w:szCs w:val="20"/>
          <w:lang w:val="en-US" w:bidi="hi-IN"/>
          <w14:ligatures w14:val="none"/>
        </w:rPr>
        <w:t>transferred, whether transferred by section 127 order or any other ord</w:t>
      </w:r>
      <w:r>
        <w:rPr>
          <w:rFonts w:ascii="Verdana" w:eastAsia="Times New Roman" w:hAnsi="Verdana" w:cs="Mangal"/>
          <w:kern w:val="0"/>
          <w:szCs w:val="20"/>
          <w:lang w:val="en-US" w:bidi="hi-IN"/>
          <w14:ligatures w14:val="none"/>
        </w:rPr>
        <w:t>er</w:t>
      </w:r>
      <w:r w:rsidRPr="009D5751">
        <w:rPr>
          <w:rFonts w:ascii="Verdana" w:eastAsia="Times New Roman" w:hAnsi="Verdana" w:cs="Mangal"/>
          <w:kern w:val="0"/>
          <w:szCs w:val="20"/>
          <w:lang w:val="en-US" w:bidi="hi-IN"/>
          <w14:ligatures w14:val="none"/>
        </w:rPr>
        <w:t xml:space="preserve"> required. It is also requested that an elaborate note on this issue along supporting judicial decisions if any maybe provided to this office.</w:t>
      </w:r>
    </w:p>
    <w:p w14:paraId="7812B1B4" w14:textId="77777777" w:rsidR="00820811" w:rsidRPr="00820811" w:rsidRDefault="00820811" w:rsidP="00820811">
      <w:pPr>
        <w:spacing w:after="0" w:line="360" w:lineRule="auto"/>
        <w:jc w:val="both"/>
        <w:rPr>
          <w:rFonts w:ascii="Verdana" w:eastAsia="Times New Roman" w:hAnsi="Verdana" w:cs="Mangal"/>
          <w:kern w:val="0"/>
          <w:szCs w:val="20"/>
          <w:lang w:val="en-US" w:bidi="hi-IN"/>
          <w14:ligatures w14:val="none"/>
        </w:rPr>
      </w:pPr>
    </w:p>
    <w:p w14:paraId="00384386" w14:textId="5875AA3D" w:rsidR="00820811" w:rsidRPr="00820811" w:rsidRDefault="009D5751" w:rsidP="00820811">
      <w:pPr>
        <w:spacing w:after="0" w:line="360" w:lineRule="auto"/>
        <w:jc w:val="both"/>
        <w:rPr>
          <w:rFonts w:ascii="Verdana" w:eastAsia="Times New Roman" w:hAnsi="Verdana" w:cs="Mangal"/>
          <w:kern w:val="0"/>
          <w:szCs w:val="20"/>
          <w:lang w:val="en-US" w:bidi="hi-IN"/>
          <w14:ligatures w14:val="none"/>
        </w:rPr>
      </w:pPr>
      <w:r>
        <w:rPr>
          <w:rFonts w:ascii="Verdana" w:eastAsia="Times New Roman" w:hAnsi="Verdana" w:cs="Mangal"/>
          <w:kern w:val="0"/>
          <w:szCs w:val="20"/>
          <w:lang w:val="en-US" w:bidi="hi-IN"/>
          <w14:ligatures w14:val="none"/>
        </w:rPr>
        <w:t>7</w:t>
      </w:r>
      <w:r w:rsidR="00820811" w:rsidRPr="00820811">
        <w:rPr>
          <w:rFonts w:ascii="Verdana" w:eastAsia="Times New Roman" w:hAnsi="Verdana" w:cs="Mangal"/>
          <w:kern w:val="0"/>
          <w:szCs w:val="20"/>
          <w:lang w:val="en-US" w:bidi="hi-IN"/>
          <w14:ligatures w14:val="none"/>
        </w:rPr>
        <w:t>.</w:t>
      </w:r>
      <w:r w:rsidR="00820811" w:rsidRPr="00820811">
        <w:rPr>
          <w:rFonts w:ascii="Verdana" w:eastAsia="Times New Roman" w:hAnsi="Verdana" w:cs="Mangal"/>
          <w:kern w:val="0"/>
          <w:szCs w:val="20"/>
          <w:lang w:val="en-US" w:bidi="hi-IN"/>
          <w14:ligatures w14:val="none"/>
        </w:rPr>
        <w:tab/>
        <w:t xml:space="preserve">In view of the above you are </w:t>
      </w:r>
      <w:r w:rsidR="00346343">
        <w:rPr>
          <w:rFonts w:ascii="Verdana" w:eastAsia="Times New Roman" w:hAnsi="Verdana" w:cs="Mangal"/>
          <w:kern w:val="0"/>
          <w:szCs w:val="20"/>
          <w:lang w:val="en-US" w:bidi="hi-IN"/>
          <w14:ligatures w14:val="none"/>
        </w:rPr>
        <w:t xml:space="preserve">again </w:t>
      </w:r>
      <w:r w:rsidR="00820811" w:rsidRPr="00820811">
        <w:rPr>
          <w:rFonts w:ascii="Verdana" w:eastAsia="Times New Roman" w:hAnsi="Verdana" w:cs="Mangal"/>
          <w:kern w:val="0"/>
          <w:szCs w:val="20"/>
          <w:lang w:val="en-US" w:bidi="hi-IN"/>
          <w14:ligatures w14:val="none"/>
        </w:rPr>
        <w:t>requested to check your records and to make available the documents mentioned in the letter dated 25.02.2025</w:t>
      </w:r>
      <w:r w:rsidR="00346343">
        <w:rPr>
          <w:rFonts w:ascii="Verdana" w:eastAsia="Times New Roman" w:hAnsi="Verdana" w:cs="Mangal"/>
          <w:kern w:val="0"/>
          <w:szCs w:val="20"/>
          <w:lang w:val="en-US" w:bidi="hi-IN"/>
          <w14:ligatures w14:val="none"/>
        </w:rPr>
        <w:t xml:space="preserve"> and provide your comments and </w:t>
      </w:r>
      <w:r w:rsidR="00346343" w:rsidRPr="009D5751">
        <w:rPr>
          <w:rFonts w:ascii="Verdana" w:eastAsia="Times New Roman" w:hAnsi="Verdana" w:cs="Mangal"/>
          <w:kern w:val="0"/>
          <w:szCs w:val="20"/>
          <w:lang w:val="en-US" w:bidi="hi-IN"/>
          <w14:ligatures w14:val="none"/>
        </w:rPr>
        <w:t>elaborate note on this issue along supporting judicial decisions if any</w:t>
      </w:r>
      <w:r w:rsidR="00573A82">
        <w:rPr>
          <w:rFonts w:ascii="Verdana" w:eastAsia="Times New Roman" w:hAnsi="Verdana" w:cs="Mangal"/>
          <w:kern w:val="0"/>
          <w:szCs w:val="20"/>
          <w:lang w:val="en-US" w:bidi="hi-IN"/>
          <w14:ligatures w14:val="none"/>
        </w:rPr>
        <w:t xml:space="preserve"> </w:t>
      </w:r>
      <w:r w:rsidR="00346343">
        <w:rPr>
          <w:rFonts w:ascii="Verdana" w:eastAsia="Times New Roman" w:hAnsi="Verdana" w:cs="Mangal"/>
          <w:kern w:val="0"/>
          <w:szCs w:val="20"/>
          <w:lang w:val="en-US" w:bidi="hi-IN"/>
          <w14:ligatures w14:val="none"/>
        </w:rPr>
        <w:t xml:space="preserve">to this office </w:t>
      </w:r>
      <w:r w:rsidR="00573A82">
        <w:rPr>
          <w:rFonts w:ascii="Verdana" w:eastAsia="Times New Roman" w:hAnsi="Verdana" w:cs="Mangal"/>
          <w:kern w:val="0"/>
          <w:szCs w:val="20"/>
          <w:lang w:val="en-US" w:bidi="hi-IN"/>
          <w14:ligatures w14:val="none"/>
        </w:rPr>
        <w:t>on or before 10.06.2025</w:t>
      </w:r>
      <w:r w:rsidR="00820811" w:rsidRPr="00820811">
        <w:rPr>
          <w:rFonts w:ascii="Verdana" w:eastAsia="Times New Roman" w:hAnsi="Verdana" w:cs="Mangal"/>
          <w:kern w:val="0"/>
          <w:szCs w:val="20"/>
          <w:lang w:val="en-US" w:bidi="hi-IN"/>
          <w14:ligatures w14:val="none"/>
        </w:rPr>
        <w:t>.</w:t>
      </w:r>
    </w:p>
    <w:p w14:paraId="09832C59" w14:textId="77777777" w:rsidR="00820811" w:rsidRPr="00820811" w:rsidRDefault="00820811" w:rsidP="00820811">
      <w:pPr>
        <w:spacing w:after="0" w:line="360" w:lineRule="auto"/>
        <w:jc w:val="both"/>
        <w:rPr>
          <w:rFonts w:ascii="Verdana" w:eastAsia="Times New Roman" w:hAnsi="Verdana" w:cs="Mangal"/>
          <w:kern w:val="0"/>
          <w:szCs w:val="20"/>
          <w:lang w:val="en-US" w:bidi="hi-IN"/>
          <w14:ligatures w14:val="none"/>
        </w:rPr>
      </w:pPr>
      <w:r w:rsidRPr="00820811">
        <w:rPr>
          <w:rFonts w:ascii="Verdana" w:eastAsia="Times New Roman" w:hAnsi="Verdana" w:cs="Mangal"/>
          <w:kern w:val="0"/>
          <w:szCs w:val="20"/>
          <w:lang w:val="en-US" w:bidi="hi-IN"/>
          <w14:ligatures w14:val="none"/>
        </w:rPr>
        <w:tab/>
      </w:r>
      <w:r w:rsidRPr="00820811">
        <w:rPr>
          <w:rFonts w:ascii="Verdana" w:eastAsia="Times New Roman" w:hAnsi="Verdana" w:cs="Mangal"/>
          <w:kern w:val="0"/>
          <w:szCs w:val="20"/>
          <w:lang w:val="en-US" w:bidi="hi-IN"/>
          <w14:ligatures w14:val="none"/>
        </w:rPr>
        <w:tab/>
      </w:r>
      <w:r w:rsidRPr="00820811">
        <w:rPr>
          <w:rFonts w:ascii="Verdana" w:eastAsia="Times New Roman" w:hAnsi="Verdana" w:cs="Mangal"/>
          <w:kern w:val="0"/>
          <w:szCs w:val="20"/>
          <w:lang w:val="en-US" w:bidi="hi-IN"/>
          <w14:ligatures w14:val="none"/>
        </w:rPr>
        <w:tab/>
      </w:r>
      <w:r w:rsidRPr="00820811">
        <w:rPr>
          <w:rFonts w:ascii="Verdana" w:eastAsia="Times New Roman" w:hAnsi="Verdana" w:cs="Mangal"/>
          <w:kern w:val="0"/>
          <w:szCs w:val="20"/>
          <w:lang w:val="en-US" w:bidi="hi-IN"/>
          <w14:ligatures w14:val="none"/>
        </w:rPr>
        <w:tab/>
      </w:r>
      <w:r w:rsidRPr="00820811">
        <w:rPr>
          <w:rFonts w:ascii="Verdana" w:eastAsia="Times New Roman" w:hAnsi="Verdana" w:cs="Mangal"/>
          <w:kern w:val="0"/>
          <w:szCs w:val="20"/>
          <w:lang w:val="en-US" w:bidi="hi-IN"/>
          <w14:ligatures w14:val="none"/>
        </w:rPr>
        <w:tab/>
      </w:r>
    </w:p>
    <w:p w14:paraId="0848FC72" w14:textId="77777777" w:rsidR="00820811" w:rsidRPr="00820811" w:rsidRDefault="00820811" w:rsidP="00820811">
      <w:pPr>
        <w:spacing w:after="0" w:line="360" w:lineRule="auto"/>
        <w:jc w:val="both"/>
        <w:rPr>
          <w:rFonts w:ascii="Verdana" w:eastAsia="Times New Roman" w:hAnsi="Verdana" w:cs="Mangal"/>
          <w:kern w:val="0"/>
          <w:szCs w:val="20"/>
          <w:lang w:val="en-US" w:bidi="hi-IN"/>
          <w14:ligatures w14:val="none"/>
        </w:rPr>
      </w:pPr>
      <w:r w:rsidRPr="00820811">
        <w:rPr>
          <w:rFonts w:ascii="Verdana" w:eastAsia="Times New Roman" w:hAnsi="Verdana" w:cs="Mangal"/>
          <w:kern w:val="0"/>
          <w:szCs w:val="20"/>
          <w:lang w:val="en-US" w:bidi="hi-IN"/>
          <w14:ligatures w14:val="none"/>
        </w:rPr>
        <w:tab/>
      </w:r>
      <w:r w:rsidRPr="00820811">
        <w:rPr>
          <w:rFonts w:ascii="Verdana" w:eastAsia="Times New Roman" w:hAnsi="Verdana" w:cs="Mangal"/>
          <w:kern w:val="0"/>
          <w:szCs w:val="20"/>
          <w:lang w:val="en-US" w:bidi="hi-IN"/>
          <w14:ligatures w14:val="none"/>
        </w:rPr>
        <w:tab/>
      </w:r>
      <w:r w:rsidRPr="00820811">
        <w:rPr>
          <w:rFonts w:ascii="Verdana" w:eastAsia="Times New Roman" w:hAnsi="Verdana" w:cs="Mangal"/>
          <w:kern w:val="0"/>
          <w:szCs w:val="20"/>
          <w:lang w:val="en-US" w:bidi="hi-IN"/>
          <w14:ligatures w14:val="none"/>
        </w:rPr>
        <w:tab/>
      </w:r>
      <w:r w:rsidRPr="00820811">
        <w:rPr>
          <w:rFonts w:ascii="Verdana" w:eastAsia="Times New Roman" w:hAnsi="Verdana" w:cs="Mangal"/>
          <w:kern w:val="0"/>
          <w:szCs w:val="20"/>
          <w:lang w:val="en-US" w:bidi="hi-IN"/>
          <w14:ligatures w14:val="none"/>
        </w:rPr>
        <w:tab/>
      </w:r>
      <w:r w:rsidRPr="00820811">
        <w:rPr>
          <w:rFonts w:ascii="Verdana" w:eastAsia="Times New Roman" w:hAnsi="Verdana" w:cs="Mangal"/>
          <w:kern w:val="0"/>
          <w:szCs w:val="20"/>
          <w:lang w:val="en-US" w:bidi="hi-IN"/>
          <w14:ligatures w14:val="none"/>
        </w:rPr>
        <w:tab/>
      </w:r>
      <w:r w:rsidRPr="00820811">
        <w:rPr>
          <w:rFonts w:ascii="Verdana" w:eastAsia="Times New Roman" w:hAnsi="Verdana" w:cs="Mangal"/>
          <w:kern w:val="0"/>
          <w:szCs w:val="20"/>
          <w:lang w:val="en-US" w:bidi="hi-IN"/>
          <w14:ligatures w14:val="none"/>
        </w:rPr>
        <w:tab/>
      </w:r>
      <w:r w:rsidRPr="00820811">
        <w:rPr>
          <w:rFonts w:ascii="Verdana" w:eastAsia="Times New Roman" w:hAnsi="Verdana" w:cs="Mangal"/>
          <w:kern w:val="0"/>
          <w:szCs w:val="20"/>
          <w:lang w:val="en-US" w:bidi="hi-IN"/>
          <w14:ligatures w14:val="none"/>
        </w:rPr>
        <w:tab/>
      </w:r>
      <w:r w:rsidRPr="00820811">
        <w:rPr>
          <w:rFonts w:ascii="Verdana" w:eastAsia="Times New Roman" w:hAnsi="Verdana" w:cs="Mangal"/>
          <w:kern w:val="0"/>
          <w:szCs w:val="20"/>
          <w:lang w:val="en-US" w:bidi="hi-IN"/>
          <w14:ligatures w14:val="none"/>
        </w:rPr>
        <w:tab/>
      </w:r>
      <w:r w:rsidRPr="00820811">
        <w:rPr>
          <w:rFonts w:ascii="Verdana" w:eastAsia="Times New Roman" w:hAnsi="Verdana" w:cs="Mangal"/>
          <w:kern w:val="0"/>
          <w:szCs w:val="20"/>
          <w:lang w:val="en-US" w:bidi="hi-IN"/>
          <w14:ligatures w14:val="none"/>
        </w:rPr>
        <w:tab/>
        <w:t xml:space="preserve">  Your Faithfully </w:t>
      </w:r>
    </w:p>
    <w:p w14:paraId="73096669" w14:textId="77777777" w:rsidR="00820811" w:rsidRPr="00820811" w:rsidRDefault="00820811" w:rsidP="00820811">
      <w:pPr>
        <w:spacing w:after="0" w:line="360" w:lineRule="auto"/>
        <w:jc w:val="both"/>
        <w:rPr>
          <w:rFonts w:ascii="Verdana" w:eastAsia="Times New Roman" w:hAnsi="Verdana" w:cs="Mangal"/>
          <w:kern w:val="0"/>
          <w:szCs w:val="21"/>
          <w:lang w:val="en-US" w:bidi="hi-IN"/>
          <w14:ligatures w14:val="none"/>
        </w:rPr>
      </w:pPr>
    </w:p>
    <w:p w14:paraId="4AAAC641" w14:textId="77777777" w:rsidR="00820811" w:rsidRPr="00820811" w:rsidRDefault="00820811" w:rsidP="00820811">
      <w:pPr>
        <w:spacing w:after="0" w:line="240" w:lineRule="auto"/>
        <w:jc w:val="both"/>
        <w:rPr>
          <w:rFonts w:ascii="Verdana" w:eastAsia="Times New Roman" w:hAnsi="Verdana" w:cs="Mangal"/>
          <w:kern w:val="0"/>
          <w:szCs w:val="21"/>
          <w:lang w:val="en-US" w:bidi="hi-IN"/>
          <w14:ligatures w14:val="none"/>
        </w:rPr>
      </w:pPr>
    </w:p>
    <w:p w14:paraId="14848528" w14:textId="77777777" w:rsidR="00820811" w:rsidRPr="00820811" w:rsidRDefault="00820811" w:rsidP="00820811">
      <w:pPr>
        <w:spacing w:after="0" w:line="240" w:lineRule="auto"/>
        <w:jc w:val="both"/>
        <w:rPr>
          <w:rFonts w:ascii="Verdana" w:eastAsia="Times New Roman" w:hAnsi="Verdana" w:cs="Mangal"/>
          <w:kern w:val="0"/>
          <w:szCs w:val="21"/>
          <w:lang w:val="en-US" w:bidi="hi-IN"/>
          <w14:ligatures w14:val="none"/>
        </w:rPr>
      </w:pPr>
    </w:p>
    <w:p w14:paraId="3AF50555" w14:textId="142E6AA9" w:rsidR="00820811" w:rsidRPr="00820811" w:rsidRDefault="00820811" w:rsidP="00820811">
      <w:pPr>
        <w:spacing w:after="0" w:line="240" w:lineRule="auto"/>
        <w:jc w:val="both"/>
        <w:rPr>
          <w:rFonts w:ascii="Verdana" w:eastAsia="Times New Roman" w:hAnsi="Verdana" w:cs="Mangal"/>
          <w:kern w:val="0"/>
          <w:sz w:val="24"/>
          <w:szCs w:val="23"/>
          <w:lang w:val="en-US" w:bidi="hi-IN"/>
          <w14:ligatures w14:val="none"/>
        </w:rPr>
      </w:pPr>
      <w:r w:rsidRPr="00820811">
        <w:rPr>
          <w:rFonts w:ascii="Verdana" w:eastAsia="Times New Roman" w:hAnsi="Verdana" w:cs="Mangal"/>
          <w:kern w:val="0"/>
          <w:sz w:val="24"/>
          <w:szCs w:val="23"/>
          <w:lang w:val="en-US" w:bidi="hi-IN"/>
          <w14:ligatures w14:val="none"/>
        </w:rPr>
        <w:t xml:space="preserve">                                                                     </w:t>
      </w:r>
      <w:r w:rsidR="009D5751">
        <w:rPr>
          <w:rFonts w:ascii="Verdana" w:eastAsia="Times New Roman" w:hAnsi="Verdana" w:cs="Mangal"/>
          <w:kern w:val="0"/>
          <w:sz w:val="24"/>
          <w:szCs w:val="23"/>
          <w:lang w:val="en-US" w:bidi="hi-IN"/>
          <w14:ligatures w14:val="none"/>
        </w:rPr>
        <w:t xml:space="preserve">      </w:t>
      </w:r>
      <w:r w:rsidRPr="00820811">
        <w:rPr>
          <w:rFonts w:ascii="Verdana" w:eastAsia="Times New Roman" w:hAnsi="Verdana" w:cs="Mangal"/>
          <w:kern w:val="0"/>
          <w:sz w:val="24"/>
          <w:szCs w:val="23"/>
          <w:lang w:val="en-US" w:bidi="hi-IN"/>
          <w14:ligatures w14:val="none"/>
        </w:rPr>
        <w:t>(</w:t>
      </w:r>
      <w:r w:rsidR="009D5751">
        <w:rPr>
          <w:rFonts w:ascii="Verdana" w:eastAsia="Times New Roman" w:hAnsi="Verdana" w:cs="Mangal"/>
          <w:b/>
          <w:bCs/>
          <w:kern w:val="0"/>
          <w:sz w:val="24"/>
          <w:szCs w:val="23"/>
          <w:lang w:val="en-US" w:bidi="hi-IN"/>
          <w14:ligatures w14:val="none"/>
        </w:rPr>
        <w:t>Pankaj Kumar</w:t>
      </w:r>
      <w:r w:rsidRPr="00820811">
        <w:rPr>
          <w:rFonts w:ascii="Verdana" w:eastAsia="Times New Roman" w:hAnsi="Verdana" w:cs="Mangal"/>
          <w:kern w:val="0"/>
          <w:sz w:val="24"/>
          <w:szCs w:val="23"/>
          <w:lang w:val="en-US" w:bidi="hi-IN"/>
          <w14:ligatures w14:val="none"/>
        </w:rPr>
        <w:t>)</w:t>
      </w:r>
    </w:p>
    <w:p w14:paraId="64DA5163" w14:textId="77777777" w:rsidR="00820811" w:rsidRPr="00820811" w:rsidRDefault="00820811" w:rsidP="00820811">
      <w:pPr>
        <w:spacing w:after="0" w:line="240" w:lineRule="auto"/>
        <w:jc w:val="both"/>
        <w:rPr>
          <w:rFonts w:ascii="Verdana" w:eastAsia="Times New Roman" w:hAnsi="Verdana" w:cs="Mangal"/>
          <w:kern w:val="0"/>
          <w:sz w:val="24"/>
          <w:szCs w:val="23"/>
          <w:lang w:val="en-US" w:bidi="hi-IN"/>
          <w14:ligatures w14:val="none"/>
        </w:rPr>
      </w:pPr>
      <w:r w:rsidRPr="00820811">
        <w:rPr>
          <w:rFonts w:ascii="Verdana" w:eastAsia="Times New Roman" w:hAnsi="Verdana" w:cs="Mangal"/>
          <w:kern w:val="0"/>
          <w:sz w:val="24"/>
          <w:szCs w:val="23"/>
          <w:lang w:val="en-US" w:bidi="hi-IN"/>
          <w14:ligatures w14:val="none"/>
        </w:rPr>
        <w:t xml:space="preserve">                                                                            CIT (ITAT) (DR)</w:t>
      </w:r>
    </w:p>
    <w:p w14:paraId="2671360E" w14:textId="77777777" w:rsidR="000A3A40" w:rsidRDefault="00820811" w:rsidP="00820811">
      <w:pPr>
        <w:spacing w:after="0" w:line="240" w:lineRule="auto"/>
        <w:jc w:val="both"/>
      </w:pPr>
      <w:r w:rsidRPr="00820811">
        <w:rPr>
          <w:rFonts w:ascii="Verdana" w:eastAsia="Times New Roman" w:hAnsi="Verdana" w:cs="Times New Roman"/>
          <w:kern w:val="0"/>
          <w:sz w:val="24"/>
          <w:szCs w:val="24"/>
          <w:lang w:val="en-US" w:bidi="hi-IN"/>
          <w14:ligatures w14:val="none"/>
        </w:rPr>
        <w:t xml:space="preserve">                                                                                 Nagpur</w:t>
      </w:r>
    </w:p>
    <w:sectPr w:rsidR="000A3A40" w:rsidSect="00820811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811"/>
    <w:rsid w:val="000A3A40"/>
    <w:rsid w:val="00346343"/>
    <w:rsid w:val="003B44AE"/>
    <w:rsid w:val="00476DBB"/>
    <w:rsid w:val="00573A82"/>
    <w:rsid w:val="00820811"/>
    <w:rsid w:val="008708FA"/>
    <w:rsid w:val="009D5751"/>
    <w:rsid w:val="00D759C9"/>
    <w:rsid w:val="00EA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CFB30"/>
  <w15:chartTrackingRefBased/>
  <w15:docId w15:val="{995F2A4F-C15D-4271-AECF-0C5A1D32D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8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8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8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8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8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8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8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8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8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8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8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8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8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8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8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8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811"/>
    <w:rPr>
      <w:b/>
      <w:bCs/>
      <w:smallCaps/>
      <w:color w:val="2F5496" w:themeColor="accent1" w:themeShade="BF"/>
      <w:spacing w:val="5"/>
    </w:rPr>
  </w:style>
  <w:style w:type="table" w:customStyle="1" w:styleId="TableGrid1">
    <w:name w:val="Table Grid1"/>
    <w:basedOn w:val="TableNormal"/>
    <w:next w:val="TableGrid"/>
    <w:uiPriority w:val="59"/>
    <w:rsid w:val="00820811"/>
    <w:pPr>
      <w:spacing w:after="0" w:line="240" w:lineRule="auto"/>
    </w:pPr>
    <w:rPr>
      <w:rFonts w:eastAsia="Times New Roman"/>
      <w:kern w:val="0"/>
      <w:szCs w:val="20"/>
      <w:lang w:val="en-US" w:bidi="hi-IN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820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acer</cp:lastModifiedBy>
  <cp:revision>6</cp:revision>
  <cp:lastPrinted>2025-06-04T11:02:00Z</cp:lastPrinted>
  <dcterms:created xsi:type="dcterms:W3CDTF">2025-03-26T06:21:00Z</dcterms:created>
  <dcterms:modified xsi:type="dcterms:W3CDTF">2025-06-04T11:44:00Z</dcterms:modified>
</cp:coreProperties>
</file>