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96" w:rsidRPr="00524596" w:rsidRDefault="003E4371" w:rsidP="00524596">
      <w:pPr>
        <w:pStyle w:val="Heading1"/>
      </w:pPr>
      <w:r>
        <w:t>Transgenerational epigenetic inheritance of high sugar diet induced metabolic perturbation in Drosophila</w:t>
      </w:r>
    </w:p>
    <w:p w:rsidR="00524596" w:rsidRDefault="00524596" w:rsidP="00524596"/>
    <w:p w:rsidR="003E4371" w:rsidRDefault="003E4371" w:rsidP="003E4371">
      <w:pPr>
        <w:pStyle w:val="Heading2"/>
      </w:pPr>
      <w:r>
        <w:t>Introduction</w:t>
      </w:r>
    </w:p>
    <w:p w:rsidR="003E4371" w:rsidRPr="00EA4917" w:rsidRDefault="003E4371" w:rsidP="003E4371"/>
    <w:p w:rsidR="003E4371" w:rsidRDefault="003E4371" w:rsidP="003E4371">
      <w:pPr>
        <w:pStyle w:val="Heading2"/>
      </w:pPr>
      <w:r>
        <w:t>Results</w:t>
      </w:r>
    </w:p>
    <w:p w:rsidR="003E4371" w:rsidRPr="00EA4917" w:rsidRDefault="003E4371" w:rsidP="003E4371"/>
    <w:p w:rsidR="00361691" w:rsidRDefault="003E4371" w:rsidP="003E4371">
      <w:pPr>
        <w:pStyle w:val="Heading2"/>
      </w:pPr>
      <w:r>
        <w:t>Discussion</w:t>
      </w:r>
      <w:bookmarkStart w:id="0" w:name="_GoBack"/>
      <w:bookmarkEnd w:id="0"/>
    </w:p>
    <w:sectPr w:rsidR="0036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TIysTA1sTAyMzZU0lEKTi0uzszPAykwqgUANP/9ESwAAAA="/>
  </w:docVars>
  <w:rsids>
    <w:rsidRoot w:val="008451CE"/>
    <w:rsid w:val="003E4371"/>
    <w:rsid w:val="00524596"/>
    <w:rsid w:val="008451CE"/>
    <w:rsid w:val="00A34A44"/>
    <w:rsid w:val="00BC2264"/>
    <w:rsid w:val="00C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BACC5-DD14-40BA-928B-BE4B49CD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5</cp:revision>
  <dcterms:created xsi:type="dcterms:W3CDTF">2018-10-09T07:04:00Z</dcterms:created>
  <dcterms:modified xsi:type="dcterms:W3CDTF">2018-10-09T07:28:00Z</dcterms:modified>
</cp:coreProperties>
</file>