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961E37" w14:textId="63704B85" w:rsidR="00D13647" w:rsidRPr="00D13647" w:rsidRDefault="00D13647" w:rsidP="00D13647">
      <w:pPr>
        <w:rPr>
          <w:b/>
          <w:bCs/>
        </w:rPr>
      </w:pPr>
      <w:r w:rsidRPr="00D13647">
        <w:rPr>
          <w:b/>
          <w:bCs/>
        </w:rPr>
        <w:t xml:space="preserve">Key Observations — </w:t>
      </w:r>
      <w:r>
        <w:rPr>
          <w:b/>
          <w:bCs/>
        </w:rPr>
        <w:t>Task</w:t>
      </w:r>
      <w:r w:rsidRPr="00D13647">
        <w:rPr>
          <w:b/>
          <w:bCs/>
        </w:rPr>
        <w:t xml:space="preserve"> 3: SQL Data Analysis</w:t>
      </w:r>
    </w:p>
    <w:p w14:paraId="7211EF81" w14:textId="77777777" w:rsidR="00D13647" w:rsidRPr="00D13647" w:rsidRDefault="00D13647" w:rsidP="00D13647">
      <w:r w:rsidRPr="00D13647">
        <w:rPr>
          <w:b/>
          <w:bCs/>
        </w:rPr>
        <w:t>Dataset:</w:t>
      </w:r>
      <w:r w:rsidRPr="00D13647">
        <w:t xml:space="preserve"> E-commerce Orders (1,200 records, Jan 2023 – Jun 2025) </w:t>
      </w:r>
      <w:r w:rsidRPr="00D13647">
        <w:rPr>
          <w:b/>
          <w:bCs/>
        </w:rPr>
        <w:t>Tool:</w:t>
      </w:r>
      <w:r w:rsidRPr="00D13647">
        <w:t xml:space="preserve"> SQLite (via Python sqlite3), queried in Google </w:t>
      </w:r>
      <w:proofErr w:type="spellStart"/>
      <w:r w:rsidRPr="00D13647">
        <w:t>Colab</w:t>
      </w:r>
      <w:proofErr w:type="spellEnd"/>
    </w:p>
    <w:p w14:paraId="351E2BAA" w14:textId="77777777" w:rsidR="00D13647" w:rsidRPr="00D13647" w:rsidRDefault="00D13647" w:rsidP="00D13647">
      <w:r w:rsidRPr="00D13647">
        <w:pict w14:anchorId="39562354">
          <v:rect id="_x0000_i1031" style="width:0;height:1.5pt" o:hralign="center" o:hrstd="t" o:hr="t" fillcolor="#a0a0a0" stroked="f"/>
        </w:pict>
      </w:r>
    </w:p>
    <w:p w14:paraId="617DDFB7" w14:textId="77777777" w:rsidR="00D13647" w:rsidRPr="00D13647" w:rsidRDefault="00D13647" w:rsidP="00D13647">
      <w:pPr>
        <w:rPr>
          <w:b/>
          <w:bCs/>
        </w:rPr>
      </w:pPr>
      <w:r w:rsidRPr="00D13647">
        <w:rPr>
          <w:b/>
          <w:bCs/>
        </w:rPr>
        <w:t>1. Problem Statement</w:t>
      </w:r>
    </w:p>
    <w:p w14:paraId="34FC49D8" w14:textId="77777777" w:rsidR="00D13647" w:rsidRPr="00D13647" w:rsidRDefault="00D13647" w:rsidP="00D13647">
      <w:r w:rsidRPr="00D13647">
        <w:t xml:space="preserve">Which products, payment methods, channels, and customers </w:t>
      </w:r>
      <w:proofErr w:type="gramStart"/>
      <w:r w:rsidRPr="00D13647">
        <w:t>actually drive</w:t>
      </w:r>
      <w:proofErr w:type="gramEnd"/>
      <w:r w:rsidRPr="00D13647">
        <w:t xml:space="preserve"> revenue — and where is revenue being lost — when queried directly at the database level?</w:t>
      </w:r>
    </w:p>
    <w:p w14:paraId="4DA9BF8E" w14:textId="77777777" w:rsidR="00D13647" w:rsidRPr="00D13647" w:rsidRDefault="00D13647" w:rsidP="00D13647">
      <w:pPr>
        <w:rPr>
          <w:b/>
          <w:bCs/>
        </w:rPr>
      </w:pPr>
      <w:r w:rsidRPr="00D13647">
        <w:rPr>
          <w:b/>
          <w:bCs/>
        </w:rPr>
        <w:t>2. Methodology</w:t>
      </w:r>
    </w:p>
    <w:p w14:paraId="04268D7F" w14:textId="77777777" w:rsidR="00D13647" w:rsidRPr="00D13647" w:rsidRDefault="00D13647" w:rsidP="00D13647">
      <w:r w:rsidRPr="00D13647">
        <w:t xml:space="preserve">Ten SQL queries covering filtering (WHERE), sorting (ORDER BY), grouping (GROUP BY), aggregation (COUNT, SUM, AVG), grouped filtering (HAVING), and percentage-of-total calculations via subqueries. Full queries in </w:t>
      </w:r>
      <w:proofErr w:type="spellStart"/>
      <w:r w:rsidRPr="00D13647">
        <w:t>queries.sql</w:t>
      </w:r>
      <w:proofErr w:type="spellEnd"/>
      <w:r w:rsidRPr="00D13647">
        <w:t>.</w:t>
      </w:r>
    </w:p>
    <w:p w14:paraId="560EEB9F" w14:textId="77777777" w:rsidR="00D13647" w:rsidRPr="00D13647" w:rsidRDefault="00D13647" w:rsidP="00D13647">
      <w:pPr>
        <w:rPr>
          <w:b/>
          <w:bCs/>
        </w:rPr>
      </w:pPr>
      <w:r w:rsidRPr="00D13647">
        <w:rPr>
          <w:b/>
          <w:bCs/>
        </w:rPr>
        <w:t>3. Key Findings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7"/>
        <w:gridCol w:w="2900"/>
        <w:gridCol w:w="4533"/>
      </w:tblGrid>
      <w:tr w:rsidR="00D13647" w:rsidRPr="00D13647" w14:paraId="65B03998" w14:textId="77777777" w:rsidTr="00D13647">
        <w:tc>
          <w:tcPr>
            <w:tcW w:w="0" w:type="auto"/>
            <w:hideMark/>
          </w:tcPr>
          <w:p w14:paraId="15720C3B" w14:textId="77777777" w:rsidR="00D13647" w:rsidRPr="00D13647" w:rsidRDefault="00D13647" w:rsidP="00D13647">
            <w:pPr>
              <w:spacing w:after="160" w:line="278" w:lineRule="auto"/>
              <w:rPr>
                <w:b/>
                <w:bCs/>
              </w:rPr>
            </w:pPr>
            <w:r w:rsidRPr="00D13647">
              <w:rPr>
                <w:b/>
                <w:bCs/>
              </w:rPr>
              <w:t>Query</w:t>
            </w:r>
          </w:p>
        </w:tc>
        <w:tc>
          <w:tcPr>
            <w:tcW w:w="0" w:type="auto"/>
            <w:hideMark/>
          </w:tcPr>
          <w:p w14:paraId="534BE243" w14:textId="77777777" w:rsidR="00D13647" w:rsidRPr="00D13647" w:rsidRDefault="00D13647" w:rsidP="00D13647">
            <w:pPr>
              <w:spacing w:after="160" w:line="278" w:lineRule="auto"/>
              <w:rPr>
                <w:b/>
                <w:bCs/>
              </w:rPr>
            </w:pPr>
            <w:r w:rsidRPr="00D13647">
              <w:rPr>
                <w:b/>
                <w:bCs/>
              </w:rPr>
              <w:t>What it shows</w:t>
            </w:r>
          </w:p>
        </w:tc>
        <w:tc>
          <w:tcPr>
            <w:tcW w:w="0" w:type="auto"/>
            <w:hideMark/>
          </w:tcPr>
          <w:p w14:paraId="21341256" w14:textId="77777777" w:rsidR="00D13647" w:rsidRPr="00D13647" w:rsidRDefault="00D13647" w:rsidP="00D13647">
            <w:pPr>
              <w:spacing w:after="160" w:line="278" w:lineRule="auto"/>
              <w:rPr>
                <w:b/>
                <w:bCs/>
              </w:rPr>
            </w:pPr>
            <w:r w:rsidRPr="00D13647">
              <w:rPr>
                <w:b/>
                <w:bCs/>
              </w:rPr>
              <w:t>Business diagnosis</w:t>
            </w:r>
          </w:p>
        </w:tc>
      </w:tr>
      <w:tr w:rsidR="00D13647" w:rsidRPr="00D13647" w14:paraId="4DE05B6C" w14:textId="77777777" w:rsidTr="00D13647">
        <w:tc>
          <w:tcPr>
            <w:tcW w:w="0" w:type="auto"/>
            <w:hideMark/>
          </w:tcPr>
          <w:p w14:paraId="349E5995" w14:textId="77777777" w:rsidR="00D13647" w:rsidRPr="00D13647" w:rsidRDefault="00D13647" w:rsidP="00D13647">
            <w:pPr>
              <w:spacing w:after="160" w:line="278" w:lineRule="auto"/>
            </w:pPr>
            <w:r w:rsidRPr="00D13647">
              <w:t>Q5 — Order status breakdown</w:t>
            </w:r>
          </w:p>
        </w:tc>
        <w:tc>
          <w:tcPr>
            <w:tcW w:w="0" w:type="auto"/>
            <w:hideMark/>
          </w:tcPr>
          <w:p w14:paraId="39DF690B" w14:textId="77777777" w:rsidR="00D13647" w:rsidRPr="00D13647" w:rsidRDefault="00D13647" w:rsidP="00D13647">
            <w:pPr>
              <w:spacing w:after="160" w:line="278" w:lineRule="auto"/>
            </w:pPr>
            <w:r w:rsidRPr="00D13647">
              <w:t xml:space="preserve">Cancelled (20.8%) + Returned (20.6%) = </w:t>
            </w:r>
            <w:r w:rsidRPr="00D13647">
              <w:rPr>
                <w:b/>
                <w:bCs/>
              </w:rPr>
              <w:t>41.4% of all orders</w:t>
            </w:r>
          </w:p>
        </w:tc>
        <w:tc>
          <w:tcPr>
            <w:tcW w:w="0" w:type="auto"/>
            <w:hideMark/>
          </w:tcPr>
          <w:p w14:paraId="4ACDA283" w14:textId="77777777" w:rsidR="00D13647" w:rsidRPr="00D13647" w:rsidRDefault="00D13647" w:rsidP="00D13647">
            <w:pPr>
              <w:spacing w:after="160" w:line="278" w:lineRule="auto"/>
            </w:pPr>
            <w:r w:rsidRPr="00D13647">
              <w:t>Confirms the Project 2 finding at the SQL level: roughly 2 in 5 orders never convert to kept revenue. This is the most actionable number in the dataset.</w:t>
            </w:r>
          </w:p>
        </w:tc>
      </w:tr>
      <w:tr w:rsidR="00D13647" w:rsidRPr="00D13647" w14:paraId="3DDC9D06" w14:textId="77777777" w:rsidTr="00D13647">
        <w:tc>
          <w:tcPr>
            <w:tcW w:w="0" w:type="auto"/>
            <w:hideMark/>
          </w:tcPr>
          <w:p w14:paraId="3320244A" w14:textId="77777777" w:rsidR="00D13647" w:rsidRPr="00D13647" w:rsidRDefault="00D13647" w:rsidP="00D13647">
            <w:pPr>
              <w:spacing w:after="160" w:line="278" w:lineRule="auto"/>
            </w:pPr>
            <w:r w:rsidRPr="00D13647">
              <w:t>Q3 — Revenue per product</w:t>
            </w:r>
          </w:p>
        </w:tc>
        <w:tc>
          <w:tcPr>
            <w:tcW w:w="0" w:type="auto"/>
            <w:hideMark/>
          </w:tcPr>
          <w:p w14:paraId="731CED7E" w14:textId="77777777" w:rsidR="00D13647" w:rsidRPr="00D13647" w:rsidRDefault="00D13647" w:rsidP="00D13647">
            <w:pPr>
              <w:spacing w:after="160" w:line="278" w:lineRule="auto"/>
            </w:pPr>
            <w:r w:rsidRPr="00D13647">
              <w:t>Chair ($195,620) and Printer ($195,613) lead; Phone trails at $151,722</w:t>
            </w:r>
          </w:p>
        </w:tc>
        <w:tc>
          <w:tcPr>
            <w:tcW w:w="0" w:type="auto"/>
            <w:hideMark/>
          </w:tcPr>
          <w:p w14:paraId="37CFE6F9" w14:textId="77777777" w:rsidR="00D13647" w:rsidRPr="00D13647" w:rsidRDefault="00D13647" w:rsidP="00D13647">
            <w:pPr>
              <w:spacing w:after="160" w:line="278" w:lineRule="auto"/>
            </w:pPr>
            <w:r w:rsidRPr="00D13647">
              <w:t xml:space="preserve">Revenue is </w:t>
            </w:r>
            <w:proofErr w:type="gramStart"/>
            <w:r w:rsidRPr="00D13647">
              <w:t>fairly evenly</w:t>
            </w:r>
            <w:proofErr w:type="gramEnd"/>
            <w:r w:rsidRPr="00D13647">
              <w:t xml:space="preserve"> spread across the 7 products (12–15.5% share each per Q7) — no single product is carrying the business, and none is badly underperforming either.</w:t>
            </w:r>
          </w:p>
        </w:tc>
      </w:tr>
      <w:tr w:rsidR="00D13647" w:rsidRPr="00D13647" w14:paraId="527B1E6E" w14:textId="77777777" w:rsidTr="00D13647">
        <w:tc>
          <w:tcPr>
            <w:tcW w:w="0" w:type="auto"/>
            <w:hideMark/>
          </w:tcPr>
          <w:p w14:paraId="5380BC5B" w14:textId="77777777" w:rsidR="00D13647" w:rsidRPr="00D13647" w:rsidRDefault="00D13647" w:rsidP="00D13647">
            <w:pPr>
              <w:spacing w:after="160" w:line="278" w:lineRule="auto"/>
            </w:pPr>
            <w:r w:rsidRPr="00D13647">
              <w:t>Q4 — Avg order value by payment method</w:t>
            </w:r>
          </w:p>
        </w:tc>
        <w:tc>
          <w:tcPr>
            <w:tcW w:w="0" w:type="auto"/>
            <w:hideMark/>
          </w:tcPr>
          <w:p w14:paraId="0CC6CC59" w14:textId="77777777" w:rsidR="00D13647" w:rsidRPr="00D13647" w:rsidRDefault="00D13647" w:rsidP="00D13647">
            <w:pPr>
              <w:spacing w:after="160" w:line="278" w:lineRule="auto"/>
            </w:pPr>
            <w:r w:rsidRPr="00D13647">
              <w:t>Credit Card has the highest avg order value ($1,127.55); Debit Card the lowest ($1,001.56)</w:t>
            </w:r>
          </w:p>
        </w:tc>
        <w:tc>
          <w:tcPr>
            <w:tcW w:w="0" w:type="auto"/>
            <w:hideMark/>
          </w:tcPr>
          <w:p w14:paraId="419A2B47" w14:textId="77777777" w:rsidR="00D13647" w:rsidRPr="00D13647" w:rsidRDefault="00D13647" w:rsidP="00D13647">
            <w:pPr>
              <w:spacing w:after="160" w:line="278" w:lineRule="auto"/>
            </w:pPr>
            <w:r w:rsidRPr="00D13647">
              <w:t>A ~$126 gap suggests Credit Card customers buy higher-ticket items — worth checking if this correlates with the product mix per payment method.</w:t>
            </w:r>
          </w:p>
        </w:tc>
      </w:tr>
      <w:tr w:rsidR="00D13647" w:rsidRPr="00D13647" w14:paraId="33B00DD0" w14:textId="77777777" w:rsidTr="00D13647">
        <w:tc>
          <w:tcPr>
            <w:tcW w:w="0" w:type="auto"/>
            <w:hideMark/>
          </w:tcPr>
          <w:p w14:paraId="584B416B" w14:textId="77777777" w:rsidR="00D13647" w:rsidRPr="00D13647" w:rsidRDefault="00D13647" w:rsidP="00D13647">
            <w:pPr>
              <w:spacing w:after="160" w:line="278" w:lineRule="auto"/>
            </w:pPr>
            <w:r w:rsidRPr="00D13647">
              <w:t>Q6 — Referral sources with HAVING &gt; 245 orders</w:t>
            </w:r>
          </w:p>
        </w:tc>
        <w:tc>
          <w:tcPr>
            <w:tcW w:w="0" w:type="auto"/>
            <w:hideMark/>
          </w:tcPr>
          <w:p w14:paraId="5A198F72" w14:textId="77777777" w:rsidR="00D13647" w:rsidRPr="00D13647" w:rsidRDefault="00D13647" w:rsidP="00D13647">
            <w:pPr>
              <w:spacing w:after="160" w:line="278" w:lineRule="auto"/>
            </w:pPr>
            <w:r w:rsidRPr="00D13647">
              <w:t xml:space="preserve">Only </w:t>
            </w:r>
            <w:r w:rsidRPr="00D13647">
              <w:rPr>
                <w:b/>
                <w:bCs/>
              </w:rPr>
              <w:t>Instagram</w:t>
            </w:r>
            <w:r w:rsidRPr="00D13647">
              <w:t xml:space="preserve"> (259) and </w:t>
            </w:r>
            <w:r w:rsidRPr="00D13647">
              <w:rPr>
                <w:b/>
                <w:bCs/>
              </w:rPr>
              <w:t>Email</w:t>
            </w:r>
            <w:r w:rsidRPr="00D13647">
              <w:t xml:space="preserve"> (250) clear this bar</w:t>
            </w:r>
          </w:p>
        </w:tc>
        <w:tc>
          <w:tcPr>
            <w:tcW w:w="0" w:type="auto"/>
            <w:hideMark/>
          </w:tcPr>
          <w:p w14:paraId="21A0DFA2" w14:textId="77777777" w:rsidR="00D13647" w:rsidRPr="00D13647" w:rsidRDefault="00D13647" w:rsidP="00D13647">
            <w:pPr>
              <w:spacing w:after="160" w:line="278" w:lineRule="auto"/>
            </w:pPr>
            <w:r w:rsidRPr="00D13647">
              <w:t>These two channels are the volume leaders; Facebook, Google, and Referral all sit meaningfully lower (~220–240), making Instagram/Email the priority channels for retention or scale-up efforts.</w:t>
            </w:r>
          </w:p>
        </w:tc>
      </w:tr>
      <w:tr w:rsidR="00D13647" w:rsidRPr="00D13647" w14:paraId="08A80175" w14:textId="77777777" w:rsidTr="00D13647">
        <w:tc>
          <w:tcPr>
            <w:tcW w:w="0" w:type="auto"/>
            <w:hideMark/>
          </w:tcPr>
          <w:p w14:paraId="040EB4BD" w14:textId="77777777" w:rsidR="00D13647" w:rsidRPr="00D13647" w:rsidRDefault="00D13647" w:rsidP="00D13647">
            <w:pPr>
              <w:spacing w:after="160" w:line="278" w:lineRule="auto"/>
            </w:pPr>
            <w:r w:rsidRPr="00D13647">
              <w:lastRenderedPageBreak/>
              <w:t>Q8 — Top customers by spend</w:t>
            </w:r>
          </w:p>
        </w:tc>
        <w:tc>
          <w:tcPr>
            <w:tcW w:w="0" w:type="auto"/>
            <w:hideMark/>
          </w:tcPr>
          <w:p w14:paraId="433877C6" w14:textId="77777777" w:rsidR="00D13647" w:rsidRPr="00D13647" w:rsidRDefault="00D13647" w:rsidP="00D13647">
            <w:pPr>
              <w:spacing w:after="160" w:line="278" w:lineRule="auto"/>
            </w:pPr>
            <w:r w:rsidRPr="00D13647">
              <w:t xml:space="preserve">Highest </w:t>
            </w:r>
            <w:proofErr w:type="gramStart"/>
            <w:r w:rsidRPr="00D13647">
              <w:t>customer</w:t>
            </w:r>
            <w:proofErr w:type="gramEnd"/>
            <w:r w:rsidRPr="00D13647">
              <w:t xml:space="preserve"> spend is $5,723 across 2 orders; nearly every other top-10 customer has placed only 1 order</w:t>
            </w:r>
          </w:p>
        </w:tc>
        <w:tc>
          <w:tcPr>
            <w:tcW w:w="0" w:type="auto"/>
            <w:hideMark/>
          </w:tcPr>
          <w:p w14:paraId="6857BAD9" w14:textId="77777777" w:rsidR="00D13647" w:rsidRPr="00D13647" w:rsidRDefault="00D13647" w:rsidP="00D13647">
            <w:pPr>
              <w:spacing w:after="160" w:line="278" w:lineRule="auto"/>
            </w:pPr>
            <w:r w:rsidRPr="00D13647">
              <w:t xml:space="preserve">There's effectively </w:t>
            </w:r>
            <w:r w:rsidRPr="00D13647">
              <w:rPr>
                <w:b/>
                <w:bCs/>
              </w:rPr>
              <w:t>no repeat-purchase concentration</w:t>
            </w:r>
            <w:r w:rsidRPr="00D13647">
              <w:t xml:space="preserve"> at the top of the customer base — growth here looks acquisition-driven, not loyalty-driven.</w:t>
            </w:r>
          </w:p>
        </w:tc>
      </w:tr>
      <w:tr w:rsidR="00D13647" w:rsidRPr="00D13647" w14:paraId="1B8171C7" w14:textId="77777777" w:rsidTr="00D13647">
        <w:tc>
          <w:tcPr>
            <w:tcW w:w="0" w:type="auto"/>
            <w:hideMark/>
          </w:tcPr>
          <w:p w14:paraId="304CAB30" w14:textId="77777777" w:rsidR="00D13647" w:rsidRPr="00D13647" w:rsidRDefault="00D13647" w:rsidP="00D13647">
            <w:pPr>
              <w:spacing w:after="160" w:line="278" w:lineRule="auto"/>
            </w:pPr>
            <w:r w:rsidRPr="00D13647">
              <w:t>Q9 — Monthly revenue trend</w:t>
            </w:r>
          </w:p>
        </w:tc>
        <w:tc>
          <w:tcPr>
            <w:tcW w:w="0" w:type="auto"/>
            <w:hideMark/>
          </w:tcPr>
          <w:p w14:paraId="0850276F" w14:textId="77777777" w:rsidR="00D13647" w:rsidRPr="00D13647" w:rsidRDefault="00D13647" w:rsidP="00D13647">
            <w:pPr>
              <w:spacing w:after="160" w:line="278" w:lineRule="auto"/>
            </w:pPr>
            <w:r w:rsidRPr="00D13647">
              <w:t>Revenue swings roughly $28K–$68K month to month with no repeating seasonal pattern</w:t>
            </w:r>
          </w:p>
        </w:tc>
        <w:tc>
          <w:tcPr>
            <w:tcW w:w="0" w:type="auto"/>
            <w:hideMark/>
          </w:tcPr>
          <w:p w14:paraId="06057C62" w14:textId="77777777" w:rsidR="00D13647" w:rsidRPr="00D13647" w:rsidRDefault="00D13647" w:rsidP="00D13647">
            <w:pPr>
              <w:spacing w:after="160" w:line="278" w:lineRule="auto"/>
            </w:pPr>
            <w:r w:rsidRPr="00D13647">
              <w:t>Matches the EDA finding from Project 2 — no clear seasonality across the 3-year window.</w:t>
            </w:r>
          </w:p>
        </w:tc>
      </w:tr>
      <w:tr w:rsidR="00D13647" w:rsidRPr="00D13647" w14:paraId="63CF534F" w14:textId="77777777" w:rsidTr="00D13647">
        <w:tc>
          <w:tcPr>
            <w:tcW w:w="0" w:type="auto"/>
            <w:hideMark/>
          </w:tcPr>
          <w:p w14:paraId="4FF69F48" w14:textId="77777777" w:rsidR="00D13647" w:rsidRPr="00D13647" w:rsidRDefault="00D13647" w:rsidP="00D13647">
            <w:pPr>
              <w:spacing w:after="160" w:line="278" w:lineRule="auto"/>
            </w:pPr>
            <w:r w:rsidRPr="00D13647">
              <w:t>Q10 — High-value orders with no coupon</w:t>
            </w:r>
          </w:p>
        </w:tc>
        <w:tc>
          <w:tcPr>
            <w:tcW w:w="0" w:type="auto"/>
            <w:hideMark/>
          </w:tcPr>
          <w:p w14:paraId="43496BA4" w14:textId="77777777" w:rsidR="00D13647" w:rsidRPr="00D13647" w:rsidRDefault="00D13647" w:rsidP="00D13647">
            <w:pPr>
              <w:spacing w:after="160" w:line="278" w:lineRule="auto"/>
            </w:pPr>
            <w:r w:rsidRPr="00D13647">
              <w:t>Top orders without a coupon still reach $3,390+</w:t>
            </w:r>
          </w:p>
        </w:tc>
        <w:tc>
          <w:tcPr>
            <w:tcW w:w="0" w:type="auto"/>
            <w:hideMark/>
          </w:tcPr>
          <w:p w14:paraId="72B34E4A" w14:textId="77777777" w:rsidR="00D13647" w:rsidRPr="00D13647" w:rsidRDefault="00D13647" w:rsidP="00D13647">
            <w:pPr>
              <w:spacing w:after="160" w:line="278" w:lineRule="auto"/>
            </w:pPr>
            <w:r w:rsidRPr="00D13647">
              <w:t>High-value customers aren't being driven by discounts — coupon usage and order value are not strongly linked at the top end.</w:t>
            </w:r>
          </w:p>
        </w:tc>
      </w:tr>
    </w:tbl>
    <w:p w14:paraId="47AD67BB" w14:textId="77777777" w:rsidR="00D13647" w:rsidRDefault="00D13647" w:rsidP="00D13647">
      <w:pPr>
        <w:rPr>
          <w:b/>
          <w:bCs/>
        </w:rPr>
      </w:pPr>
    </w:p>
    <w:p w14:paraId="23BBE33B" w14:textId="660E24FA" w:rsidR="00D13647" w:rsidRPr="00D13647" w:rsidRDefault="00D13647" w:rsidP="00D13647">
      <w:pPr>
        <w:rPr>
          <w:b/>
          <w:bCs/>
        </w:rPr>
      </w:pPr>
      <w:r w:rsidRPr="00D13647">
        <w:rPr>
          <w:b/>
          <w:bCs/>
        </w:rPr>
        <w:t>4. Recommendations</w:t>
      </w:r>
    </w:p>
    <w:p w14:paraId="7A0906A0" w14:textId="30A75015" w:rsidR="00D13647" w:rsidRPr="00D13647" w:rsidRDefault="00D13647" w:rsidP="00D13647">
      <w:pPr>
        <w:numPr>
          <w:ilvl w:val="0"/>
          <w:numId w:val="1"/>
        </w:numPr>
      </w:pPr>
      <w:r w:rsidRPr="00D13647">
        <w:rPr>
          <w:b/>
          <w:bCs/>
        </w:rPr>
        <w:t>Prioritize the 41.4% cancel/return rate</w:t>
      </w:r>
      <w:r w:rsidRPr="00D13647">
        <w:t xml:space="preserve"> — same conclusion as Project 2, now confirmed independently via direct SQL aggregation. This remains the single </w:t>
      </w:r>
      <w:r w:rsidRPr="00D13647">
        <w:t>highest leverage</w:t>
      </w:r>
      <w:r w:rsidRPr="00D13647">
        <w:t xml:space="preserve"> fix available.</w:t>
      </w:r>
    </w:p>
    <w:p w14:paraId="4750312B" w14:textId="77777777" w:rsidR="00D13647" w:rsidRPr="00D13647" w:rsidRDefault="00D13647" w:rsidP="00D13647">
      <w:pPr>
        <w:numPr>
          <w:ilvl w:val="0"/>
          <w:numId w:val="1"/>
        </w:numPr>
      </w:pPr>
      <w:r w:rsidRPr="00D13647">
        <w:rPr>
          <w:b/>
          <w:bCs/>
        </w:rPr>
        <w:t>Double down on Instagram and Email</w:t>
      </w:r>
      <w:r w:rsidRPr="00D13647">
        <w:t xml:space="preserve"> — the only two channels clearing the 245-order HAVING threshold; they're the most reliable volume sources.</w:t>
      </w:r>
    </w:p>
    <w:p w14:paraId="6A7B2100" w14:textId="77777777" w:rsidR="00D13647" w:rsidRPr="00D13647" w:rsidRDefault="00D13647" w:rsidP="00D13647">
      <w:pPr>
        <w:numPr>
          <w:ilvl w:val="0"/>
          <w:numId w:val="1"/>
        </w:numPr>
      </w:pPr>
      <w:r w:rsidRPr="00D13647">
        <w:rPr>
          <w:b/>
          <w:bCs/>
        </w:rPr>
        <w:t>Investigate the Credit Card → higher AOV pattern</w:t>
      </w:r>
      <w:r w:rsidRPr="00D13647">
        <w:t xml:space="preserve"> — worth a follow-up query joining payment method against product category to see if it's a product-mix effect or a customer-behavior effect.</w:t>
      </w:r>
    </w:p>
    <w:p w14:paraId="10ADE9CD" w14:textId="77777777" w:rsidR="00D13647" w:rsidRPr="00D13647" w:rsidRDefault="00D13647" w:rsidP="00D13647">
      <w:pPr>
        <w:numPr>
          <w:ilvl w:val="0"/>
          <w:numId w:val="1"/>
        </w:numPr>
      </w:pPr>
      <w:r w:rsidRPr="00D13647">
        <w:rPr>
          <w:b/>
          <w:bCs/>
        </w:rPr>
        <w:t>Treat customer base as acquisition-led, not retention-led</w:t>
      </w:r>
      <w:r w:rsidRPr="00D13647">
        <w:t xml:space="preserve"> — Q8 shows almost no repeat purchasing at the top of the spend ranking, which should inform any loyalty/retention strategy discussion.</w:t>
      </w:r>
    </w:p>
    <w:p w14:paraId="20BD580D" w14:textId="77777777" w:rsidR="00D13647" w:rsidRDefault="00D13647"/>
    <w:sectPr w:rsidR="00D136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2763E1"/>
    <w:multiLevelType w:val="multilevel"/>
    <w:tmpl w:val="00644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4565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647"/>
    <w:rsid w:val="00850332"/>
    <w:rsid w:val="00D1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83590"/>
  <w15:chartTrackingRefBased/>
  <w15:docId w15:val="{0C45AD48-260F-4013-9C90-B3712A1A9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6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6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6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6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64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136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565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3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0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470</Words>
  <Characters>2681</Characters>
  <Application>Microsoft Office Word</Application>
  <DocSecurity>0</DocSecurity>
  <Lines>22</Lines>
  <Paragraphs>6</Paragraphs>
  <ScaleCrop>false</ScaleCrop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manudi mithara</dc:creator>
  <cp:keywords/>
  <dc:description/>
  <cp:lastModifiedBy>manudi mithara</cp:lastModifiedBy>
  <cp:revision>1</cp:revision>
  <dcterms:created xsi:type="dcterms:W3CDTF">2026-06-21T09:52:00Z</dcterms:created>
  <dcterms:modified xsi:type="dcterms:W3CDTF">2026-06-21T09:53:00Z</dcterms:modified>
</cp:coreProperties>
</file>