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120" w:before="0" w:lineRule="auto"/>
        <w:jc w:val="left"/>
        <w:rPr/>
      </w:pPr>
      <w:r w:rsidDel="00000000" w:rsidR="00000000" w:rsidRPr="00000000">
        <w:rPr>
          <w:rtl w:val="0"/>
        </w:rPr>
        <w:t xml:space="preserve">Case Study: Online Retail</w:t>
      </w:r>
    </w:p>
    <w:p w:rsidR="00000000" w:rsidDel="00000000" w:rsidP="00000000" w:rsidRDefault="00000000" w:rsidRPr="00000000" w14:paraId="00000002">
      <w:pPr>
        <w:pStyle w:val="Heading1"/>
        <w:spacing w:after="0" w:before="120" w:lineRule="auto"/>
        <w:rPr/>
      </w:pPr>
      <w:r w:rsidDel="00000000" w:rsidR="00000000" w:rsidRPr="00000000">
        <w:rPr>
          <w:rtl w:val="0"/>
        </w:rPr>
        <w:t xml:space="preserve">1. Business Context</w:t>
      </w:r>
    </w:p>
    <w:p w:rsidR="00000000" w:rsidDel="00000000" w:rsidP="00000000" w:rsidRDefault="00000000" w:rsidRPr="00000000" w14:paraId="00000003">
      <w:pPr>
        <w:rPr/>
      </w:pPr>
      <w:r w:rsidDel="00000000" w:rsidR="00000000" w:rsidRPr="00000000">
        <w:rPr>
          <w:rtl w:val="0"/>
        </w:rPr>
        <w:t xml:space="preserve">An online retailer wants to better understand its customers and optimize sales performance. The dataset contains more than 1 million transactions over a two-year period, offering an opportunity to analyze customer behavior, product performance, and revenue trends.</w:t>
      </w:r>
    </w:p>
    <w:p w:rsidR="00000000" w:rsidDel="00000000" w:rsidP="00000000" w:rsidRDefault="00000000" w:rsidRPr="00000000" w14:paraId="00000004">
      <w:pPr>
        <w:pStyle w:val="Heading2"/>
        <w:rPr/>
      </w:pPr>
      <w:r w:rsidDel="00000000" w:rsidR="00000000" w:rsidRPr="00000000">
        <w:rPr>
          <w:rtl w:val="0"/>
        </w:rPr>
        <w:t xml:space="preserve">Business Goals:</w:t>
      </w:r>
    </w:p>
    <w:p w:rsidR="00000000" w:rsidDel="00000000" w:rsidP="00000000" w:rsidRDefault="00000000" w:rsidRPr="00000000" w14:paraId="00000005">
      <w:pPr>
        <w:rPr/>
      </w:pPr>
      <w:r w:rsidDel="00000000" w:rsidR="00000000" w:rsidRPr="00000000">
        <w:rPr>
          <w:rtl w:val="0"/>
        </w:rPr>
        <w:t xml:space="preserve">- Increase profitability by identifying and retaining high-value customers.</w:t>
      </w:r>
    </w:p>
    <w:p w:rsidR="00000000" w:rsidDel="00000000" w:rsidP="00000000" w:rsidRDefault="00000000" w:rsidRPr="00000000" w14:paraId="00000006">
      <w:pPr>
        <w:rPr/>
      </w:pPr>
      <w:r w:rsidDel="00000000" w:rsidR="00000000" w:rsidRPr="00000000">
        <w:rPr>
          <w:rtl w:val="0"/>
        </w:rPr>
        <w:t xml:space="preserve">- Optimize inventory and pricing decisions using demand forecasting.</w:t>
      </w:r>
    </w:p>
    <w:p w:rsidR="00000000" w:rsidDel="00000000" w:rsidP="00000000" w:rsidRDefault="00000000" w:rsidRPr="00000000" w14:paraId="00000007">
      <w:pPr>
        <w:rPr/>
      </w:pPr>
      <w:r w:rsidDel="00000000" w:rsidR="00000000" w:rsidRPr="00000000">
        <w:rPr>
          <w:rtl w:val="0"/>
        </w:rPr>
        <w:t xml:space="preserve">- Detect fraudulent or unusual transactions.</w:t>
      </w:r>
    </w:p>
    <w:p w:rsidR="00000000" w:rsidDel="00000000" w:rsidP="00000000" w:rsidRDefault="00000000" w:rsidRPr="00000000" w14:paraId="00000008">
      <w:pPr>
        <w:rPr/>
      </w:pPr>
      <w:r w:rsidDel="00000000" w:rsidR="00000000" w:rsidRPr="00000000">
        <w:rPr>
          <w:rtl w:val="0"/>
        </w:rPr>
        <w:t xml:space="preserve">- Design marketing campaigns to improve customer engagement.</w:t>
      </w:r>
    </w:p>
    <w:p w:rsidR="00000000" w:rsidDel="00000000" w:rsidP="00000000" w:rsidRDefault="00000000" w:rsidRPr="00000000" w14:paraId="00000009">
      <w:pPr>
        <w:pStyle w:val="Heading1"/>
        <w:rPr/>
      </w:pPr>
      <w:r w:rsidDel="00000000" w:rsidR="00000000" w:rsidRPr="00000000">
        <w:rPr>
          <w:rtl w:val="0"/>
        </w:rPr>
        <w:t xml:space="preserve">2. Dataset Overview</w:t>
      </w:r>
    </w:p>
    <w:p w:rsidR="00000000" w:rsidDel="00000000" w:rsidP="00000000" w:rsidRDefault="00000000" w:rsidRPr="00000000" w14:paraId="0000000A">
      <w:pPr>
        <w:rPr/>
      </w:pPr>
      <w:r w:rsidDel="00000000" w:rsidR="00000000" w:rsidRPr="00000000">
        <w:rPr>
          <w:rtl w:val="0"/>
        </w:rPr>
        <w:t xml:space="preserve">Features:</w:t>
      </w:r>
    </w:p>
    <w:p w:rsidR="00000000" w:rsidDel="00000000" w:rsidP="00000000" w:rsidRDefault="00000000" w:rsidRPr="00000000" w14:paraId="0000000B">
      <w:pPr>
        <w:rPr/>
      </w:pPr>
      <w:r w:rsidDel="00000000" w:rsidR="00000000" w:rsidRPr="00000000">
        <w:rPr>
          <w:rtl w:val="0"/>
        </w:rPr>
        <w:t xml:space="preserve">- InvoiceNo: Unique ID for each transaction</w:t>
        <w:tab/>
        <w:tab/>
        <w:t xml:space="preserve">- StockCode: Product code</w:t>
      </w:r>
    </w:p>
    <w:p w:rsidR="00000000" w:rsidDel="00000000" w:rsidP="00000000" w:rsidRDefault="00000000" w:rsidRPr="00000000" w14:paraId="0000000C">
      <w:pPr>
        <w:rPr/>
      </w:pPr>
      <w:r w:rsidDel="00000000" w:rsidR="00000000" w:rsidRPr="00000000">
        <w:rPr>
          <w:rtl w:val="0"/>
        </w:rPr>
        <w:t xml:space="preserve">- Description: Product description</w:t>
        <w:tab/>
        <w:tab/>
        <w:tab/>
        <w:t xml:space="preserve">- Quantity: Number of items bought</w:t>
      </w:r>
    </w:p>
    <w:p w:rsidR="00000000" w:rsidDel="00000000" w:rsidP="00000000" w:rsidRDefault="00000000" w:rsidRPr="00000000" w14:paraId="0000000D">
      <w:pPr>
        <w:rPr/>
      </w:pPr>
      <w:r w:rsidDel="00000000" w:rsidR="00000000" w:rsidRPr="00000000">
        <w:rPr>
          <w:rtl w:val="0"/>
        </w:rPr>
        <w:t xml:space="preserve">- InvoiceDate: Date of transaction</w:t>
        <w:tab/>
        <w:tab/>
        <w:tab/>
        <w:t xml:space="preserve">- Price: Price per item</w:t>
      </w:r>
    </w:p>
    <w:p w:rsidR="00000000" w:rsidDel="00000000" w:rsidP="00000000" w:rsidRDefault="00000000" w:rsidRPr="00000000" w14:paraId="0000000E">
      <w:pPr>
        <w:rPr/>
      </w:pPr>
      <w:r w:rsidDel="00000000" w:rsidR="00000000" w:rsidRPr="00000000">
        <w:rPr>
          <w:rtl w:val="0"/>
        </w:rPr>
        <w:t xml:space="preserve">- CustomerID: Unique customer identifier</w:t>
        <w:tab/>
        <w:tab/>
        <w:t xml:space="preserve">- Country: Customer location</w:t>
      </w:r>
    </w:p>
    <w:p w:rsidR="00000000" w:rsidDel="00000000" w:rsidP="00000000" w:rsidRDefault="00000000" w:rsidRPr="00000000" w14:paraId="0000000F">
      <w:pPr>
        <w:rPr/>
      </w:pPr>
      <w:r w:rsidDel="00000000" w:rsidR="00000000" w:rsidRPr="00000000">
        <w:rPr>
          <w:rtl w:val="0"/>
        </w:rPr>
        <w:t xml:space="preserve">1,067,371 transactions contain both numeric (Quantity, UnitPrice) and categorical/textual (Product Description, Country) features.</w:t>
      </w:r>
    </w:p>
    <w:p w:rsidR="00000000" w:rsidDel="00000000" w:rsidP="00000000" w:rsidRDefault="00000000" w:rsidRPr="00000000" w14:paraId="00000010">
      <w:pPr>
        <w:pStyle w:val="Heading1"/>
        <w:rPr/>
      </w:pPr>
      <w:r w:rsidDel="00000000" w:rsidR="00000000" w:rsidRPr="00000000">
        <w:rPr>
          <w:rtl w:val="0"/>
        </w:rPr>
        <w:t xml:space="preserve">3. Business Questions</w:t>
      </w:r>
    </w:p>
    <w:p w:rsidR="00000000" w:rsidDel="00000000" w:rsidP="00000000" w:rsidRDefault="00000000" w:rsidRPr="00000000" w14:paraId="00000011">
      <w:pPr>
        <w:pStyle w:val="Heading2"/>
        <w:spacing w:after="0" w:before="0" w:lineRule="auto"/>
        <w:rPr/>
      </w:pPr>
      <w:r w:rsidDel="00000000" w:rsidR="00000000" w:rsidRPr="00000000">
        <w:rPr>
          <w:rtl w:val="0"/>
        </w:rPr>
        <w:t xml:space="preserve">Customer Analytics: David</w:t>
      </w:r>
    </w:p>
    <w:p w:rsidR="00000000" w:rsidDel="00000000" w:rsidP="00000000" w:rsidRDefault="00000000" w:rsidRPr="00000000" w14:paraId="00000012">
      <w:pPr>
        <w:rPr/>
      </w:pPr>
      <w:r w:rsidDel="00000000" w:rsidR="00000000" w:rsidRPr="00000000">
        <w:rPr>
          <w:rtl w:val="0"/>
        </w:rPr>
        <w:t xml:space="preserve">- Which customers generate the most revenue (RFM analysis)?</w:t>
      </w:r>
    </w:p>
    <w:p w:rsidR="00000000" w:rsidDel="00000000" w:rsidP="00000000" w:rsidRDefault="00000000" w:rsidRPr="00000000" w14:paraId="00000013">
      <w:pPr>
        <w:numPr>
          <w:ilvl w:val="0"/>
          <w:numId w:val="7"/>
        </w:numPr>
        <w:ind w:left="720" w:hanging="360"/>
        <w:rPr>
          <w:color w:val="cc4125"/>
        </w:rPr>
      </w:pPr>
      <w:r w:rsidDel="00000000" w:rsidR="00000000" w:rsidRPr="00000000">
        <w:rPr>
          <w:color w:val="cc4125"/>
          <w:rtl w:val="0"/>
        </w:rPr>
        <w:t xml:space="preserve">score each customer based on an RFM score (each component should be an index 1-5, or </w:t>
      </w:r>
      <w:r w:rsidDel="00000000" w:rsidR="00000000" w:rsidRPr="00000000">
        <w:rPr>
          <w:b w:val="1"/>
          <w:bCs w:val="1"/>
          <w:color w:val="cc4125"/>
          <w:rtl w:val="0"/>
        </w:rPr>
        <w:t xml:space="preserve">quantile scoring</w:t>
      </w:r>
      <w:r w:rsidDel="00000000" w:rsidR="00000000" w:rsidRPr="00000000">
        <w:rPr>
          <w:color w:val="cc4125"/>
          <w:rtl w:val="0"/>
        </w:rPr>
        <w:t xml:space="preserve">)</w:t>
      </w:r>
    </w:p>
    <w:p w:rsidR="00000000" w:rsidDel="00000000" w:rsidP="00000000" w:rsidRDefault="00000000" w:rsidRPr="00000000" w14:paraId="00000014">
      <w:pPr>
        <w:numPr>
          <w:ilvl w:val="1"/>
          <w:numId w:val="7"/>
        </w:numPr>
        <w:ind w:left="1080" w:hanging="360"/>
        <w:rPr>
          <w:color w:val="cc4125"/>
        </w:rPr>
      </w:pPr>
      <w:r w:rsidDel="00000000" w:rsidR="00000000" w:rsidRPr="00000000">
        <w:rPr>
          <w:color w:val="cc4125"/>
          <w:rtl w:val="0"/>
        </w:rPr>
        <w:t xml:space="preserve">Ri = time since last purchase (recency)</w:t>
      </w:r>
    </w:p>
    <w:p w:rsidR="00000000" w:rsidDel="00000000" w:rsidP="00000000" w:rsidRDefault="00000000" w:rsidRPr="00000000" w14:paraId="00000015">
      <w:pPr>
        <w:numPr>
          <w:ilvl w:val="1"/>
          <w:numId w:val="7"/>
        </w:numPr>
        <w:ind w:left="1080" w:hanging="360"/>
        <w:rPr>
          <w:color w:val="cc4125"/>
        </w:rPr>
      </w:pPr>
      <w:r w:rsidDel="00000000" w:rsidR="00000000" w:rsidRPr="00000000">
        <w:rPr>
          <w:color w:val="cc4125"/>
          <w:rtl w:val="0"/>
        </w:rPr>
        <w:t xml:space="preserve">Fi = number of purchases in a defined period (frequency)</w:t>
      </w:r>
    </w:p>
    <w:p w:rsidR="00000000" w:rsidDel="00000000" w:rsidP="00000000" w:rsidRDefault="00000000" w:rsidRPr="00000000" w14:paraId="00000016">
      <w:pPr>
        <w:numPr>
          <w:ilvl w:val="1"/>
          <w:numId w:val="7"/>
        </w:numPr>
        <w:ind w:left="1080" w:hanging="360"/>
        <w:rPr>
          <w:color w:val="cc4125"/>
        </w:rPr>
      </w:pPr>
      <w:r w:rsidDel="00000000" w:rsidR="00000000" w:rsidRPr="00000000">
        <w:rPr>
          <w:color w:val="cc4125"/>
          <w:rtl w:val="0"/>
        </w:rPr>
        <w:t xml:space="preserve">Mi = total monetary value spent in that period (monetary value)</w:t>
      </w:r>
    </w:p>
    <w:p w:rsidR="00000000" w:rsidDel="00000000" w:rsidP="00000000" w:rsidRDefault="00000000" w:rsidRPr="00000000" w14:paraId="00000017">
      <w:pPr>
        <w:ind w:left="1080" w:firstLine="0"/>
        <w:rPr>
          <w:color w:val="cc4125"/>
        </w:rPr>
      </w:pPr>
      <w:r w:rsidDel="00000000" w:rsidR="00000000" w:rsidRPr="00000000">
        <w:rPr>
          <w:color w:val="cc4125"/>
          <w:rtl w:val="0"/>
        </w:rPr>
        <w:t xml:space="preserve">(from ChatGPT)</w:t>
      </w:r>
      <w:r w:rsidDel="00000000" w:rsidR="00000000" w:rsidRPr="00000000">
        <w:drawing>
          <wp:anchor allowOverlap="1" behindDoc="0" distB="0" distT="0" distL="0" distR="0" hidden="0" layoutInCell="1" locked="0" relativeHeight="0" simplePos="0">
            <wp:simplePos x="0" y="0"/>
            <wp:positionH relativeFrom="column">
              <wp:posOffset>1452562</wp:posOffset>
            </wp:positionH>
            <wp:positionV relativeFrom="paragraph">
              <wp:posOffset>635</wp:posOffset>
            </wp:positionV>
            <wp:extent cx="3495675" cy="2702560"/>
            <wp:effectExtent b="0" l="0" r="0" t="0"/>
            <wp:wrapTopAndBottom distB="0" dist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495675" cy="2702560"/>
                    </a:xfrm>
                    <a:prstGeom prst="rect"/>
                    <a:ln/>
                  </pic:spPr>
                </pic:pic>
              </a:graphicData>
            </a:graphic>
          </wp:anchor>
        </w:drawing>
      </w:r>
    </w:p>
    <w:p w:rsidR="00000000" w:rsidDel="00000000" w:rsidP="00000000" w:rsidRDefault="00000000" w:rsidRPr="00000000" w14:paraId="00000018">
      <w:pPr>
        <w:numPr>
          <w:ilvl w:val="0"/>
          <w:numId w:val="7"/>
        </w:numPr>
        <w:ind w:left="720" w:hanging="360"/>
        <w:rPr>
          <w:color w:val="cc4125"/>
        </w:rPr>
      </w:pPr>
      <w:r w:rsidDel="00000000" w:rsidR="00000000" w:rsidRPr="00000000">
        <w:rPr>
          <w:color w:val="cc4125"/>
          <w:rtl w:val="0"/>
        </w:rPr>
        <w:t xml:space="preserve">we can use additive RFM model (score 3-15 for each customer) to measure which customers generate the most revenue</w:t>
      </w:r>
    </w:p>
    <w:p w:rsidR="00000000" w:rsidDel="00000000" w:rsidP="00000000" w:rsidRDefault="00000000" w:rsidRPr="00000000" w14:paraId="00000019">
      <w:pPr>
        <w:numPr>
          <w:ilvl w:val="0"/>
          <w:numId w:val="7"/>
        </w:numPr>
        <w:ind w:left="720" w:hanging="360"/>
        <w:rPr>
          <w:color w:val="cc4125"/>
        </w:rPr>
      </w:pPr>
      <w:r w:rsidDel="00000000" w:rsidR="00000000" w:rsidRPr="00000000">
        <w:rPr>
          <w:color w:val="cc4125"/>
          <w:rtl w:val="0"/>
        </w:rPr>
        <w:t xml:space="preserve">we can use RFM code (concatenated) to segment customers based on their purchase behavior</w:t>
      </w:r>
    </w:p>
    <w:p w:rsidR="00000000" w:rsidDel="00000000" w:rsidP="00000000" w:rsidRDefault="00000000" w:rsidRPr="00000000" w14:paraId="0000001A">
      <w:pPr>
        <w:rPr/>
      </w:pPr>
      <w:r w:rsidDel="00000000" w:rsidR="00000000" w:rsidRPr="00000000">
        <w:rPr>
          <w:rtl w:val="0"/>
        </w:rPr>
        <w:t xml:space="preserve">- Can we segment customers into groups (e.g., high-value, casual, wholesale)?</w:t>
      </w:r>
    </w:p>
    <w:p w:rsidR="00000000" w:rsidDel="00000000" w:rsidP="00000000" w:rsidRDefault="00000000" w:rsidRPr="00000000" w14:paraId="0000001B">
      <w:pPr>
        <w:numPr>
          <w:ilvl w:val="0"/>
          <w:numId w:val="11"/>
        </w:numPr>
        <w:ind w:left="720" w:hanging="360"/>
        <w:rPr>
          <w:color w:val="cc4125"/>
        </w:rPr>
      </w:pPr>
      <w:r w:rsidDel="00000000" w:rsidR="00000000" w:rsidRPr="00000000">
        <w:rPr>
          <w:color w:val="cc4125"/>
          <w:rtl w:val="0"/>
        </w:rPr>
        <w:t xml:space="preserve">We can also use RFM code for this</w:t>
      </w:r>
    </w:p>
    <w:p w:rsidR="00000000" w:rsidDel="00000000" w:rsidP="00000000" w:rsidRDefault="00000000" w:rsidRPr="00000000" w14:paraId="0000001C">
      <w:pPr>
        <w:rPr/>
      </w:pPr>
      <w:r w:rsidDel="00000000" w:rsidR="00000000" w:rsidRPr="00000000">
        <w:rPr>
          <w:rtl w:val="0"/>
        </w:rPr>
        <w:t xml:space="preserve">- Which countries contribute the most to sales growth? </w:t>
      </w:r>
    </w:p>
    <w:p w:rsidR="00000000" w:rsidDel="00000000" w:rsidP="00000000" w:rsidRDefault="00000000" w:rsidRPr="00000000" w14:paraId="0000001D">
      <w:pPr>
        <w:numPr>
          <w:ilvl w:val="0"/>
          <w:numId w:val="8"/>
        </w:numPr>
        <w:ind w:left="720" w:hanging="360"/>
        <w:rPr>
          <w:color w:val="cc4125"/>
        </w:rPr>
      </w:pPr>
      <w:r w:rsidDel="00000000" w:rsidR="00000000" w:rsidRPr="00000000">
        <w:rPr>
          <w:color w:val="cc4125"/>
          <w:rtl w:val="0"/>
        </w:rPr>
        <w:t xml:space="preserve">sales growth % = ((current period sales - prev. period sales) / prev. period sales) * 100</w:t>
      </w:r>
    </w:p>
    <w:p w:rsidR="00000000" w:rsidDel="00000000" w:rsidP="00000000" w:rsidRDefault="00000000" w:rsidRPr="00000000" w14:paraId="0000001E">
      <w:pPr>
        <w:numPr>
          <w:ilvl w:val="0"/>
          <w:numId w:val="8"/>
        </w:numPr>
        <w:ind w:left="720" w:hanging="360"/>
        <w:rPr>
          <w:color w:val="cc4125"/>
        </w:rPr>
      </w:pPr>
      <w:r w:rsidDel="00000000" w:rsidR="00000000" w:rsidRPr="00000000">
        <w:rPr>
          <w:color w:val="cc4125"/>
          <w:rtl w:val="0"/>
        </w:rPr>
        <w:t xml:space="preserve">create a new dataframe with the following variables? :</w:t>
      </w:r>
    </w:p>
    <w:p w:rsidR="00000000" w:rsidDel="00000000" w:rsidP="00000000" w:rsidRDefault="00000000" w:rsidRPr="00000000" w14:paraId="0000001F">
      <w:pPr>
        <w:numPr>
          <w:ilvl w:val="1"/>
          <w:numId w:val="8"/>
        </w:numPr>
        <w:ind w:left="1080" w:hanging="360"/>
        <w:rPr>
          <w:color w:val="cc4125"/>
        </w:rPr>
      </w:pPr>
      <w:r w:rsidDel="00000000" w:rsidR="00000000" w:rsidRPr="00000000">
        <w:rPr>
          <w:color w:val="cc4125"/>
          <w:rtl w:val="0"/>
        </w:rPr>
        <w:t xml:space="preserve">country</w:t>
      </w:r>
    </w:p>
    <w:p w:rsidR="00000000" w:rsidDel="00000000" w:rsidP="00000000" w:rsidRDefault="00000000" w:rsidRPr="00000000" w14:paraId="00000020">
      <w:pPr>
        <w:numPr>
          <w:ilvl w:val="1"/>
          <w:numId w:val="8"/>
        </w:numPr>
        <w:ind w:left="1080" w:hanging="360"/>
        <w:rPr>
          <w:color w:val="cc4125"/>
        </w:rPr>
      </w:pPr>
      <w:r w:rsidDel="00000000" w:rsidR="00000000" w:rsidRPr="00000000">
        <w:rPr>
          <w:color w:val="cc4125"/>
          <w:rtl w:val="0"/>
        </w:rPr>
        <w:t xml:space="preserve">Period</w:t>
      </w:r>
    </w:p>
    <w:p w:rsidR="00000000" w:rsidDel="00000000" w:rsidP="00000000" w:rsidRDefault="00000000" w:rsidRPr="00000000" w14:paraId="00000021">
      <w:pPr>
        <w:ind w:left="1440" w:firstLine="0"/>
        <w:rPr>
          <w:color w:val="cc4125"/>
        </w:rPr>
      </w:pPr>
      <w:r w:rsidDel="00000000" w:rsidR="00000000" w:rsidRPr="00000000">
        <w:rPr>
          <w:color w:val="cc4125"/>
          <w:rtl w:val="0"/>
        </w:rPr>
        <w:t xml:space="preserve">Data spans about 2 years. Periods measured in months? Quarters?</w:t>
      </w:r>
    </w:p>
    <w:p w:rsidR="00000000" w:rsidDel="00000000" w:rsidP="00000000" w:rsidRDefault="00000000" w:rsidRPr="00000000" w14:paraId="00000022">
      <w:pPr>
        <w:numPr>
          <w:ilvl w:val="1"/>
          <w:numId w:val="8"/>
        </w:numPr>
        <w:ind w:left="1080" w:hanging="360"/>
        <w:rPr>
          <w:color w:val="cc4125"/>
        </w:rPr>
      </w:pPr>
      <w:r w:rsidDel="00000000" w:rsidR="00000000" w:rsidRPr="00000000">
        <w:rPr>
          <w:color w:val="cc4125"/>
          <w:rtl w:val="0"/>
        </w:rPr>
        <w:t xml:space="preserve">sales</w:t>
      </w:r>
    </w:p>
    <w:p w:rsidR="00000000" w:rsidDel="00000000" w:rsidP="00000000" w:rsidRDefault="00000000" w:rsidRPr="00000000" w14:paraId="00000023">
      <w:pPr>
        <w:numPr>
          <w:ilvl w:val="1"/>
          <w:numId w:val="8"/>
        </w:numPr>
        <w:ind w:left="1080" w:hanging="360"/>
        <w:rPr>
          <w:color w:val="cc4125"/>
        </w:rPr>
      </w:pPr>
      <w:r w:rsidDel="00000000" w:rsidR="00000000" w:rsidRPr="00000000">
        <w:rPr>
          <w:color w:val="cc4125"/>
          <w:rtl w:val="0"/>
        </w:rPr>
        <w:t xml:space="preserve">sales growth %</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pStyle w:val="Heading2"/>
        <w:rPr/>
      </w:pPr>
      <w:r w:rsidDel="00000000" w:rsidR="00000000" w:rsidRPr="00000000">
        <w:rPr>
          <w:rtl w:val="0"/>
        </w:rPr>
        <w:t xml:space="preserve">Product &amp; Sales Analysis: Sebastian</w:t>
      </w:r>
    </w:p>
    <w:p w:rsidR="00000000" w:rsidDel="00000000" w:rsidP="00000000" w:rsidRDefault="00000000" w:rsidRPr="00000000" w14:paraId="00000026">
      <w:pPr>
        <w:rPr/>
      </w:pPr>
      <w:r w:rsidDel="00000000" w:rsidR="00000000" w:rsidRPr="00000000">
        <w:rPr>
          <w:rtl w:val="0"/>
        </w:rPr>
        <w:t xml:space="preserve">- What are the top-selling products? Which products are declining in popularity?</w:t>
      </w:r>
    </w:p>
    <w:p w:rsidR="00000000" w:rsidDel="00000000" w:rsidP="00000000" w:rsidRDefault="00000000" w:rsidRPr="00000000" w14:paraId="00000027">
      <w:pPr>
        <w:numPr>
          <w:ilvl w:val="0"/>
          <w:numId w:val="5"/>
        </w:numPr>
        <w:spacing w:after="0" w:afterAutospacing="0"/>
        <w:ind w:left="720" w:hanging="360"/>
        <w:rPr>
          <w:color w:val="cc4125"/>
        </w:rPr>
      </w:pPr>
      <w:r w:rsidDel="00000000" w:rsidR="00000000" w:rsidRPr="00000000">
        <w:rPr>
          <w:color w:val="cc4125"/>
          <w:rtl w:val="0"/>
        </w:rPr>
        <w:t xml:space="preserve">We can use the same ‘periods’ to measure popularity trends.</w:t>
      </w:r>
    </w:p>
    <w:p w:rsidR="00000000" w:rsidDel="00000000" w:rsidP="00000000" w:rsidRDefault="00000000" w:rsidRPr="00000000" w14:paraId="00000028">
      <w:pPr>
        <w:numPr>
          <w:ilvl w:val="1"/>
          <w:numId w:val="5"/>
        </w:numPr>
        <w:spacing w:after="0" w:afterAutospacing="0"/>
        <w:ind w:left="1440" w:hanging="360"/>
        <w:rPr>
          <w:color w:val="cc4125"/>
          <w:u w:val="none"/>
        </w:rPr>
      </w:pPr>
      <w:r w:rsidDel="00000000" w:rsidR="00000000" w:rsidRPr="00000000">
        <w:rPr>
          <w:color w:val="cc4125"/>
          <w:rtl w:val="0"/>
        </w:rPr>
        <w:t xml:space="preserve">Track popularity via units sold/period</w:t>
      </w:r>
    </w:p>
    <w:p w:rsidR="00000000" w:rsidDel="00000000" w:rsidP="00000000" w:rsidRDefault="00000000" w:rsidRPr="00000000" w14:paraId="00000029">
      <w:pPr>
        <w:numPr>
          <w:ilvl w:val="1"/>
          <w:numId w:val="5"/>
        </w:numPr>
        <w:spacing w:after="0" w:afterAutospacing="0"/>
        <w:ind w:left="1440" w:hanging="360"/>
        <w:rPr>
          <w:color w:val="cc4125"/>
          <w:u w:val="none"/>
        </w:rPr>
      </w:pPr>
      <w:r w:rsidDel="00000000" w:rsidR="00000000" w:rsidRPr="00000000">
        <w:rPr>
          <w:color w:val="cc4125"/>
          <w:rtl w:val="0"/>
        </w:rPr>
        <w:t xml:space="preserve">Track popularity trend via change in units sold/period</w:t>
      </w:r>
    </w:p>
    <w:p w:rsidR="00000000" w:rsidDel="00000000" w:rsidP="00000000" w:rsidRDefault="00000000" w:rsidRPr="00000000" w14:paraId="0000002A">
      <w:pPr>
        <w:numPr>
          <w:ilvl w:val="0"/>
          <w:numId w:val="5"/>
        </w:numPr>
        <w:spacing w:after="0" w:afterAutospacing="0"/>
        <w:ind w:left="720" w:hanging="360"/>
        <w:rPr>
          <w:color w:val="cc4125"/>
          <w:u w:val="none"/>
        </w:rPr>
      </w:pPr>
      <w:r w:rsidDel="00000000" w:rsidR="00000000" w:rsidRPr="00000000">
        <w:rPr>
          <w:color w:val="cc4125"/>
          <w:rtl w:val="0"/>
        </w:rPr>
        <w:t xml:space="preserve">Units sold per period?</w:t>
      </w:r>
    </w:p>
    <w:p w:rsidR="00000000" w:rsidDel="00000000" w:rsidP="00000000" w:rsidRDefault="00000000" w:rsidRPr="00000000" w14:paraId="0000002B">
      <w:pPr>
        <w:numPr>
          <w:ilvl w:val="0"/>
          <w:numId w:val="5"/>
        </w:numPr>
        <w:spacing w:after="0" w:afterAutospacing="0"/>
        <w:ind w:left="720" w:hanging="360"/>
        <w:rPr>
          <w:color w:val="cc4125"/>
          <w:u w:val="none"/>
        </w:rPr>
      </w:pPr>
      <w:r w:rsidDel="00000000" w:rsidR="00000000" w:rsidRPr="00000000">
        <w:rPr>
          <w:color w:val="cc4125"/>
          <w:rtl w:val="0"/>
        </w:rPr>
        <w:t xml:space="preserve">Revenue generated per product per period might yield more monetary value</w:t>
      </w:r>
    </w:p>
    <w:p w:rsidR="00000000" w:rsidDel="00000000" w:rsidP="00000000" w:rsidRDefault="00000000" w:rsidRPr="00000000" w14:paraId="0000002C">
      <w:pPr>
        <w:numPr>
          <w:ilvl w:val="0"/>
          <w:numId w:val="5"/>
        </w:numPr>
        <w:ind w:left="720" w:hanging="360"/>
        <w:rPr>
          <w:rFonts w:ascii="Noto Sans Symbols" w:cs="Noto Sans Symbols" w:eastAsia="Noto Sans Symbols" w:hAnsi="Noto Sans Symbols"/>
          <w:color w:val="0000ff"/>
        </w:rPr>
      </w:pPr>
      <w:r w:rsidDel="00000000" w:rsidR="00000000" w:rsidRPr="00000000">
        <w:rPr>
          <w:color w:val="0000ff"/>
          <w:rtl w:val="0"/>
        </w:rPr>
        <w:t xml:space="preserve">We can do revenue which would be Quantity * UnitPrice? </w:t>
      </w:r>
    </w:p>
    <w:p w:rsidR="00000000" w:rsidDel="00000000" w:rsidP="00000000" w:rsidRDefault="00000000" w:rsidRPr="00000000" w14:paraId="0000002D">
      <w:pPr>
        <w:rPr/>
      </w:pPr>
      <w:r w:rsidDel="00000000" w:rsidR="00000000" w:rsidRPr="00000000">
        <w:rPr>
          <w:rtl w:val="0"/>
        </w:rPr>
        <w:t xml:space="preserve">- Are there seasonal purchase patterns (e.g., holiday spikes)?</w:t>
      </w:r>
    </w:p>
    <w:p w:rsidR="00000000" w:rsidDel="00000000" w:rsidP="00000000" w:rsidRDefault="00000000" w:rsidRPr="00000000" w14:paraId="0000002E">
      <w:pPr>
        <w:numPr>
          <w:ilvl w:val="0"/>
          <w:numId w:val="4"/>
        </w:numPr>
        <w:ind w:left="720" w:hanging="360"/>
        <w:rPr>
          <w:color w:val="cc4125"/>
        </w:rPr>
      </w:pPr>
      <w:r w:rsidDel="00000000" w:rsidR="00000000" w:rsidRPr="00000000">
        <w:rPr>
          <w:color w:val="cc4125"/>
          <w:rtl w:val="0"/>
        </w:rPr>
        <w:t xml:space="preserve">Measure total revenue grouped by period</w:t>
      </w:r>
    </w:p>
    <w:p w:rsidR="00000000" w:rsidDel="00000000" w:rsidP="00000000" w:rsidRDefault="00000000" w:rsidRPr="00000000" w14:paraId="0000002F">
      <w:pPr>
        <w:rPr/>
      </w:pPr>
      <w:r w:rsidDel="00000000" w:rsidR="00000000" w:rsidRPr="00000000">
        <w:rPr>
          <w:rtl w:val="0"/>
        </w:rPr>
        <w:t xml:space="preserve">- Can we forecast demand for key products to improve stock management?</w:t>
      </w:r>
    </w:p>
    <w:p w:rsidR="00000000" w:rsidDel="00000000" w:rsidP="00000000" w:rsidRDefault="00000000" w:rsidRPr="00000000" w14:paraId="00000030">
      <w:pPr>
        <w:numPr>
          <w:ilvl w:val="0"/>
          <w:numId w:val="10"/>
        </w:numPr>
        <w:ind w:left="720" w:hanging="360"/>
        <w:rPr>
          <w:color w:val="0000ff"/>
        </w:rPr>
      </w:pPr>
      <w:r w:rsidDel="00000000" w:rsidR="00000000" w:rsidRPr="00000000">
        <w:rPr>
          <w:color w:val="0000ff"/>
          <w:rtl w:val="0"/>
        </w:rPr>
        <w:t xml:space="preserve">So look at the highest selling products and their past monthly sales and maybe create a time series? (got this idea from chat)</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pStyle w:val="Heading2"/>
        <w:rPr/>
      </w:pPr>
      <w:r w:rsidDel="00000000" w:rsidR="00000000" w:rsidRPr="00000000">
        <w:rPr>
          <w:rtl w:val="0"/>
        </w:rPr>
        <w:t xml:space="preserve">Marketing &amp; Retention: David</w:t>
      </w:r>
    </w:p>
    <w:p w:rsidR="00000000" w:rsidDel="00000000" w:rsidP="00000000" w:rsidRDefault="00000000" w:rsidRPr="00000000" w14:paraId="00000033">
      <w:pPr>
        <w:rPr/>
      </w:pPr>
      <w:r w:rsidDel="00000000" w:rsidR="00000000" w:rsidRPr="00000000">
        <w:rPr>
          <w:rtl w:val="0"/>
        </w:rPr>
        <w:t xml:space="preserve">- Which customers are at risk of churn? -David</w:t>
      </w:r>
    </w:p>
    <w:p w:rsidR="00000000" w:rsidDel="00000000" w:rsidP="00000000" w:rsidRDefault="00000000" w:rsidRPr="00000000" w14:paraId="00000034">
      <w:pPr>
        <w:numPr>
          <w:ilvl w:val="0"/>
          <w:numId w:val="2"/>
        </w:numPr>
        <w:spacing w:after="0" w:afterAutospacing="0"/>
        <w:ind w:left="720" w:hanging="360"/>
        <w:rPr>
          <w:color w:val="cc4125"/>
        </w:rPr>
      </w:pPr>
      <w:r w:rsidDel="00000000" w:rsidR="00000000" w:rsidRPr="00000000">
        <w:rPr>
          <w:color w:val="cc4125"/>
          <w:rtl w:val="0"/>
        </w:rPr>
        <w:t xml:space="preserve">Could implement RFM scores to order customers and target the middle segment?</w:t>
      </w:r>
    </w:p>
    <w:p w:rsidR="00000000" w:rsidDel="00000000" w:rsidP="00000000" w:rsidRDefault="00000000" w:rsidRPr="00000000" w14:paraId="00000035">
      <w:pPr>
        <w:numPr>
          <w:ilvl w:val="0"/>
          <w:numId w:val="2"/>
        </w:numPr>
        <w:spacing w:after="0" w:afterAutospacing="0"/>
        <w:ind w:left="720" w:hanging="360"/>
        <w:rPr>
          <w:color w:val="cc4125"/>
          <w:u w:val="none"/>
        </w:rPr>
      </w:pPr>
      <w:r w:rsidDel="00000000" w:rsidR="00000000" w:rsidRPr="00000000">
        <w:rPr>
          <w:color w:val="cc4125"/>
          <w:rtl w:val="0"/>
        </w:rPr>
        <w:t xml:space="preserve">Implement churn prediction model:</w:t>
      </w:r>
    </w:p>
    <w:p w:rsidR="00000000" w:rsidDel="00000000" w:rsidP="00000000" w:rsidRDefault="00000000" w:rsidRPr="00000000" w14:paraId="00000036">
      <w:pPr>
        <w:numPr>
          <w:ilvl w:val="1"/>
          <w:numId w:val="2"/>
        </w:numPr>
        <w:spacing w:after="0" w:afterAutospacing="0"/>
        <w:ind w:left="1440" w:hanging="360"/>
        <w:rPr>
          <w:color w:val="cc4125"/>
          <w:u w:val="none"/>
        </w:rPr>
      </w:pPr>
      <w:r w:rsidDel="00000000" w:rsidR="00000000" w:rsidRPr="00000000">
        <w:rPr>
          <w:color w:val="cc4125"/>
          <w:rtl w:val="0"/>
        </w:rPr>
        <w:t xml:space="preserve">Define churn as no purchase in x days (e.g. 90 days)</w:t>
      </w:r>
    </w:p>
    <w:p w:rsidR="00000000" w:rsidDel="00000000" w:rsidP="00000000" w:rsidRDefault="00000000" w:rsidRPr="00000000" w14:paraId="00000037">
      <w:pPr>
        <w:numPr>
          <w:ilvl w:val="1"/>
          <w:numId w:val="2"/>
        </w:numPr>
        <w:ind w:left="1440" w:hanging="360"/>
        <w:rPr>
          <w:color w:val="cc4125"/>
          <w:u w:val="none"/>
        </w:rPr>
      </w:pPr>
      <w:r w:rsidDel="00000000" w:rsidR="00000000" w:rsidRPr="00000000">
        <w:rPr>
          <w:color w:val="cc4125"/>
          <w:rtl w:val="0"/>
        </w:rPr>
        <w:t xml:space="preserve">Build ML model like log regression or RF using features like RFM, revenue growth trend, product concentration, country, etc.</w:t>
      </w:r>
    </w:p>
    <w:p w:rsidR="00000000" w:rsidDel="00000000" w:rsidP="00000000" w:rsidRDefault="00000000" w:rsidRPr="00000000" w14:paraId="00000038">
      <w:pPr>
        <w:rPr/>
      </w:pPr>
      <w:r w:rsidDel="00000000" w:rsidR="00000000" w:rsidRPr="00000000">
        <w:rPr>
          <w:rtl w:val="0"/>
        </w:rPr>
        <w:t xml:space="preserve">- Can we predict which customers are most likely to respond to promotions? - Manuel</w:t>
      </w:r>
    </w:p>
    <w:p w:rsidR="00000000" w:rsidDel="00000000" w:rsidP="00000000" w:rsidRDefault="00000000" w:rsidRPr="00000000" w14:paraId="00000039">
      <w:pPr>
        <w:numPr>
          <w:ilvl w:val="0"/>
          <w:numId w:val="9"/>
        </w:numPr>
        <w:spacing w:after="0" w:afterAutospacing="0"/>
        <w:ind w:left="720" w:hanging="360"/>
        <w:rPr>
          <w:color w:val="cc4125"/>
        </w:rPr>
      </w:pPr>
      <w:r w:rsidDel="00000000" w:rsidR="00000000" w:rsidRPr="00000000">
        <w:rPr>
          <w:color w:val="cc4125"/>
          <w:rtl w:val="0"/>
        </w:rPr>
        <w:t xml:space="preserve">Can we? We don’t have any clear “response” variable to gauge customer engagement</w:t>
      </w:r>
    </w:p>
    <w:p w:rsidR="00000000" w:rsidDel="00000000" w:rsidP="00000000" w:rsidRDefault="00000000" w:rsidRPr="00000000" w14:paraId="0000003A">
      <w:pPr>
        <w:numPr>
          <w:ilvl w:val="1"/>
          <w:numId w:val="9"/>
        </w:numPr>
        <w:ind w:left="1440" w:hanging="360"/>
        <w:rPr>
          <w:color w:val="cc4125"/>
          <w:u w:val="none"/>
        </w:rPr>
      </w:pPr>
      <w:r w:rsidDel="00000000" w:rsidR="00000000" w:rsidRPr="00000000">
        <w:rPr>
          <w:color w:val="cc4125"/>
          <w:rtl w:val="0"/>
        </w:rPr>
        <w:t xml:space="preserve">Built a random forest model that confirms the rfm logic. Is able to assign likelihood of promotional response by reverse engineering the rfm logic.  For new customers, it can label them for promotional purposes.</w:t>
      </w:r>
    </w:p>
    <w:p w:rsidR="00000000" w:rsidDel="00000000" w:rsidP="00000000" w:rsidRDefault="00000000" w:rsidRPr="00000000" w14:paraId="0000003B">
      <w:pPr>
        <w:rPr/>
      </w:pPr>
      <w:r w:rsidDel="00000000" w:rsidR="00000000" w:rsidRPr="00000000">
        <w:rPr>
          <w:rtl w:val="0"/>
        </w:rPr>
        <w:t xml:space="preserve">- How can pricing strategies be adjusted to increase basket value? -  Sebastian </w:t>
      </w:r>
    </w:p>
    <w:p w:rsidR="00000000" w:rsidDel="00000000" w:rsidP="00000000" w:rsidRDefault="00000000" w:rsidRPr="00000000" w14:paraId="0000003C">
      <w:pPr>
        <w:numPr>
          <w:ilvl w:val="0"/>
          <w:numId w:val="1"/>
        </w:numPr>
        <w:spacing w:after="0" w:afterAutospacing="0"/>
        <w:ind w:left="720" w:hanging="360"/>
        <w:rPr>
          <w:color w:val="cc4125"/>
        </w:rPr>
      </w:pPr>
      <w:r w:rsidDel="00000000" w:rsidR="00000000" w:rsidRPr="00000000">
        <w:rPr>
          <w:color w:val="cc4125"/>
          <w:rtl w:val="0"/>
        </w:rPr>
        <w:t xml:space="preserve">Basket size = number of items bought in a single transaction</w:t>
      </w:r>
    </w:p>
    <w:p w:rsidR="00000000" w:rsidDel="00000000" w:rsidP="00000000" w:rsidRDefault="00000000" w:rsidRPr="00000000" w14:paraId="0000003D">
      <w:pPr>
        <w:numPr>
          <w:ilvl w:val="0"/>
          <w:numId w:val="1"/>
        </w:numPr>
        <w:spacing w:after="0" w:afterAutospacing="0"/>
        <w:ind w:left="720" w:hanging="360"/>
        <w:rPr>
          <w:color w:val="cc4125"/>
          <w:u w:val="none"/>
        </w:rPr>
      </w:pPr>
      <w:r w:rsidDel="00000000" w:rsidR="00000000" w:rsidRPr="00000000">
        <w:rPr>
          <w:color w:val="cc4125"/>
          <w:rtl w:val="0"/>
        </w:rPr>
        <w:t xml:space="preserve">Increasing average basket size, or ABV, involves tactics like </w:t>
      </w:r>
      <w:r w:rsidDel="00000000" w:rsidR="00000000" w:rsidRPr="00000000">
        <w:rPr>
          <w:color w:val="cc4125"/>
          <w:u w:val="single"/>
          <w:rtl w:val="0"/>
        </w:rPr>
        <w:t xml:space="preserve">product bundling</w:t>
      </w:r>
      <w:r w:rsidDel="00000000" w:rsidR="00000000" w:rsidRPr="00000000">
        <w:rPr>
          <w:color w:val="cc4125"/>
          <w:rtl w:val="0"/>
        </w:rPr>
        <w:t xml:space="preserve"> and </w:t>
      </w:r>
      <w:r w:rsidDel="00000000" w:rsidR="00000000" w:rsidRPr="00000000">
        <w:rPr>
          <w:color w:val="cc4125"/>
          <w:u w:val="single"/>
          <w:rtl w:val="0"/>
        </w:rPr>
        <w:t xml:space="preserve">tiered discounts</w:t>
      </w:r>
      <w:r w:rsidDel="00000000" w:rsidR="00000000" w:rsidRPr="00000000">
        <w:rPr>
          <w:rtl w:val="0"/>
        </w:rPr>
      </w:r>
    </w:p>
    <w:p w:rsidR="00000000" w:rsidDel="00000000" w:rsidP="00000000" w:rsidRDefault="00000000" w:rsidRPr="00000000" w14:paraId="0000003E">
      <w:pPr>
        <w:numPr>
          <w:ilvl w:val="0"/>
          <w:numId w:val="1"/>
        </w:numPr>
        <w:spacing w:after="0" w:afterAutospacing="0"/>
        <w:ind w:left="720" w:hanging="360"/>
        <w:rPr>
          <w:color w:val="cc4125"/>
          <w:u w:val="none"/>
        </w:rPr>
      </w:pPr>
      <w:r w:rsidDel="00000000" w:rsidR="00000000" w:rsidRPr="00000000">
        <w:rPr>
          <w:color w:val="cc4125"/>
          <w:rtl w:val="0"/>
        </w:rPr>
        <w:t xml:space="preserve">Product bundling: group key items together at a discounted rate</w:t>
      </w:r>
    </w:p>
    <w:p w:rsidR="00000000" w:rsidDel="00000000" w:rsidP="00000000" w:rsidRDefault="00000000" w:rsidRPr="00000000" w14:paraId="0000003F">
      <w:pPr>
        <w:numPr>
          <w:ilvl w:val="1"/>
          <w:numId w:val="1"/>
        </w:numPr>
        <w:spacing w:after="0" w:afterAutospacing="0"/>
        <w:ind w:left="1440" w:hanging="360"/>
        <w:rPr>
          <w:color w:val="cc4125"/>
          <w:u w:val="none"/>
        </w:rPr>
      </w:pPr>
      <w:r w:rsidDel="00000000" w:rsidR="00000000" w:rsidRPr="00000000">
        <w:rPr>
          <w:color w:val="cc4125"/>
          <w:rtl w:val="0"/>
        </w:rPr>
        <w:t xml:space="preserve">Ex. if you buy a pair of gloves, you can get a pack of hand warmers for half price</w:t>
      </w:r>
    </w:p>
    <w:p w:rsidR="00000000" w:rsidDel="00000000" w:rsidP="00000000" w:rsidRDefault="00000000" w:rsidRPr="00000000" w14:paraId="00000040">
      <w:pPr>
        <w:numPr>
          <w:ilvl w:val="1"/>
          <w:numId w:val="1"/>
        </w:numPr>
        <w:spacing w:after="0" w:afterAutospacing="0"/>
        <w:ind w:left="1440" w:hanging="360"/>
        <w:rPr>
          <w:color w:val="cc4125"/>
          <w:u w:val="none"/>
        </w:rPr>
      </w:pPr>
      <w:r w:rsidDel="00000000" w:rsidR="00000000" w:rsidRPr="00000000">
        <w:rPr>
          <w:color w:val="cc4125"/>
          <w:rtl w:val="0"/>
        </w:rPr>
        <w:t xml:space="preserve">We could maybe train a model to predict which items are most likely to be bought together and make some bundle recommendations to the company</w:t>
      </w:r>
    </w:p>
    <w:p w:rsidR="00000000" w:rsidDel="00000000" w:rsidP="00000000" w:rsidRDefault="00000000" w:rsidRPr="00000000" w14:paraId="00000041">
      <w:pPr>
        <w:numPr>
          <w:ilvl w:val="0"/>
          <w:numId w:val="1"/>
        </w:numPr>
        <w:spacing w:after="0" w:afterAutospacing="0"/>
        <w:ind w:left="720" w:hanging="360"/>
        <w:rPr>
          <w:color w:val="cc4125"/>
          <w:u w:val="none"/>
        </w:rPr>
      </w:pPr>
      <w:r w:rsidDel="00000000" w:rsidR="00000000" w:rsidRPr="00000000">
        <w:rPr>
          <w:color w:val="cc4125"/>
          <w:rtl w:val="0"/>
        </w:rPr>
        <w:t xml:space="preserve">Tiered discounts: create easy-to-understand discounts that come with purchasing a certain amount</w:t>
      </w:r>
    </w:p>
    <w:p w:rsidR="00000000" w:rsidDel="00000000" w:rsidP="00000000" w:rsidRDefault="00000000" w:rsidRPr="00000000" w14:paraId="00000042">
      <w:pPr>
        <w:numPr>
          <w:ilvl w:val="1"/>
          <w:numId w:val="1"/>
        </w:numPr>
        <w:spacing w:after="0" w:afterAutospacing="0"/>
        <w:ind w:left="1440" w:hanging="360"/>
        <w:rPr>
          <w:color w:val="cc4125"/>
          <w:u w:val="none"/>
        </w:rPr>
      </w:pPr>
      <w:r w:rsidDel="00000000" w:rsidR="00000000" w:rsidRPr="00000000">
        <w:rPr>
          <w:color w:val="cc4125"/>
          <w:rtl w:val="0"/>
        </w:rPr>
        <w:t xml:space="preserve">Ex. “15% off of orders $100 or more,” “Buy 2 get 1 free”</w:t>
      </w:r>
    </w:p>
    <w:p w:rsidR="00000000" w:rsidDel="00000000" w:rsidP="00000000" w:rsidRDefault="00000000" w:rsidRPr="00000000" w14:paraId="00000043">
      <w:pPr>
        <w:numPr>
          <w:ilvl w:val="1"/>
          <w:numId w:val="1"/>
        </w:numPr>
        <w:spacing w:after="0" w:afterAutospacing="0"/>
        <w:ind w:left="1440" w:hanging="360"/>
        <w:rPr>
          <w:color w:val="cc4125"/>
          <w:u w:val="none"/>
        </w:rPr>
      </w:pPr>
      <w:r w:rsidDel="00000000" w:rsidR="00000000" w:rsidRPr="00000000">
        <w:rPr>
          <w:color w:val="cc4125"/>
          <w:rtl w:val="0"/>
        </w:rPr>
        <w:t xml:space="preserve">We could run some analyses on which products people are likely to buy more than one of in a single transaction, then set a tier based on general customer behavior</w:t>
      </w:r>
    </w:p>
    <w:p w:rsidR="00000000" w:rsidDel="00000000" w:rsidP="00000000" w:rsidRDefault="00000000" w:rsidRPr="00000000" w14:paraId="00000044">
      <w:pPr>
        <w:numPr>
          <w:ilvl w:val="1"/>
          <w:numId w:val="1"/>
        </w:numPr>
        <w:ind w:left="1440" w:hanging="360"/>
        <w:rPr>
          <w:color w:val="cc4125"/>
          <w:u w:val="none"/>
        </w:rPr>
      </w:pPr>
      <w:r w:rsidDel="00000000" w:rsidR="00000000" w:rsidRPr="00000000">
        <w:rPr>
          <w:color w:val="cc4125"/>
          <w:rtl w:val="0"/>
        </w:rPr>
        <w:t xml:space="preserve">Ex. if we find that “set 6 paper cups” are frequently bought in bulk, we could find out if people are likely to buy them at certain quantities and recommend tiers based on those quantities</w:t>
      </w:r>
    </w:p>
    <w:p w:rsidR="00000000" w:rsidDel="00000000" w:rsidP="00000000" w:rsidRDefault="00000000" w:rsidRPr="00000000" w14:paraId="00000045">
      <w:pPr>
        <w:pStyle w:val="Heading2"/>
        <w:rPr/>
      </w:pPr>
      <w:r w:rsidDel="00000000" w:rsidR="00000000" w:rsidRPr="00000000">
        <w:rPr>
          <w:rtl w:val="0"/>
        </w:rPr>
        <w:t xml:space="preserve">Fraud &amp; Operations: Manuel</w:t>
      </w:r>
    </w:p>
    <w:p w:rsidR="00000000" w:rsidDel="00000000" w:rsidP="00000000" w:rsidRDefault="00000000" w:rsidRPr="00000000" w14:paraId="00000046">
      <w:pPr>
        <w:rPr/>
      </w:pPr>
      <w:r w:rsidDel="00000000" w:rsidR="00000000" w:rsidRPr="00000000">
        <w:rPr>
          <w:rtl w:val="0"/>
        </w:rPr>
        <w:t xml:space="preserve">- Are there anomalies in transaction data (e.g., negative quantities, high-value orders)?</w:t>
      </w:r>
    </w:p>
    <w:p w:rsidR="00000000" w:rsidDel="00000000" w:rsidP="00000000" w:rsidRDefault="00000000" w:rsidRPr="00000000" w14:paraId="00000047">
      <w:pPr>
        <w:numPr>
          <w:ilvl w:val="0"/>
          <w:numId w:val="3"/>
        </w:numPr>
        <w:spacing w:after="0" w:afterAutospacing="0"/>
        <w:ind w:left="720" w:hanging="360"/>
        <w:rPr>
          <w:color w:val="cc4125"/>
        </w:rPr>
      </w:pPr>
      <w:r w:rsidDel="00000000" w:rsidR="00000000" w:rsidRPr="00000000">
        <w:rPr>
          <w:color w:val="cc4125"/>
          <w:rtl w:val="0"/>
        </w:rPr>
        <w:t xml:space="preserve">Things to check for: </w:t>
      </w:r>
    </w:p>
    <w:p w:rsidR="00000000" w:rsidDel="00000000" w:rsidP="00000000" w:rsidRDefault="00000000" w:rsidRPr="00000000" w14:paraId="00000048">
      <w:pPr>
        <w:numPr>
          <w:ilvl w:val="1"/>
          <w:numId w:val="3"/>
        </w:numPr>
        <w:spacing w:after="0" w:afterAutospacing="0"/>
        <w:ind w:left="1440" w:hanging="360"/>
        <w:rPr>
          <w:color w:val="cc4125"/>
          <w:u w:val="none"/>
        </w:rPr>
      </w:pPr>
      <w:r w:rsidDel="00000000" w:rsidR="00000000" w:rsidRPr="00000000">
        <w:rPr>
          <w:color w:val="cc4125"/>
          <w:rtl w:val="0"/>
        </w:rPr>
        <w:t xml:space="preserve">Negative any numerical value</w:t>
      </w:r>
    </w:p>
    <w:p w:rsidR="00000000" w:rsidDel="00000000" w:rsidP="00000000" w:rsidRDefault="00000000" w:rsidRPr="00000000" w14:paraId="00000049">
      <w:pPr>
        <w:numPr>
          <w:ilvl w:val="1"/>
          <w:numId w:val="3"/>
        </w:numPr>
        <w:spacing w:after="0" w:afterAutospacing="0"/>
        <w:ind w:left="1440" w:hanging="360"/>
        <w:rPr>
          <w:color w:val="cc4125"/>
          <w:u w:val="none"/>
        </w:rPr>
      </w:pPr>
      <w:r w:rsidDel="00000000" w:rsidR="00000000" w:rsidRPr="00000000">
        <w:rPr>
          <w:color w:val="cc4125"/>
          <w:rtl w:val="0"/>
        </w:rPr>
        <w:t xml:space="preserve">1:1 relationship between stock code and description</w:t>
      </w:r>
    </w:p>
    <w:p w:rsidR="00000000" w:rsidDel="00000000" w:rsidP="00000000" w:rsidRDefault="00000000" w:rsidRPr="00000000" w14:paraId="0000004A">
      <w:pPr>
        <w:numPr>
          <w:ilvl w:val="1"/>
          <w:numId w:val="3"/>
        </w:numPr>
        <w:spacing w:after="0" w:afterAutospacing="0"/>
        <w:ind w:left="1440" w:hanging="360"/>
        <w:rPr>
          <w:color w:val="cc4125"/>
          <w:u w:val="none"/>
        </w:rPr>
      </w:pPr>
      <w:r w:rsidDel="00000000" w:rsidR="00000000" w:rsidRPr="00000000">
        <w:rPr>
          <w:color w:val="cc4125"/>
          <w:rtl w:val="0"/>
        </w:rPr>
        <w:t xml:space="preserve">Abnormally large orders</w:t>
      </w:r>
    </w:p>
    <w:p w:rsidR="00000000" w:rsidDel="00000000" w:rsidP="00000000" w:rsidRDefault="00000000" w:rsidRPr="00000000" w14:paraId="0000004B">
      <w:pPr>
        <w:numPr>
          <w:ilvl w:val="0"/>
          <w:numId w:val="3"/>
        </w:numPr>
        <w:ind w:left="720" w:hanging="360"/>
        <w:rPr>
          <w:color w:val="cc4125"/>
          <w:u w:val="none"/>
        </w:rPr>
      </w:pPr>
      <w:r w:rsidDel="00000000" w:rsidR="00000000" w:rsidRPr="00000000">
        <w:rPr>
          <w:color w:val="cc4125"/>
          <w:rtl w:val="0"/>
        </w:rPr>
        <w:t xml:space="preserve">Per Dr. Roy: this is the most open-ended objective. Training models for this purpose is not necessary</w:t>
      </w:r>
    </w:p>
    <w:p w:rsidR="00000000" w:rsidDel="00000000" w:rsidP="00000000" w:rsidRDefault="00000000" w:rsidRPr="00000000" w14:paraId="0000004C">
      <w:pPr>
        <w:rPr/>
      </w:pPr>
      <w:r w:rsidDel="00000000" w:rsidR="00000000" w:rsidRPr="00000000">
        <w:rPr>
          <w:rtl w:val="0"/>
        </w:rPr>
        <w:t xml:space="preserve">- Which regions or product categories have higher cancellation/return rates?</w:t>
      </w:r>
    </w:p>
    <w:p w:rsidR="00000000" w:rsidDel="00000000" w:rsidP="00000000" w:rsidRDefault="00000000" w:rsidRPr="00000000" w14:paraId="0000004D">
      <w:pPr>
        <w:numPr>
          <w:ilvl w:val="0"/>
          <w:numId w:val="12"/>
        </w:numPr>
        <w:ind w:left="720" w:hanging="360"/>
        <w:rPr>
          <w:color w:val="0000ff"/>
        </w:rPr>
      </w:pPr>
      <w:r w:rsidDel="00000000" w:rsidR="00000000" w:rsidRPr="00000000">
        <w:rPr>
          <w:color w:val="0000ff"/>
          <w:rtl w:val="0"/>
        </w:rPr>
        <w:t xml:space="preserve">Return rate = # of returns /  total transactions . (Chat says) create return flag, then compute the return rate by country </w:t>
      </w:r>
    </w:p>
    <w:p w:rsidR="00000000" w:rsidDel="00000000" w:rsidP="00000000" w:rsidRDefault="00000000" w:rsidRPr="00000000" w14:paraId="0000004E">
      <w:pPr>
        <w:pStyle w:val="Heading1"/>
        <w:rPr/>
      </w:pPr>
      <w:r w:rsidDel="00000000" w:rsidR="00000000" w:rsidRPr="00000000">
        <w:rPr>
          <w:rtl w:val="0"/>
        </w:rPr>
        <w:t xml:space="preserve">4. Analytical Approaches</w:t>
      </w:r>
    </w:p>
    <w:p w:rsidR="00000000" w:rsidDel="00000000" w:rsidP="00000000" w:rsidRDefault="00000000" w:rsidRPr="00000000" w14:paraId="0000004F">
      <w:pPr>
        <w:rPr/>
      </w:pPr>
      <w:r w:rsidDel="00000000" w:rsidR="00000000" w:rsidRPr="00000000">
        <w:rPr>
          <w:rtl w:val="0"/>
        </w:rPr>
        <w:t xml:space="preserve">- Exploratory Data Analysis (EDA): Distribution of sales, seasonal trends, revenue per country.</w:t>
      </w:r>
    </w:p>
    <w:p w:rsidR="00000000" w:rsidDel="00000000" w:rsidP="00000000" w:rsidRDefault="00000000" w:rsidRPr="00000000" w14:paraId="00000050">
      <w:pPr>
        <w:rPr/>
      </w:pPr>
      <w:r w:rsidDel="00000000" w:rsidR="00000000" w:rsidRPr="00000000">
        <w:rPr>
          <w:rtl w:val="0"/>
        </w:rPr>
        <w:t xml:space="preserve">- Customer Segmentation: Clustering (K-means, hierarchical) on Recency, Frequency, Monetary value.</w:t>
      </w:r>
    </w:p>
    <w:p w:rsidR="00000000" w:rsidDel="00000000" w:rsidP="00000000" w:rsidRDefault="00000000" w:rsidRPr="00000000" w14:paraId="00000051">
      <w:pPr>
        <w:rPr/>
      </w:pPr>
      <w:r w:rsidDel="00000000" w:rsidR="00000000" w:rsidRPr="00000000">
        <w:rPr>
          <w:rtl w:val="0"/>
        </w:rPr>
        <w:t xml:space="preserve">- Churn Prediction: Use predictive models (Logistic Regression, LDA, SVM, Decision Trees).</w:t>
      </w:r>
    </w:p>
    <w:p w:rsidR="00000000" w:rsidDel="00000000" w:rsidP="00000000" w:rsidRDefault="00000000" w:rsidRPr="00000000" w14:paraId="00000052">
      <w:pPr>
        <w:rPr/>
      </w:pPr>
      <w:r w:rsidDel="00000000" w:rsidR="00000000" w:rsidRPr="00000000">
        <w:rPr>
          <w:rtl w:val="0"/>
        </w:rPr>
        <w:t xml:space="preserve">- Demand Forecasting: Time-series models (ARIMA, Trend &amp; Seasonal) for product sales. </w:t>
      </w:r>
    </w:p>
    <w:p w:rsidR="00000000" w:rsidDel="00000000" w:rsidP="00000000" w:rsidRDefault="00000000" w:rsidRPr="00000000" w14:paraId="00000053">
      <w:pPr>
        <w:rPr/>
      </w:pPr>
      <w:r w:rsidDel="00000000" w:rsidR="00000000" w:rsidRPr="00000000">
        <w:rPr>
          <w:rtl w:val="0"/>
        </w:rPr>
        <w:t xml:space="preserve">- Anomaly Detection: Outlier detection to spot unusual transactions.  </w:t>
      </w:r>
    </w:p>
    <w:p w:rsidR="00000000" w:rsidDel="00000000" w:rsidP="00000000" w:rsidRDefault="00000000" w:rsidRPr="00000000" w14:paraId="00000054">
      <w:pPr>
        <w:pStyle w:val="Heading1"/>
        <w:rPr/>
      </w:pPr>
      <w:r w:rsidDel="00000000" w:rsidR="00000000" w:rsidRPr="00000000">
        <w:rPr>
          <w:rtl w:val="0"/>
        </w:rPr>
        <w:t xml:space="preserve">5. Actionable Insights</w:t>
      </w:r>
    </w:p>
    <w:p w:rsidR="00000000" w:rsidDel="00000000" w:rsidP="00000000" w:rsidRDefault="00000000" w:rsidRPr="00000000" w14:paraId="00000055">
      <w:pPr>
        <w:rPr/>
      </w:pPr>
      <w:r w:rsidDel="00000000" w:rsidR="00000000" w:rsidRPr="00000000">
        <w:rPr>
          <w:rtl w:val="0"/>
        </w:rPr>
        <w:t xml:space="preserve">- Identify VIP customers and design loyalty/reward programs.</w:t>
      </w:r>
    </w:p>
    <w:p w:rsidR="00000000" w:rsidDel="00000000" w:rsidP="00000000" w:rsidRDefault="00000000" w:rsidRPr="00000000" w14:paraId="00000056">
      <w:pPr>
        <w:rPr/>
      </w:pPr>
      <w:r w:rsidDel="00000000" w:rsidR="00000000" w:rsidRPr="00000000">
        <w:rPr>
          <w:rtl w:val="0"/>
        </w:rPr>
        <w:t xml:space="preserve">- Optimize stock levels for frequently purchased items.</w:t>
      </w:r>
    </w:p>
    <w:p w:rsidR="00000000" w:rsidDel="00000000" w:rsidP="00000000" w:rsidRDefault="00000000" w:rsidRPr="00000000" w14:paraId="00000057">
      <w:pPr>
        <w:rPr/>
      </w:pPr>
      <w:r w:rsidDel="00000000" w:rsidR="00000000" w:rsidRPr="00000000">
        <w:rPr>
          <w:rtl w:val="0"/>
        </w:rPr>
        <w:t xml:space="preserve">- Detect and reduce fraudulent invoices and errors.</w:t>
      </w:r>
    </w:p>
    <w:p w:rsidR="00000000" w:rsidDel="00000000" w:rsidP="00000000" w:rsidRDefault="00000000" w:rsidRPr="00000000" w14:paraId="00000058">
      <w:pPr>
        <w:rPr/>
      </w:pPr>
      <w:r w:rsidDel="00000000" w:rsidR="00000000" w:rsidRPr="00000000">
        <w:rPr>
          <w:rtl w:val="0"/>
        </w:rPr>
        <w:t xml:space="preserve">- Design personalized promotions for specific customer groups.</w:t>
      </w:r>
    </w:p>
    <w:p w:rsidR="00000000" w:rsidDel="00000000" w:rsidP="00000000" w:rsidRDefault="00000000" w:rsidRPr="00000000" w14:paraId="00000059">
      <w:pPr>
        <w:rPr/>
      </w:pPr>
      <w:r w:rsidDel="00000000" w:rsidR="00000000" w:rsidRPr="00000000">
        <w:rPr>
          <w:rtl w:val="0"/>
        </w:rPr>
        <w:t xml:space="preserve">- Expand into high-performing countries based on purchase trends. </w:t>
      </w:r>
    </w:p>
    <w:p w:rsidR="00000000" w:rsidDel="00000000" w:rsidP="00000000" w:rsidRDefault="00000000" w:rsidRPr="00000000" w14:paraId="0000005A">
      <w:pPr>
        <w:pStyle w:val="Heading1"/>
        <w:rPr/>
      </w:pPr>
      <w:r w:rsidDel="00000000" w:rsidR="00000000" w:rsidRPr="00000000">
        <w:rPr>
          <w:rtl w:val="0"/>
        </w:rPr>
        <w:t xml:space="preserve">6. Case Study Structure </w:t>
      </w:r>
    </w:p>
    <w:p w:rsidR="00000000" w:rsidDel="00000000" w:rsidP="00000000" w:rsidRDefault="00000000" w:rsidRPr="00000000" w14:paraId="0000005B">
      <w:pPr>
        <w:rPr/>
      </w:pPr>
      <w:r w:rsidDel="00000000" w:rsidR="00000000" w:rsidRPr="00000000">
        <w:rPr>
          <w:rtl w:val="0"/>
        </w:rPr>
        <w:t xml:space="preserve">- Understanding the business context – Why customer behavior matters in retail.</w:t>
      </w:r>
    </w:p>
    <w:p w:rsidR="00000000" w:rsidDel="00000000" w:rsidP="00000000" w:rsidRDefault="00000000" w:rsidRPr="00000000" w14:paraId="0000005C">
      <w:pPr>
        <w:rPr/>
      </w:pPr>
      <w:r w:rsidDel="00000000" w:rsidR="00000000" w:rsidRPr="00000000">
        <w:rPr>
          <w:rtl w:val="0"/>
        </w:rPr>
        <w:t xml:space="preserve">- Cleaning and preparing data – Handling missing values, duplicates, and cancellations.</w:t>
      </w:r>
    </w:p>
    <w:p w:rsidR="00000000" w:rsidDel="00000000" w:rsidP="00000000" w:rsidRDefault="00000000" w:rsidRPr="00000000" w14:paraId="0000005D">
      <w:pPr>
        <w:numPr>
          <w:ilvl w:val="0"/>
          <w:numId w:val="6"/>
        </w:numPr>
        <w:ind w:left="720" w:hanging="360"/>
        <w:rPr>
          <w:color w:val="a61c00"/>
        </w:rPr>
      </w:pPr>
      <w:r w:rsidDel="00000000" w:rsidR="00000000" w:rsidRPr="00000000">
        <w:rPr>
          <w:color w:val="a61c00"/>
          <w:rtl w:val="0"/>
        </w:rPr>
        <w:t xml:space="preserve">DO THIS FIRST</w:t>
      </w:r>
    </w:p>
    <w:p w:rsidR="00000000" w:rsidDel="00000000" w:rsidP="00000000" w:rsidRDefault="00000000" w:rsidRPr="00000000" w14:paraId="0000005E">
      <w:pPr>
        <w:rPr/>
      </w:pPr>
      <w:r w:rsidDel="00000000" w:rsidR="00000000" w:rsidRPr="00000000">
        <w:rPr>
          <w:rtl w:val="0"/>
        </w:rPr>
        <w:t xml:space="preserve">- Performing EDA – Discover trends and generate hypotheses.</w:t>
      </w:r>
    </w:p>
    <w:p w:rsidR="00000000" w:rsidDel="00000000" w:rsidP="00000000" w:rsidRDefault="00000000" w:rsidRPr="00000000" w14:paraId="0000005F">
      <w:pPr>
        <w:rPr>
          <w:highlight w:val="yellow"/>
        </w:rPr>
      </w:pPr>
      <w:r w:rsidDel="00000000" w:rsidR="00000000" w:rsidRPr="00000000">
        <w:rPr>
          <w:highlight w:val="yellow"/>
          <w:rtl w:val="0"/>
        </w:rPr>
        <w:t xml:space="preserve">- Building models – Clustering for segmentation, classification for churn, forecasting for demand.</w:t>
      </w:r>
    </w:p>
    <w:p w:rsidR="00000000" w:rsidDel="00000000" w:rsidP="00000000" w:rsidRDefault="00000000" w:rsidRPr="00000000" w14:paraId="00000060">
      <w:pPr>
        <w:rPr/>
      </w:pPr>
      <w:r w:rsidDel="00000000" w:rsidR="00000000" w:rsidRPr="00000000">
        <w:rPr>
          <w:rtl w:val="0"/>
        </w:rPr>
        <w:t xml:space="preserve">- Evaluating results – Compare models with business objectives.</w:t>
      </w:r>
    </w:p>
    <w:p w:rsidR="00000000" w:rsidDel="00000000" w:rsidP="00000000" w:rsidRDefault="00000000" w:rsidRPr="00000000" w14:paraId="00000061">
      <w:pPr>
        <w:widowControl w:val="1"/>
        <w:spacing w:after="200" w:before="0" w:line="276" w:lineRule="auto"/>
        <w:jc w:val="left"/>
        <w:rPr/>
      </w:pPr>
      <w:r w:rsidDel="00000000" w:rsidR="00000000" w:rsidRPr="00000000">
        <w:rPr>
          <w:rtl w:val="0"/>
        </w:rPr>
        <w:t xml:space="preserve">- Making recommendations – Translate insights into strategic actions.</w:t>
      </w:r>
    </w:p>
    <w:sectPr>
      <w:pgSz w:h="15840" w:w="12240" w:orient="portrait"/>
      <w:pgMar w:bottom="1440" w:top="1440" w:left="1080" w:right="1080" w:header="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080" w:hanging="360"/>
      </w:pPr>
      <w:rPr>
        <w:rFonts w:ascii="Noto Sans Symbols" w:cs="Noto Sans Symbols" w:eastAsia="Noto Sans Symbols" w:hAnsi="Noto Sans Symbols"/>
      </w:rPr>
    </w:lvl>
    <w:lvl w:ilvl="2">
      <w:start w:val="1"/>
      <w:numFmt w:val="bullet"/>
      <w:lvlText w:val="▪"/>
      <w:lvlJc w:val="left"/>
      <w:pPr>
        <w:ind w:left="1440" w:hanging="360"/>
      </w:pPr>
      <w:rPr>
        <w:rFonts w:ascii="Noto Sans Symbols" w:cs="Noto Sans Symbols" w:eastAsia="Noto Sans Symbols" w:hAnsi="Noto Sans Symbols"/>
      </w:rPr>
    </w:lvl>
    <w:lvl w:ilvl="3">
      <w:start w:val="1"/>
      <w:numFmt w:val="bullet"/>
      <w:lvlText w:val="●"/>
      <w:lvlJc w:val="left"/>
      <w:pPr>
        <w:ind w:left="1800" w:hanging="360"/>
      </w:pPr>
      <w:rPr>
        <w:rFonts w:ascii="Noto Sans Symbols" w:cs="Noto Sans Symbols" w:eastAsia="Noto Sans Symbols" w:hAnsi="Noto Sans Symbols"/>
      </w:rPr>
    </w:lvl>
    <w:lvl w:ilvl="4">
      <w:start w:val="1"/>
      <w:numFmt w:val="bullet"/>
      <w:lvlText w:val="◦"/>
      <w:lvlJc w:val="left"/>
      <w:pPr>
        <w:ind w:left="2160" w:hanging="360"/>
      </w:pPr>
      <w:rPr>
        <w:rFonts w:ascii="Noto Sans Symbols" w:cs="Noto Sans Symbols" w:eastAsia="Noto Sans Symbols" w:hAnsi="Noto Sans Symbols"/>
      </w:rPr>
    </w:lvl>
    <w:lvl w:ilvl="5">
      <w:start w:val="1"/>
      <w:numFmt w:val="bullet"/>
      <w:lvlText w:val="▪"/>
      <w:lvlJc w:val="left"/>
      <w:pPr>
        <w:ind w:left="2520" w:hanging="360"/>
      </w:pPr>
      <w:rPr>
        <w:rFonts w:ascii="Noto Sans Symbols" w:cs="Noto Sans Symbols" w:eastAsia="Noto Sans Symbols" w:hAnsi="Noto Sans Symbols"/>
      </w:rPr>
    </w:lvl>
    <w:lvl w:ilvl="6">
      <w:start w:val="1"/>
      <w:numFmt w:val="bullet"/>
      <w:lvlText w:val="●"/>
      <w:lvlJc w:val="left"/>
      <w:pPr>
        <w:ind w:left="2880" w:hanging="360"/>
      </w:pPr>
      <w:rPr>
        <w:rFonts w:ascii="Noto Sans Symbols" w:cs="Noto Sans Symbols" w:eastAsia="Noto Sans Symbols" w:hAnsi="Noto Sans Symbols"/>
      </w:rPr>
    </w:lvl>
    <w:lvl w:ilvl="7">
      <w:start w:val="1"/>
      <w:numFmt w:val="bullet"/>
      <w:lvlText w:val="◦"/>
      <w:lvlJc w:val="left"/>
      <w:pPr>
        <w:ind w:left="3240" w:hanging="360"/>
      </w:pPr>
      <w:rPr>
        <w:rFonts w:ascii="Noto Sans Symbols" w:cs="Noto Sans Symbols" w:eastAsia="Noto Sans Symbols" w:hAnsi="Noto Sans Symbols"/>
      </w:rPr>
    </w:lvl>
    <w:lvl w:ilvl="8">
      <w:start w:val="1"/>
      <w:numFmt w:val="bullet"/>
      <w:lvlText w:val="▪"/>
      <w:lvlJc w:val="left"/>
      <w:pPr>
        <w:ind w:left="3600" w:hanging="360"/>
      </w:pPr>
      <w:rPr>
        <w:rFonts w:ascii="Noto Sans Symbols" w:cs="Noto Sans Symbols" w:eastAsia="Noto Sans Symbols" w:hAnsi="Noto Sans Symbols"/>
      </w:rPr>
    </w:lvl>
  </w:abstractNum>
  <w:abstractNum w:abstractNumId="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080" w:hanging="360"/>
      </w:pPr>
      <w:rPr>
        <w:rFonts w:ascii="Noto Sans Symbols" w:cs="Noto Sans Symbols" w:eastAsia="Noto Sans Symbols" w:hAnsi="Noto Sans Symbols"/>
      </w:rPr>
    </w:lvl>
    <w:lvl w:ilvl="2">
      <w:start w:val="1"/>
      <w:numFmt w:val="bullet"/>
      <w:lvlText w:val="▪"/>
      <w:lvlJc w:val="left"/>
      <w:pPr>
        <w:ind w:left="1440" w:hanging="360"/>
      </w:pPr>
      <w:rPr>
        <w:rFonts w:ascii="Noto Sans Symbols" w:cs="Noto Sans Symbols" w:eastAsia="Noto Sans Symbols" w:hAnsi="Noto Sans Symbols"/>
      </w:rPr>
    </w:lvl>
    <w:lvl w:ilvl="3">
      <w:start w:val="1"/>
      <w:numFmt w:val="bullet"/>
      <w:lvlText w:val="●"/>
      <w:lvlJc w:val="left"/>
      <w:pPr>
        <w:ind w:left="1800" w:hanging="360"/>
      </w:pPr>
      <w:rPr>
        <w:rFonts w:ascii="Noto Sans Symbols" w:cs="Noto Sans Symbols" w:eastAsia="Noto Sans Symbols" w:hAnsi="Noto Sans Symbols"/>
      </w:rPr>
    </w:lvl>
    <w:lvl w:ilvl="4">
      <w:start w:val="1"/>
      <w:numFmt w:val="bullet"/>
      <w:lvlText w:val="◦"/>
      <w:lvlJc w:val="left"/>
      <w:pPr>
        <w:ind w:left="2160" w:hanging="360"/>
      </w:pPr>
      <w:rPr>
        <w:rFonts w:ascii="Noto Sans Symbols" w:cs="Noto Sans Symbols" w:eastAsia="Noto Sans Symbols" w:hAnsi="Noto Sans Symbols"/>
      </w:rPr>
    </w:lvl>
    <w:lvl w:ilvl="5">
      <w:start w:val="1"/>
      <w:numFmt w:val="bullet"/>
      <w:lvlText w:val="▪"/>
      <w:lvlJc w:val="left"/>
      <w:pPr>
        <w:ind w:left="2520" w:hanging="360"/>
      </w:pPr>
      <w:rPr>
        <w:rFonts w:ascii="Noto Sans Symbols" w:cs="Noto Sans Symbols" w:eastAsia="Noto Sans Symbols" w:hAnsi="Noto Sans Symbols"/>
      </w:rPr>
    </w:lvl>
    <w:lvl w:ilvl="6">
      <w:start w:val="1"/>
      <w:numFmt w:val="bullet"/>
      <w:lvlText w:val="●"/>
      <w:lvlJc w:val="left"/>
      <w:pPr>
        <w:ind w:left="2880" w:hanging="360"/>
      </w:pPr>
      <w:rPr>
        <w:rFonts w:ascii="Noto Sans Symbols" w:cs="Noto Sans Symbols" w:eastAsia="Noto Sans Symbols" w:hAnsi="Noto Sans Symbols"/>
      </w:rPr>
    </w:lvl>
    <w:lvl w:ilvl="7">
      <w:start w:val="1"/>
      <w:numFmt w:val="bullet"/>
      <w:lvlText w:val="◦"/>
      <w:lvlJc w:val="left"/>
      <w:pPr>
        <w:ind w:left="3240" w:hanging="360"/>
      </w:pPr>
      <w:rPr>
        <w:rFonts w:ascii="Noto Sans Symbols" w:cs="Noto Sans Symbols" w:eastAsia="Noto Sans Symbols" w:hAnsi="Noto Sans Symbols"/>
      </w:rPr>
    </w:lvl>
    <w:lvl w:ilvl="8">
      <w:start w:val="1"/>
      <w:numFmt w:val="bullet"/>
      <w:lvlText w:val="▪"/>
      <w:lvlJc w:val="left"/>
      <w:pPr>
        <w:ind w:left="3600" w:hanging="360"/>
      </w:pPr>
      <w:rPr>
        <w:rFonts w:ascii="Noto Sans Symbols" w:cs="Noto Sans Symbols" w:eastAsia="Noto Sans Symbols" w:hAnsi="Noto Sans Symbols"/>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before="0" w:line="240" w:lineRule="auto"/>
    </w:pPr>
    <w:rPr>
      <w:rFonts w:ascii="Calibri" w:cs="Calibri" w:eastAsia="Calibri" w:hAnsi="Calibri"/>
      <w:color w:val="17365d"/>
      <w:sz w:val="52"/>
      <w:szCs w:val="52"/>
    </w:rPr>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Calibri" w:cs="" w:eastAsia="ＭＳ ゴシック" w:hAnsi="Calibri"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Calibri" w:cs="" w:eastAsia="ＭＳ ゴシック" w:hAnsi="Calibri"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Calibri" w:cs="" w:eastAsia="ＭＳ ゴシック" w:hAnsi="Calibri"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qFormat w:val="1"/>
    <w:rPr/>
  </w:style>
  <w:style w:type="character" w:styleId="HeaderChar" w:customStyle="1">
    <w:name w:val="Header Char"/>
    <w:basedOn w:val="DefaultParagraphFont"/>
    <w:link w:val="Header"/>
    <w:uiPriority w:val="99"/>
    <w:qFormat w:val="1"/>
    <w:rsid w:val="00E618BF"/>
    <w:rPr/>
  </w:style>
  <w:style w:type="character" w:styleId="FooterChar" w:customStyle="1">
    <w:name w:val="Footer Char"/>
    <w:basedOn w:val="DefaultParagraphFont"/>
    <w:link w:val="Footer"/>
    <w:uiPriority w:val="99"/>
    <w:qFormat w:val="1"/>
    <w:rsid w:val="00E618BF"/>
    <w:rPr/>
  </w:style>
  <w:style w:type="character" w:styleId="Heading1Char" w:customStyle="1">
    <w:name w:val="Heading 1 Char"/>
    <w:basedOn w:val="DefaultParagraphFont"/>
    <w:link w:val="Heading1"/>
    <w:uiPriority w:val="9"/>
    <w:qFormat w:val="1"/>
    <w:rsid w:val="00FC693F"/>
    <w:rPr>
      <w:rFonts w:ascii="Calibri" w:cs="" w:eastAsia="ＭＳ ゴシック" w:hAnsi="Calibri"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qFormat w:val="1"/>
    <w:rsid w:val="00FC693F"/>
    <w:rPr>
      <w:rFonts w:ascii="Calibri" w:cs="" w:eastAsia="ＭＳ ゴシック" w:hAnsi="Calibri"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qFormat w:val="1"/>
    <w:rsid w:val="00FC693F"/>
    <w:rPr>
      <w:rFonts w:ascii="Calibri" w:cs="" w:eastAsia="ＭＳ ゴシック" w:hAnsi="Calibri"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qFormat w:val="1"/>
    <w:rsid w:val="00FC693F"/>
    <w:rPr>
      <w:rFonts w:ascii="Calibri" w:cs="" w:eastAsia="ＭＳ ゴシック" w:hAnsi="Calibri" w:asciiTheme="majorHAnsi" w:cstheme="majorBidi" w:eastAsiaTheme="majorEastAsia" w:hAnsiTheme="majorHAnsi"/>
      <w:color w:val="17365d" w:themeColor="text2" w:themeShade="0000BF"/>
      <w:spacing w:val="5"/>
      <w:kern w:val="2"/>
      <w:sz w:val="52"/>
      <w:szCs w:val="52"/>
    </w:rPr>
  </w:style>
  <w:style w:type="character" w:styleId="SubtitleChar" w:customStyle="1">
    <w:name w:val="Subtitle Char"/>
    <w:basedOn w:val="DefaultParagraphFont"/>
    <w:link w:val="Subtitle"/>
    <w:uiPriority w:val="11"/>
    <w:qFormat w:val="1"/>
    <w:rsid w:val="00FC693F"/>
    <w:rPr>
      <w:rFonts w:ascii="Calibri" w:cs="" w:eastAsia="ＭＳ ゴシック" w:hAnsi="Calibri" w:asciiTheme="majorHAnsi" w:cstheme="majorBidi" w:eastAsiaTheme="majorEastAsia" w:hAnsiTheme="majorHAnsi"/>
      <w:i w:val="1"/>
      <w:iCs w:val="1"/>
      <w:color w:val="4f81bd" w:themeColor="accent1"/>
      <w:spacing w:val="15"/>
      <w:sz w:val="24"/>
      <w:szCs w:val="24"/>
    </w:rPr>
  </w:style>
  <w:style w:type="character" w:styleId="BodyTextChar" w:customStyle="1">
    <w:name w:val="Body Text Char"/>
    <w:basedOn w:val="DefaultParagraphFont"/>
    <w:uiPriority w:val="99"/>
    <w:qFormat w:val="1"/>
    <w:rsid w:val="00AA1D8D"/>
    <w:rPr/>
  </w:style>
  <w:style w:type="character" w:styleId="BodyText2Char" w:customStyle="1">
    <w:name w:val="Body Text 2 Char"/>
    <w:basedOn w:val="DefaultParagraphFont"/>
    <w:link w:val="BodyText2"/>
    <w:uiPriority w:val="99"/>
    <w:qFormat w:val="1"/>
    <w:rsid w:val="00AA1D8D"/>
    <w:rPr/>
  </w:style>
  <w:style w:type="character" w:styleId="BodyText3Char" w:customStyle="1">
    <w:name w:val="Body Text 3 Char"/>
    <w:basedOn w:val="DefaultParagraphFont"/>
    <w:link w:val="BodyText3"/>
    <w:uiPriority w:val="99"/>
    <w:qFormat w:val="1"/>
    <w:rsid w:val="00AA1D8D"/>
    <w:rPr>
      <w:sz w:val="16"/>
      <w:szCs w:val="16"/>
    </w:rPr>
  </w:style>
  <w:style w:type="character" w:styleId="MacroTextChar" w:customStyle="1">
    <w:name w:val="Macro Text Char"/>
    <w:basedOn w:val="DefaultParagraphFont"/>
    <w:link w:val="macro"/>
    <w:uiPriority w:val="99"/>
    <w:qFormat w:val="1"/>
    <w:rsid w:val="0029639D"/>
    <w:rPr>
      <w:rFonts w:ascii="Courier" w:hAnsi="Courier"/>
      <w:sz w:val="20"/>
      <w:szCs w:val="20"/>
    </w:rPr>
  </w:style>
  <w:style w:type="character" w:styleId="QuoteChar" w:customStyle="1">
    <w:name w:val="Quote Char"/>
    <w:basedOn w:val="DefaultParagraphFont"/>
    <w:link w:val="Quote"/>
    <w:uiPriority w:val="29"/>
    <w:qFormat w:val="1"/>
    <w:rsid w:val="00FC693F"/>
    <w:rPr>
      <w:i w:val="1"/>
      <w:iCs w:val="1"/>
      <w:color w:val="000000" w:themeColor="text1"/>
    </w:rPr>
  </w:style>
  <w:style w:type="character" w:styleId="Heading4Char" w:customStyle="1">
    <w:name w:val="Heading 4 Char"/>
    <w:basedOn w:val="DefaultParagraphFont"/>
    <w:link w:val="Heading4"/>
    <w:uiPriority w:val="9"/>
    <w:semiHidden w:val="1"/>
    <w:qFormat w:val="1"/>
    <w:rsid w:val="00FC693F"/>
    <w:rPr>
      <w:rFonts w:ascii="Calibri" w:cs="" w:eastAsia="ＭＳ ゴシック" w:hAnsi="Calibri"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qFormat w:val="1"/>
    <w:rsid w:val="00FC693F"/>
    <w:rPr>
      <w:rFonts w:ascii="Calibri" w:cs="" w:eastAsia="ＭＳ ゴシック" w:hAnsi="Calibri"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qFormat w:val="1"/>
    <w:rsid w:val="00FC693F"/>
    <w:rPr>
      <w:rFonts w:ascii="Calibri" w:cs="" w:eastAsia="ＭＳ ゴシック" w:hAnsi="Calibri"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qFormat w:val="1"/>
    <w:rsid w:val="00FC693F"/>
    <w:rPr>
      <w:rFonts w:ascii="Calibri" w:cs="" w:eastAsia="ＭＳ ゴシック" w:hAnsi="Calibri"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qFormat w:val="1"/>
    <w:rsid w:val="00FC693F"/>
    <w:rPr>
      <w:rFonts w:ascii="Calibri" w:cs="" w:eastAsia="ＭＳ ゴシック" w:hAnsi="Calibri"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qFormat w:val="1"/>
    <w:rsid w:val="00FC693F"/>
    <w:rPr>
      <w:rFonts w:ascii="Calibri" w:cs="" w:eastAsia="ＭＳ ゴシック" w:hAnsi="Calibri" w:asciiTheme="majorHAnsi" w:cstheme="majorBidi" w:eastAsiaTheme="majorEastAsia" w:hAnsiTheme="majorHAnsi"/>
      <w:i w:val="1"/>
      <w:iCs w:val="1"/>
      <w:color w:val="404040" w:themeColor="text1" w:themeTint="0000BF"/>
      <w:sz w:val="20"/>
      <w:szCs w:val="20"/>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character" w:styleId="IntenseQuoteChar" w:customStyle="1">
    <w:name w:val="Intense Quote Char"/>
    <w:basedOn w:val="DefaultParagraphFont"/>
    <w:link w:val="IntenseQuote"/>
    <w:uiPriority w:val="30"/>
    <w:qFormat w:val="1"/>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character" w:styleId="Bullets">
    <w:name w:val="Bullets"/>
    <w:qFormat w:val="1"/>
    <w:rPr>
      <w:rFonts w:ascii="OpenSymbol" w:cs="OpenSymbol" w:eastAsia="OpenSymbol" w:hAnsi="OpenSymbol"/>
    </w:rPr>
  </w:style>
  <w:style w:type="paragraph" w:styleId="Heading">
    <w:name w:val="Heading"/>
    <w:basedOn w:val="Normal"/>
    <w:next w:val="BodyText"/>
    <w:qFormat w:val="1"/>
    <w:pPr>
      <w:keepNext w:val="1"/>
      <w:spacing w:after="120" w:before="240"/>
    </w:pPr>
    <w:rPr>
      <w:rFonts w:ascii="Liberation Sans" w:cs="Noto Sans Devanagari" w:eastAsia="Noto Sans CJK SC" w:hAnsi="Liberation Sans"/>
      <w:sz w:val="28"/>
      <w:szCs w:val="28"/>
    </w:rPr>
  </w:style>
  <w:style w:type="paragraph" w:styleId="BodyText">
    <w:name w:val="Body Text"/>
    <w:basedOn w:val="Normal"/>
    <w:link w:val="BodyTextChar"/>
    <w:uiPriority w:val="99"/>
    <w:unhideWhenUsed w:val="1"/>
    <w:rsid w:val="00AA1D8D"/>
    <w:pPr>
      <w:spacing w:after="120" w:before="0"/>
    </w:pPr>
    <w:rPr/>
  </w:style>
  <w:style w:type="paragraph" w:styleId="List">
    <w:name w:val="List"/>
    <w:basedOn w:val="Normal"/>
    <w:uiPriority w:val="99"/>
    <w:unhideWhenUsed w:val="1"/>
    <w:rsid w:val="00AA1D8D"/>
    <w:pPr>
      <w:spacing w:after="200" w:before="0"/>
      <w:ind w:left="360" w:hanging="360"/>
      <w:contextualSpacing w:val="1"/>
    </w:pPr>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paragraph" w:styleId="Index">
    <w:name w:val="Index"/>
    <w:basedOn w:val="Normal"/>
    <w:qFormat w:val="1"/>
    <w:pPr>
      <w:suppressLineNumbers w:val="1"/>
    </w:pPr>
    <w:rPr>
      <w:rFonts w:cs="Noto Sans Devanagari"/>
    </w:rPr>
  </w:style>
  <w:style w:type="paragraph" w:styleId="HeaderandFooter">
    <w:name w:val="Header and Footer"/>
    <w:basedOn w:val="Normal"/>
    <w:qFormat w:val="1"/>
    <w:pPr/>
    <w:rPr/>
  </w:style>
  <w:style w:type="paragraph" w:styleId="Header">
    <w:name w:val="Header"/>
    <w:basedOn w:val="Normal"/>
    <w:link w:val="HeaderChar"/>
    <w:uiPriority w:val="99"/>
    <w:unhideWhenUsed w:val="1"/>
    <w:rsid w:val="00E618BF"/>
    <w:pPr>
      <w:tabs>
        <w:tab w:val="clear" w:pos="720"/>
        <w:tab w:val="center" w:leader="none" w:pos="4680"/>
        <w:tab w:val="right" w:leader="none" w:pos="9360"/>
      </w:tabs>
      <w:spacing w:after="0" w:before="0" w:line="240" w:lineRule="auto"/>
    </w:pPr>
    <w:rPr/>
  </w:style>
  <w:style w:type="paragraph" w:styleId="Footer">
    <w:name w:val="Footer"/>
    <w:basedOn w:val="Normal"/>
    <w:link w:val="FooterChar"/>
    <w:uiPriority w:val="99"/>
    <w:unhideWhenUsed w:val="1"/>
    <w:rsid w:val="00E618BF"/>
    <w:pPr>
      <w:tabs>
        <w:tab w:val="clear" w:pos="720"/>
        <w:tab w:val="center" w:leader="none" w:pos="4680"/>
        <w:tab w:val="right" w:leader="none" w:pos="9360"/>
      </w:tabs>
      <w:spacing w:after="0" w:before="0" w:line="240" w:lineRule="auto"/>
    </w:pPr>
    <w:rPr/>
  </w:style>
  <w:style w:type="paragraph" w:styleId="NoSpacing">
    <w:name w:val="No Spacing"/>
    <w:uiPriority w:val="1"/>
    <w:qFormat w:val="1"/>
    <w:rsid w:val="00FC693F"/>
    <w:pPr>
      <w:widowControl w:val="1"/>
      <w:bidi w:val="0"/>
      <w:spacing w:after="0" w:before="0" w:line="240" w:lineRule="auto"/>
      <w:jc w:val="left"/>
    </w:pPr>
    <w:rPr>
      <w:rFonts w:ascii="Cambria" w:cs="" w:eastAsia="ＭＳ 明朝" w:hAnsi="Cambria" w:asciiTheme="minorHAnsi" w:cstheme="minorBidi" w:eastAsiaTheme="minorEastAsia" w:hAnsiTheme="minorHAnsi"/>
      <w:color w:val="auto"/>
      <w:kern w:val="0"/>
      <w:sz w:val="22"/>
      <w:szCs w:val="22"/>
      <w:lang w:bidi="ar-SA" w:eastAsia="en-US" w:val="en-US"/>
    </w:rPr>
  </w:style>
  <w:style w:type="paragraph" w:styleId="ListParagraph">
    <w:name w:val="List Paragraph"/>
    <w:basedOn w:val="Normal"/>
    <w:uiPriority w:val="34"/>
    <w:qFormat w:val="1"/>
    <w:rsid w:val="00FC693F"/>
    <w:pPr>
      <w:spacing w:after="200" w:before="0"/>
      <w:ind w:left="720"/>
      <w:contextualSpacing w:val="1"/>
    </w:pPr>
    <w:rPr/>
  </w:style>
  <w:style w:type="paragraph" w:styleId="BodyText2">
    <w:name w:val="Body Text 2"/>
    <w:basedOn w:val="Normal"/>
    <w:link w:val="BodyText2Char"/>
    <w:uiPriority w:val="99"/>
    <w:unhideWhenUsed w:val="1"/>
    <w:qFormat w:val="1"/>
    <w:rsid w:val="00AA1D8D"/>
    <w:pPr>
      <w:spacing w:after="120" w:before="0" w:line="480" w:lineRule="auto"/>
    </w:pPr>
    <w:rPr/>
  </w:style>
  <w:style w:type="paragraph" w:styleId="BodyText3">
    <w:name w:val="Body Text 3"/>
    <w:basedOn w:val="Normal"/>
    <w:link w:val="BodyText3Char"/>
    <w:uiPriority w:val="99"/>
    <w:unhideWhenUsed w:val="1"/>
    <w:qFormat w:val="1"/>
    <w:rsid w:val="00AA1D8D"/>
    <w:pPr>
      <w:spacing w:after="120" w:before="0"/>
    </w:pPr>
    <w:rPr>
      <w:sz w:val="16"/>
      <w:szCs w:val="16"/>
    </w:rPr>
  </w:style>
  <w:style w:type="paragraph" w:styleId="List2">
    <w:name w:val="List 2"/>
    <w:basedOn w:val="Normal"/>
    <w:uiPriority w:val="99"/>
    <w:unhideWhenUsed w:val="1"/>
    <w:qFormat w:val="1"/>
    <w:rsid w:val="00326F90"/>
    <w:pPr>
      <w:spacing w:after="200" w:before="0"/>
      <w:ind w:left="720" w:hanging="360"/>
      <w:contextualSpacing w:val="1"/>
    </w:pPr>
    <w:rPr/>
  </w:style>
  <w:style w:type="paragraph" w:styleId="List3">
    <w:name w:val="List 3"/>
    <w:basedOn w:val="Normal"/>
    <w:uiPriority w:val="99"/>
    <w:unhideWhenUsed w:val="1"/>
    <w:qFormat w:val="1"/>
    <w:rsid w:val="00326F90"/>
    <w:pPr>
      <w:spacing w:after="200" w:before="0"/>
      <w:ind w:left="1080" w:hanging="360"/>
      <w:contextualSpacing w:val="1"/>
    </w:pPr>
    <w:rPr/>
  </w:style>
  <w:style w:type="paragraph" w:styleId="ListBullet">
    <w:name w:val="List Bullet"/>
    <w:basedOn w:val="Normal"/>
    <w:uiPriority w:val="99"/>
    <w:unhideWhenUsed w:val="1"/>
    <w:rsid w:val="00326F90"/>
    <w:pPr>
      <w:numPr>
        <w:ilvl w:val="0"/>
        <w:numId w:val="1"/>
      </w:numPr>
      <w:spacing w:after="200" w:before="0"/>
      <w:contextualSpacing w:val="1"/>
    </w:pPr>
    <w:rPr/>
  </w:style>
  <w:style w:type="paragraph" w:styleId="ListBullet2">
    <w:name w:val="List Bullet 2"/>
    <w:basedOn w:val="Normal"/>
    <w:uiPriority w:val="99"/>
    <w:unhideWhenUsed w:val="1"/>
    <w:rsid w:val="00326F90"/>
    <w:pPr>
      <w:numPr>
        <w:ilvl w:val="0"/>
        <w:numId w:val="2"/>
      </w:numPr>
      <w:spacing w:after="200" w:before="0"/>
      <w:contextualSpacing w:val="1"/>
    </w:pPr>
    <w:rPr/>
  </w:style>
  <w:style w:type="paragraph" w:styleId="ListBullet3">
    <w:name w:val="List Bullet 3"/>
    <w:basedOn w:val="Normal"/>
    <w:uiPriority w:val="99"/>
    <w:unhideWhenUsed w:val="1"/>
    <w:rsid w:val="00326F90"/>
    <w:pPr>
      <w:numPr>
        <w:ilvl w:val="0"/>
        <w:numId w:val="3"/>
      </w:numPr>
      <w:spacing w:after="200" w:before="0"/>
      <w:contextualSpacing w:val="1"/>
    </w:pPr>
    <w:rPr/>
  </w:style>
  <w:style w:type="paragraph" w:styleId="ListNumber">
    <w:name w:val="List Number"/>
    <w:basedOn w:val="Normal"/>
    <w:uiPriority w:val="99"/>
    <w:unhideWhenUsed w:val="1"/>
    <w:rsid w:val="00326F90"/>
    <w:pPr>
      <w:numPr>
        <w:ilvl w:val="0"/>
        <w:numId w:val="4"/>
      </w:numPr>
      <w:spacing w:after="200" w:before="0"/>
      <w:contextualSpacing w:val="1"/>
    </w:pPr>
    <w:rPr/>
  </w:style>
  <w:style w:type="paragraph" w:styleId="ListNumber2">
    <w:name w:val="List Number 2"/>
    <w:basedOn w:val="Normal"/>
    <w:uiPriority w:val="99"/>
    <w:unhideWhenUsed w:val="1"/>
    <w:rsid w:val="0029639D"/>
    <w:pPr>
      <w:numPr>
        <w:ilvl w:val="0"/>
        <w:numId w:val="5"/>
      </w:numPr>
      <w:spacing w:after="200" w:before="0"/>
      <w:contextualSpacing w:val="1"/>
    </w:pPr>
    <w:rPr/>
  </w:style>
  <w:style w:type="paragraph" w:styleId="ListNumber3">
    <w:name w:val="List Number 3"/>
    <w:basedOn w:val="Normal"/>
    <w:uiPriority w:val="99"/>
    <w:unhideWhenUsed w:val="1"/>
    <w:rsid w:val="0029639D"/>
    <w:pPr>
      <w:numPr>
        <w:ilvl w:val="0"/>
        <w:numId w:val="6"/>
      </w:numPr>
      <w:spacing w:after="200" w:before="0"/>
      <w:contextualSpacing w:val="1"/>
    </w:pPr>
    <w:rPr/>
  </w:style>
  <w:style w:type="paragraph" w:styleId="ListContinue">
    <w:name w:val="List Continue"/>
    <w:basedOn w:val="Normal"/>
    <w:uiPriority w:val="99"/>
    <w:unhideWhenUsed w:val="1"/>
    <w:rsid w:val="0029639D"/>
    <w:pPr>
      <w:spacing w:after="120" w:before="0"/>
      <w:ind w:left="360"/>
      <w:contextualSpacing w:val="1"/>
    </w:pPr>
    <w:rPr/>
  </w:style>
  <w:style w:type="paragraph" w:styleId="ListContinue2">
    <w:name w:val="List Continue 2"/>
    <w:basedOn w:val="Normal"/>
    <w:uiPriority w:val="99"/>
    <w:unhideWhenUsed w:val="1"/>
    <w:rsid w:val="0029639D"/>
    <w:pPr>
      <w:spacing w:after="120" w:before="0"/>
      <w:ind w:left="720"/>
      <w:contextualSpacing w:val="1"/>
    </w:pPr>
    <w:rPr/>
  </w:style>
  <w:style w:type="paragraph" w:styleId="ListContinue3">
    <w:name w:val="List Continue 3"/>
    <w:basedOn w:val="Normal"/>
    <w:uiPriority w:val="99"/>
    <w:unhideWhenUsed w:val="1"/>
    <w:rsid w:val="0029639D"/>
    <w:pPr>
      <w:spacing w:after="120" w:before="0"/>
      <w:ind w:left="1080"/>
      <w:contextualSpacing w:val="1"/>
    </w:pPr>
    <w:rPr/>
  </w:style>
  <w:style w:type="paragraph" w:styleId="macro">
    <w:name w:val="macro"/>
    <w:link w:val="MacroTextChar"/>
    <w:uiPriority w:val="99"/>
    <w:unhideWhenUsed w:val="1"/>
    <w:qFormat w:val="1"/>
    <w:rsid w:val="0029639D"/>
    <w:pPr>
      <w:widowControl w:val="1"/>
      <w:tabs>
        <w:tab w:val="clear" w:pos="720"/>
        <w:tab w:val="left" w:leader="none" w:pos="576"/>
        <w:tab w:val="left" w:leader="none" w:pos="1152"/>
        <w:tab w:val="left" w:leader="none" w:pos="1728"/>
        <w:tab w:val="left" w:leader="none" w:pos="2304"/>
        <w:tab w:val="left" w:leader="none" w:pos="2880"/>
        <w:tab w:val="left" w:leader="none" w:pos="3456"/>
        <w:tab w:val="left" w:leader="none" w:pos="4032"/>
      </w:tabs>
      <w:bidi w:val="0"/>
      <w:spacing w:after="200" w:before="0" w:line="276" w:lineRule="auto"/>
      <w:jc w:val="left"/>
    </w:pPr>
    <w:rPr>
      <w:rFonts w:ascii="Courier" w:cs="" w:eastAsia="ＭＳ 明朝" w:hAnsi="Courier" w:cstheme="minorBidi" w:eastAsiaTheme="minorEastAsia"/>
      <w:color w:val="auto"/>
      <w:kern w:val="0"/>
      <w:sz w:val="20"/>
      <w:szCs w:val="20"/>
      <w:lang w:bidi="ar-SA" w:eastAsia="en-US" w:val="en-US"/>
    </w:rPr>
  </w:style>
  <w:style w:type="paragraph" w:styleId="Quote">
    <w:name w:val="Quote"/>
    <w:basedOn w:val="Normal"/>
    <w:next w:val="Normal"/>
    <w:link w:val="QuoteChar"/>
    <w:uiPriority w:val="29"/>
    <w:qFormat w:val="1"/>
    <w:rsid w:val="00FC693F"/>
    <w:pPr/>
    <w:rPr>
      <w:i w:val="1"/>
      <w:iCs w:val="1"/>
      <w:color w:val="000000" w:themeColor="text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paragraph" w:styleId="IndexHeading">
    <w:name w:val="Index Heading"/>
    <w:basedOn w:val="Heading"/>
    <w:pPr/>
    <w:rPr/>
  </w:style>
  <w:style w:type="paragraph" w:styleId="TOCHeading">
    <w:name w:val="TOC Heading"/>
    <w:basedOn w:val="Heading1"/>
    <w:next w:val="Normal"/>
    <w:uiPriority w:val="39"/>
    <w:semiHidden w:val="1"/>
    <w:unhideWhenUsed w:val="1"/>
    <w:qFormat w:val="1"/>
    <w:rsid w:val="00FC693F"/>
    <w:pPr>
      <w:outlineLvl w:val="9"/>
    </w:pPr>
    <w:rPr/>
  </w:style>
  <w:style w:type="numbering" w:styleId="NoList" w:default="1">
    <w:name w:val="No List"/>
    <w:uiPriority w:val="99"/>
    <w:semiHidden w:val="1"/>
    <w:unhideWhenUsed w:val="1"/>
    <w:qFormat w:val="1"/>
  </w:style>
  <w:style w:type="table" w:styleId="TableNormal" w:default="1">
    <w:name w:val="Normal Table"/>
    <w:uiPriority w:val="99"/>
    <w:semiHidden w:val="1"/>
    <w:unhideWhenUsed w:val="1"/>
    <w:tblPr>
      <w:tblCellMar>
        <w:top w:w="0.0" w:type="dxa"/>
        <w:left w:w="108.0" w:type="dxa"/>
        <w:bottom w:w="0.0" w:type="dxa"/>
        <w:right w:w="108.0" w:type="dxa"/>
      </w:tblCellMar>
    </w:tblPr>
  </w:style>
  <w:style w:type="table" w:styleId="TableGrid">
    <w:name w:val="Table Grid"/>
    <w:basedOn w:val="TableNormal"/>
    <w:uiPriority w:val="59"/>
    <w:rsid w:val="00FC693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LightShading">
    <w:name w:val="Light Shading"/>
    <w:basedOn w:val="TableNormal"/>
    <w:uiPriority w:val="60"/>
    <w:rsid w:val="00FC693F"/>
    <w:pPr>
      <w:spacing w:after="0" w:line="240" w:lineRule="auto"/>
    </w:pPr>
    <w:rPr>
      <w:color w:themeColor="text1" w:themeShade="0000BF"/>
    </w:rPr>
    <w:tblPr>
      <w:tblStyleRowBandSize w:val="1"/>
      <w:tblStyleColBandSize w:val="1"/>
      <w:tblBorders>
        <w:top w:color="000000" w:space="0" w:sz="8" w:themeColor="text1" w:val="single"/>
        <w:bottom w:color="000000" w:space="0" w:sz="8" w:themeColor="text1" w:val="single"/>
      </w:tblBorders>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Pr/>
    </w:tblStylePr>
    <w:tblStylePr w:type="lastCol">
      <w:rPr>
        <w:b w:val="1"/>
        <w:bCs w:val="1"/>
      </w:rPr>
      <w:tbl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themeColor="accent1" w:themeShade="0000BF"/>
    </w:rPr>
    <w:tblPr>
      <w:tblStyleRowBandSize w:val="1"/>
      <w:tblStyleColBandSize w:val="1"/>
      <w:tblBorders>
        <w:top w:color="4f81bd" w:space="0" w:sz="8" w:themeColor="accent1" w:val="single"/>
        <w:bottom w:color="4f81bd" w:space="0" w:sz="8" w:themeColor="accent1" w:val="single"/>
      </w:tblBorders>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Pr/>
    </w:tblStylePr>
    <w:tblStylePr w:type="lastCol">
      <w:rPr>
        <w:b w:val="1"/>
        <w:bCs w:val="1"/>
      </w:rPr>
      <w:tbl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themeColor="accent2" w:themeShade="0000BF"/>
    </w:rPr>
    <w:tblPr>
      <w:tblStyleRowBandSize w:val="1"/>
      <w:tblStyleColBandSize w:val="1"/>
      <w:tblBorders>
        <w:top w:color="c0504d" w:space="0" w:sz="8" w:themeColor="accent2" w:val="single"/>
        <w:bottom w:color="c0504d" w:space="0" w:sz="8" w:themeColor="accent2" w:val="single"/>
      </w:tblBorders>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Pr/>
    </w:tblStylePr>
    <w:tblStylePr w:type="lastCol">
      <w:rPr>
        <w:b w:val="1"/>
        <w:bCs w:val="1"/>
      </w:rPr>
      <w:tbl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themeColor="accent3" w:themeShade="0000BF"/>
    </w:rPr>
    <w:tblPr>
      <w:tblStyleRowBandSize w:val="1"/>
      <w:tblStyleColBandSize w:val="1"/>
      <w:tblBorders>
        <w:top w:color="9bbb59" w:space="0" w:sz="8" w:themeColor="accent3" w:val="single"/>
        <w:bottom w:color="9bbb59" w:space="0" w:sz="8" w:themeColor="accent3" w:val="single"/>
      </w:tblBorders>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Pr/>
    </w:tblStylePr>
    <w:tblStylePr w:type="lastCol">
      <w:rPr>
        <w:b w:val="1"/>
        <w:bCs w:val="1"/>
      </w:rPr>
      <w:tbl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themeColor="accent4" w:themeShade="0000BF"/>
    </w:rPr>
    <w:tblPr>
      <w:tblStyleRowBandSize w:val="1"/>
      <w:tblStyleColBandSize w:val="1"/>
      <w:tblBorders>
        <w:top w:color="8064a2" w:space="0" w:sz="8" w:themeColor="accent4" w:val="single"/>
        <w:bottom w:color="8064a2" w:space="0" w:sz="8" w:themeColor="accent4" w:val="single"/>
      </w:tblBorders>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Pr/>
    </w:tblStylePr>
    <w:tblStylePr w:type="lastCol">
      <w:rPr>
        <w:b w:val="1"/>
        <w:bCs w:val="1"/>
      </w:rPr>
      <w:tbl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themeColor="accent5" w:themeShade="0000BF"/>
    </w:rPr>
    <w:tblPr>
      <w:tblStyleRowBandSize w:val="1"/>
      <w:tblStyleColBandSize w:val="1"/>
      <w:tblBorders>
        <w:top w:color="4bacc6" w:space="0" w:sz="8" w:themeColor="accent5" w:val="single"/>
        <w:bottom w:color="4bacc6" w:space="0" w:sz="8" w:themeColor="accent5" w:val="single"/>
      </w:tblBorders>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Pr/>
    </w:tblStylePr>
    <w:tblStylePr w:type="lastCol">
      <w:rPr>
        <w:b w:val="1"/>
        <w:bCs w:val="1"/>
      </w:rPr>
      <w:tbl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themeColor="accent6" w:themeShade="0000BF"/>
    </w:rPr>
    <w:tblPr>
      <w:tblStyleRowBandSize w:val="1"/>
      <w:tblStyleColBandSize w:val="1"/>
      <w:tblBorders>
        <w:top w:color="f79646" w:space="0" w:sz="8" w:themeColor="accent6" w:val="single"/>
        <w:bottom w:color="f79646" w:space="0" w:sz="8" w:themeColor="accent6" w:val="single"/>
      </w:tblBorders>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Pr/>
    </w:tblStylePr>
    <w:tblStylePr w:type="lastCol">
      <w:rPr>
        <w:b w:val="1"/>
        <w:bCs w:val="1"/>
      </w:rPr>
      <w:tbl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pPr>
        <w:spacing w:after="0" w:before="0" w:line="240" w:lineRule="auto"/>
      </w:pPr>
      <w:rPr>
        <w:b w:val="1"/>
        <w:bCs w:val="1"/>
        <w:color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Pr/>
    </w:tblStylePr>
    <w:tblStylePr w:type="lastCol">
      <w:rPr>
        <w:b w:val="1"/>
        <w:bCs w:val="1"/>
      </w:rPr>
      <w:tbl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pPr>
        <w:spacing w:after="0" w:before="0" w:line="240" w:lineRule="auto"/>
      </w:pPr>
      <w:rPr>
        <w:b w:val="1"/>
        <w:bCs w:val="1"/>
        <w:color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Pr/>
    </w:tblStylePr>
    <w:tblStylePr w:type="lastCol">
      <w:rPr>
        <w:b w:val="1"/>
        <w:bCs w:val="1"/>
      </w:rPr>
      <w:tbl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pPr>
        <w:spacing w:after="0" w:before="0" w:line="240" w:lineRule="auto"/>
      </w:pPr>
      <w:rPr>
        <w:b w:val="1"/>
        <w:bCs w:val="1"/>
        <w:color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Pr/>
    </w:tblStylePr>
    <w:tblStylePr w:type="lastCol">
      <w:rPr>
        <w:b w:val="1"/>
        <w:bCs w:val="1"/>
      </w:rPr>
      <w:tbl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pPr>
        <w:spacing w:after="0" w:before="0" w:line="240" w:lineRule="auto"/>
      </w:pPr>
      <w:rPr>
        <w:b w:val="1"/>
        <w:bCs w:val="1"/>
        <w:color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Pr/>
    </w:tblStylePr>
    <w:tblStylePr w:type="lastCol">
      <w:rPr>
        <w:b w:val="1"/>
        <w:bCs w:val="1"/>
      </w:rPr>
      <w:tbl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pPr>
        <w:spacing w:after="0" w:before="0" w:line="240" w:lineRule="auto"/>
      </w:pPr>
      <w:rPr>
        <w:b w:val="1"/>
        <w:bCs w:val="1"/>
        <w:color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Pr/>
    </w:tblStylePr>
    <w:tblStylePr w:type="lastCol">
      <w:rPr>
        <w:b w:val="1"/>
        <w:bCs w:val="1"/>
      </w:rPr>
      <w:tbl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pPr>
        <w:spacing w:after="0" w:before="0" w:line="240" w:lineRule="auto"/>
      </w:pPr>
      <w:rPr>
        <w:b w:val="1"/>
        <w:bCs w:val="1"/>
        <w:color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Pr/>
    </w:tblStylePr>
    <w:tblStylePr w:type="lastCol">
      <w:rPr>
        <w:b w:val="1"/>
        <w:bCs w:val="1"/>
      </w:rPr>
      <w:tbl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pPr>
        <w:spacing w:after="0" w:before="0" w:line="240" w:lineRule="auto"/>
      </w:pPr>
      <w:rPr>
        <w:b w:val="1"/>
        <w:bCs w:val="1"/>
        <w:color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Pr/>
    </w:tblStylePr>
    <w:tblStylePr w:type="lastCol">
      <w:rPr>
        <w:b w:val="1"/>
        <w:bCs w:val="1"/>
      </w:rPr>
      <w:tbl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Pr>
    <w:tblStylePr w:type="firstRow">
      <w:pPr>
        <w:spacing w:after="0" w:before="0" w:line="240" w:lineRule="auto"/>
      </w:pPr>
      <w:rPr>
        <w:b w:val="1"/>
        <w:bCs w:val="1"/>
        <w:color w:themeColor="background1"/>
      </w:rPr>
      <w:tblPr/>
      <w:tcPr>
        <w:tcBorders>
          <w:top w:color="404040" w:space="0" w:sz="8" w:themeColor="text1" w:val="single"/>
          <w:left w:color="404040" w:space="0" w:sz="8" w:themeColor="text1" w:val="single"/>
          <w:bottom w:color="404040" w:space="0" w:sz="8" w:themeColor="text1" w:val="single"/>
          <w:right w:color="404040" w:space="0" w:sz="8" w:themeColor="text1"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val="double"/>
          <w:left w:color="404040" w:space="0" w:sz="8" w:themeColor="text1" w:val="single"/>
          <w:bottom w:color="404040" w:space="0" w:sz="8" w:themeColor="text1" w:val="single"/>
          <w:right w:color="404040" w:space="0" w:sz="8" w:themeColor="text1" w:val="single"/>
          <w:insideH w:space="0" w:sz="0" w:val="nil"/>
          <w:insideV w:space="0" w:sz="0" w:val="nil"/>
        </w:tcBorders>
      </w:tcPr>
    </w:tblStylePr>
    <w:tblStylePr w:type="firstCol">
      <w:rPr>
        <w:b w:val="1"/>
        <w:bCs w:val="1"/>
      </w:rPr>
      <w:tblPr/>
    </w:tblStylePr>
    <w:tblStylePr w:type="lastCol">
      <w:rPr>
        <w:b w:val="1"/>
        <w:bCs w:val="1"/>
      </w:rPr>
      <w:tbl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Pr>
    <w:tblStylePr w:type="firstRow">
      <w:pPr>
        <w:spacing w:after="0" w:before="0" w:line="240" w:lineRule="auto"/>
      </w:pPr>
      <w:rPr>
        <w:b w:val="1"/>
        <w:bCs w:val="1"/>
        <w:color w:themeColor="background1"/>
      </w:rPr>
      <w:tblPr/>
      <w:tcPr>
        <w:tcBorders>
          <w:top w:color="7ba0cd" w:space="0" w:sz="8" w:themeColor="accent1" w:val="single"/>
          <w:left w:color="7ba0cd" w:space="0" w:sz="8" w:themeColor="accent1" w:val="single"/>
          <w:bottom w:color="7ba0cd" w:space="0" w:sz="8" w:themeColor="accent1" w:val="single"/>
          <w:right w:color="7ba0cd" w:space="0" w:sz="8" w:themeColor="accent1"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val="double"/>
          <w:left w:color="7ba0cd" w:space="0" w:sz="8" w:themeColor="accent1" w:val="single"/>
          <w:bottom w:color="7ba0cd" w:space="0" w:sz="8" w:themeColor="accent1" w:val="single"/>
          <w:right w:color="7ba0cd" w:space="0" w:sz="8" w:themeColor="accent1" w:val="single"/>
          <w:insideH w:space="0" w:sz="0" w:val="nil"/>
          <w:insideV w:space="0" w:sz="0" w:val="nil"/>
        </w:tcBorders>
      </w:tcPr>
    </w:tblStylePr>
    <w:tblStylePr w:type="firstCol">
      <w:rPr>
        <w:b w:val="1"/>
        <w:bCs w:val="1"/>
      </w:rPr>
      <w:tblPr/>
    </w:tblStylePr>
    <w:tblStylePr w:type="lastCol">
      <w:rPr>
        <w:b w:val="1"/>
        <w:bCs w:val="1"/>
      </w:rPr>
      <w:tbl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Pr>
    <w:tblStylePr w:type="firstRow">
      <w:pPr>
        <w:spacing w:after="0" w:before="0" w:line="240" w:lineRule="auto"/>
      </w:pPr>
      <w:rPr>
        <w:b w:val="1"/>
        <w:bCs w:val="1"/>
        <w:color w:themeColor="background1"/>
      </w:rPr>
      <w:tblPr/>
      <w:tcPr>
        <w:tcBorders>
          <w:top w:color="cf7b79" w:space="0" w:sz="8" w:themeColor="accent2" w:val="single"/>
          <w:left w:color="cf7b79" w:space="0" w:sz="8" w:themeColor="accent2" w:val="single"/>
          <w:bottom w:color="cf7b79" w:space="0" w:sz="8" w:themeColor="accent2" w:val="single"/>
          <w:right w:color="cf7b79" w:space="0" w:sz="8" w:themeColor="accent2"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val="double"/>
          <w:left w:color="cf7b79" w:space="0" w:sz="8" w:themeColor="accent2" w:val="single"/>
          <w:bottom w:color="cf7b79" w:space="0" w:sz="8" w:themeColor="accent2" w:val="single"/>
          <w:right w:color="cf7b79" w:space="0" w:sz="8" w:themeColor="accent2" w:val="single"/>
          <w:insideH w:space="0" w:sz="0" w:val="nil"/>
          <w:insideV w:space="0" w:sz="0" w:val="nil"/>
        </w:tcBorders>
      </w:tcPr>
    </w:tblStylePr>
    <w:tblStylePr w:type="firstCol">
      <w:rPr>
        <w:b w:val="1"/>
        <w:bCs w:val="1"/>
      </w:rPr>
      <w:tblPr/>
    </w:tblStylePr>
    <w:tblStylePr w:type="lastCol">
      <w:rPr>
        <w:b w:val="1"/>
        <w:bCs w:val="1"/>
      </w:rPr>
      <w:tbl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Pr>
    <w:tblStylePr w:type="firstRow">
      <w:pPr>
        <w:spacing w:after="0" w:before="0" w:line="240" w:lineRule="auto"/>
      </w:pPr>
      <w:rPr>
        <w:b w:val="1"/>
        <w:bCs w:val="1"/>
        <w:color w:themeColor="background1"/>
      </w:rPr>
      <w:tblPr/>
      <w:tcPr>
        <w:tcBorders>
          <w:top w:color="b3cc82" w:space="0" w:sz="8" w:themeColor="accent3" w:val="single"/>
          <w:left w:color="b3cc82" w:space="0" w:sz="8" w:themeColor="accent3" w:val="single"/>
          <w:bottom w:color="b3cc82" w:space="0" w:sz="8" w:themeColor="accent3" w:val="single"/>
          <w:right w:color="b3cc82" w:space="0" w:sz="8" w:themeColor="accent3"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val="double"/>
          <w:left w:color="b3cc82" w:space="0" w:sz="8" w:themeColor="accent3" w:val="single"/>
          <w:bottom w:color="b3cc82" w:space="0" w:sz="8" w:themeColor="accent3" w:val="single"/>
          <w:right w:color="b3cc82" w:space="0" w:sz="8" w:themeColor="accent3" w:val="single"/>
          <w:insideH w:space="0" w:sz="0" w:val="nil"/>
          <w:insideV w:space="0" w:sz="0" w:val="nil"/>
        </w:tcBorders>
      </w:tcPr>
    </w:tblStylePr>
    <w:tblStylePr w:type="firstCol">
      <w:rPr>
        <w:b w:val="1"/>
        <w:bCs w:val="1"/>
      </w:rPr>
      <w:tblPr/>
    </w:tblStylePr>
    <w:tblStylePr w:type="lastCol">
      <w:rPr>
        <w:b w:val="1"/>
        <w:bCs w:val="1"/>
      </w:rPr>
      <w:tbl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Pr>
    <w:tblStylePr w:type="firstRow">
      <w:pPr>
        <w:spacing w:after="0" w:before="0" w:line="240" w:lineRule="auto"/>
      </w:pPr>
      <w:rPr>
        <w:b w:val="1"/>
        <w:bCs w:val="1"/>
        <w:color w:themeColor="background1"/>
      </w:rPr>
      <w:tblPr/>
      <w:tcPr>
        <w:tcBorders>
          <w:top w:color="9f8ab9" w:space="0" w:sz="8" w:themeColor="accent4" w:val="single"/>
          <w:left w:color="9f8ab9" w:space="0" w:sz="8" w:themeColor="accent4" w:val="single"/>
          <w:bottom w:color="9f8ab9" w:space="0" w:sz="8" w:themeColor="accent4" w:val="single"/>
          <w:right w:color="9f8ab9" w:space="0" w:sz="8" w:themeColor="accent4"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val="double"/>
          <w:left w:color="9f8ab9" w:space="0" w:sz="8" w:themeColor="accent4" w:val="single"/>
          <w:bottom w:color="9f8ab9" w:space="0" w:sz="8" w:themeColor="accent4" w:val="single"/>
          <w:right w:color="9f8ab9" w:space="0" w:sz="8" w:themeColor="accent4" w:val="single"/>
          <w:insideH w:space="0" w:sz="0" w:val="nil"/>
          <w:insideV w:space="0" w:sz="0" w:val="nil"/>
        </w:tcBorders>
      </w:tcPr>
    </w:tblStylePr>
    <w:tblStylePr w:type="firstCol">
      <w:rPr>
        <w:b w:val="1"/>
        <w:bCs w:val="1"/>
      </w:rPr>
      <w:tblPr/>
    </w:tblStylePr>
    <w:tblStylePr w:type="lastCol">
      <w:rPr>
        <w:b w:val="1"/>
        <w:bCs w:val="1"/>
      </w:rPr>
      <w:tbl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Pr>
    <w:tblStylePr w:type="firstRow">
      <w:pPr>
        <w:spacing w:after="0" w:before="0" w:line="240" w:lineRule="auto"/>
      </w:pPr>
      <w:rPr>
        <w:b w:val="1"/>
        <w:bCs w:val="1"/>
        <w:color w:themeColor="background1"/>
      </w:rPr>
      <w:tblPr/>
      <w:tcPr>
        <w:tcBorders>
          <w:top w:color="78c0d4" w:space="0" w:sz="8" w:themeColor="accent5" w:val="single"/>
          <w:left w:color="78c0d4" w:space="0" w:sz="8" w:themeColor="accent5" w:val="single"/>
          <w:bottom w:color="78c0d4" w:space="0" w:sz="8" w:themeColor="accent5" w:val="single"/>
          <w:right w:color="78c0d4" w:space="0" w:sz="8" w:themeColor="accent5"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val="double"/>
          <w:left w:color="78c0d4" w:space="0" w:sz="8" w:themeColor="accent5" w:val="single"/>
          <w:bottom w:color="78c0d4" w:space="0" w:sz="8" w:themeColor="accent5" w:val="single"/>
          <w:right w:color="78c0d4" w:space="0" w:sz="8" w:themeColor="accent5" w:val="single"/>
          <w:insideH w:space="0" w:sz="0" w:val="nil"/>
          <w:insideV w:space="0" w:sz="0" w:val="nil"/>
        </w:tcBorders>
      </w:tcPr>
    </w:tblStylePr>
    <w:tblStylePr w:type="firstCol">
      <w:rPr>
        <w:b w:val="1"/>
        <w:bCs w:val="1"/>
      </w:rPr>
      <w:tblPr/>
    </w:tblStylePr>
    <w:tblStylePr w:type="lastCol">
      <w:rPr>
        <w:b w:val="1"/>
        <w:bCs w:val="1"/>
      </w:rPr>
      <w:tbl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Pr>
    <w:tblStylePr w:type="firstRow">
      <w:pPr>
        <w:spacing w:after="0" w:before="0" w:line="240" w:lineRule="auto"/>
      </w:pPr>
      <w:rPr>
        <w:b w:val="1"/>
        <w:bCs w:val="1"/>
        <w:color w:themeColor="background1"/>
      </w:rPr>
      <w:tblPr/>
      <w:tcPr>
        <w:tcBorders>
          <w:top w:color="f9b074" w:space="0" w:sz="8" w:themeColor="accent6" w:val="single"/>
          <w:left w:color="f9b074" w:space="0" w:sz="8" w:themeColor="accent6" w:val="single"/>
          <w:bottom w:color="f9b074" w:space="0" w:sz="8" w:themeColor="accent6" w:val="single"/>
          <w:right w:color="f9b074" w:space="0" w:sz="8" w:themeColor="accent6"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val="double"/>
          <w:left w:color="f9b074" w:space="0" w:sz="8" w:themeColor="accent6" w:val="single"/>
          <w:bottom w:color="f9b074" w:space="0" w:sz="8" w:themeColor="accent6" w:val="single"/>
          <w:right w:color="f9b074" w:space="0" w:sz="8" w:themeColor="accent6" w:val="single"/>
          <w:insideH w:space="0" w:sz="0" w:val="nil"/>
          <w:insideV w:space="0" w:sz="0" w:val="nil"/>
        </w:tcBorders>
      </w:tcPr>
    </w:tblStylePr>
    <w:tblStylePr w:type="firstCol">
      <w:rPr>
        <w:b w:val="1"/>
        <w:bCs w:val="1"/>
      </w:rPr>
      <w:tblPr/>
    </w:tblStylePr>
    <w:tblStylePr w:type="lastCol">
      <w:rPr>
        <w:b w:val="1"/>
        <w:bCs w:val="1"/>
      </w:rPr>
      <w:tbl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color="000000" w:space="0" w:sz="8" w:themeColor="text1" w:val="single"/>
        <w:bottom w:color="000000" w:space="0" w:sz="8" w:themeColor="text1" w:val="single"/>
      </w:tblBorders>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themeColor="text2"/>
      </w:rPr>
      <w:tblPr/>
      <w:tcPr>
        <w:tcBorders>
          <w:top w:color="000000" w:space="0" w:sz="8" w:themeColor="text1" w:val="single"/>
          <w:bottom w:color="000000" w:space="0" w:sz="8" w:themeColor="text1" w:val="single"/>
        </w:tcBorders>
      </w:tcPr>
    </w:tblStylePr>
    <w:tblStylePr w:type="firstCol">
      <w:rPr>
        <w:b w:val="1"/>
        <w:bCs w:val="1"/>
      </w:rPr>
      <w:tbl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color="4f81bd" w:space="0" w:sz="8" w:themeColor="accent1" w:val="single"/>
        <w:bottom w:color="4f81bd" w:space="0" w:sz="8" w:themeColor="accent1" w:val="single"/>
      </w:tblBorders>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themeColor="text2"/>
      </w:rPr>
      <w:tblPr/>
      <w:tcPr>
        <w:tcBorders>
          <w:top w:color="4f81bd" w:space="0" w:sz="8" w:themeColor="accent1" w:val="single"/>
          <w:bottom w:color="4f81bd" w:space="0" w:sz="8" w:themeColor="accent1" w:val="single"/>
        </w:tcBorders>
      </w:tcPr>
    </w:tblStylePr>
    <w:tblStylePr w:type="firstCol">
      <w:rPr>
        <w:b w:val="1"/>
        <w:bCs w:val="1"/>
      </w:rPr>
      <w:tbl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color="c0504d" w:space="0" w:sz="8" w:themeColor="accent2" w:val="single"/>
        <w:bottom w:color="c0504d" w:space="0" w:sz="8" w:themeColor="accent2" w:val="single"/>
      </w:tblBorders>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themeColor="text2"/>
      </w:rPr>
      <w:tblPr/>
      <w:tcPr>
        <w:tcBorders>
          <w:top w:color="c0504d" w:space="0" w:sz="8" w:themeColor="accent2" w:val="single"/>
          <w:bottom w:color="c0504d" w:space="0" w:sz="8" w:themeColor="accent2" w:val="single"/>
        </w:tcBorders>
      </w:tcPr>
    </w:tblStylePr>
    <w:tblStylePr w:type="firstCol">
      <w:rPr>
        <w:b w:val="1"/>
        <w:bCs w:val="1"/>
      </w:rPr>
      <w:tbl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color="9bbb59" w:space="0" w:sz="8" w:themeColor="accent3" w:val="single"/>
        <w:bottom w:color="9bbb59" w:space="0" w:sz="8" w:themeColor="accent3" w:val="single"/>
      </w:tblBorders>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themeColor="text2"/>
      </w:rPr>
      <w:tblPr/>
      <w:tcPr>
        <w:tcBorders>
          <w:top w:color="9bbb59" w:space="0" w:sz="8" w:themeColor="accent3" w:val="single"/>
          <w:bottom w:color="9bbb59" w:space="0" w:sz="8" w:themeColor="accent3" w:val="single"/>
        </w:tcBorders>
      </w:tcPr>
    </w:tblStylePr>
    <w:tblStylePr w:type="firstCol">
      <w:rPr>
        <w:b w:val="1"/>
        <w:bCs w:val="1"/>
      </w:rPr>
      <w:tbl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color="8064a2" w:space="0" w:sz="8" w:themeColor="accent4" w:val="single"/>
        <w:bottom w:color="8064a2" w:space="0" w:sz="8" w:themeColor="accent4" w:val="single"/>
      </w:tblBorders>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themeColor="text2"/>
      </w:rPr>
      <w:tblPr/>
      <w:tcPr>
        <w:tcBorders>
          <w:top w:color="8064a2" w:space="0" w:sz="8" w:themeColor="accent4" w:val="single"/>
          <w:bottom w:color="8064a2" w:space="0" w:sz="8" w:themeColor="accent4" w:val="single"/>
        </w:tcBorders>
      </w:tcPr>
    </w:tblStylePr>
    <w:tblStylePr w:type="firstCol">
      <w:rPr>
        <w:b w:val="1"/>
        <w:bCs w:val="1"/>
      </w:rPr>
      <w:tbl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color="4bacc6" w:space="0" w:sz="8" w:themeColor="accent5" w:val="single"/>
        <w:bottom w:color="4bacc6" w:space="0" w:sz="8" w:themeColor="accent5" w:val="single"/>
      </w:tblBorders>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themeColor="text2"/>
      </w:rPr>
      <w:tblPr/>
      <w:tcPr>
        <w:tcBorders>
          <w:top w:color="4bacc6" w:space="0" w:sz="8" w:themeColor="accent5" w:val="single"/>
          <w:bottom w:color="4bacc6" w:space="0" w:sz="8" w:themeColor="accent5" w:val="single"/>
        </w:tcBorders>
      </w:tcPr>
    </w:tblStylePr>
    <w:tblStylePr w:type="firstCol">
      <w:rPr>
        <w:b w:val="1"/>
        <w:bCs w:val="1"/>
      </w:rPr>
      <w:tbl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color="f79646" w:space="0" w:sz="8" w:themeColor="accent6" w:val="single"/>
        <w:bottom w:color="f79646" w:space="0" w:sz="8" w:themeColor="accent6" w:val="single"/>
      </w:tblBorders>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themeColor="text2"/>
      </w:rPr>
      <w:tblPr/>
      <w:tcPr>
        <w:tcBorders>
          <w:top w:color="f79646" w:space="0" w:sz="8" w:themeColor="accent6" w:val="single"/>
          <w:bottom w:color="f79646" w:space="0" w:sz="8" w:themeColor="accent6" w:val="single"/>
        </w:tcBorders>
      </w:tcPr>
    </w:tblStylePr>
    <w:tblStylePr w:type="firstCol">
      <w:rPr>
        <w:b w:val="1"/>
        <w:bCs w:val="1"/>
      </w:rPr>
      <w:tbl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Pr>
    <w:tcPr>
      <w:shd w:color="auto" w:fill="c0c0c0" w:themeFill="text1" w:themeFillTint="00003F" w:val="clear"/>
    </w:tcPr>
    <w:tblStylePr w:type="firstRow">
      <w:rPr>
        <w:b w:val="1"/>
        <w:bCs w:val="1"/>
      </w:rPr>
      <w:tblPr/>
    </w:tblStylePr>
    <w:tblStylePr w:type="lastRow">
      <w:rPr>
        <w:b w:val="1"/>
        <w:bCs w:val="1"/>
      </w:rPr>
      <w:tblPr/>
      <w:tcPr>
        <w:tcBorders>
          <w:top w:color="404040" w:space="0" w:sz="18" w:themeColor="text1" w:val="single"/>
        </w:tcBorders>
      </w:tcPr>
    </w:tblStylePr>
    <w:tblStylePr w:type="firstCol">
      <w:rPr>
        <w:b w:val="1"/>
        <w:bCs w:val="1"/>
      </w:rPr>
      <w:tblPr/>
    </w:tblStylePr>
    <w:tblStylePr w:type="lastCol">
      <w:rPr>
        <w:b w:val="1"/>
        <w:bCs w:val="1"/>
      </w:rPr>
      <w:tbl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Pr>
    <w:tcPr>
      <w:shd w:color="auto" w:fill="d3dfee" w:themeFill="accent1" w:themeFillTint="00003F" w:val="clear"/>
    </w:tcPr>
    <w:tblStylePr w:type="firstRow">
      <w:rPr>
        <w:b w:val="1"/>
        <w:bCs w:val="1"/>
      </w:rPr>
      <w:tblPr/>
    </w:tblStylePr>
    <w:tblStylePr w:type="lastRow">
      <w:rPr>
        <w:b w:val="1"/>
        <w:bCs w:val="1"/>
      </w:rPr>
      <w:tblPr/>
      <w:tcPr>
        <w:tcBorders>
          <w:top w:color="7ba0cd" w:space="0" w:sz="18" w:themeColor="accent1" w:val="single"/>
        </w:tcBorders>
      </w:tcPr>
    </w:tblStylePr>
    <w:tblStylePr w:type="firstCol">
      <w:rPr>
        <w:b w:val="1"/>
        <w:bCs w:val="1"/>
      </w:rPr>
      <w:tblPr/>
    </w:tblStylePr>
    <w:tblStylePr w:type="lastCol">
      <w:rPr>
        <w:b w:val="1"/>
        <w:bCs w:val="1"/>
      </w:rPr>
      <w:tbl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Pr>
    <w:tcPr>
      <w:shd w:color="auto" w:fill="efd3d2" w:themeFill="accent2" w:themeFillTint="00003F" w:val="clear"/>
    </w:tcPr>
    <w:tblStylePr w:type="firstRow">
      <w:rPr>
        <w:b w:val="1"/>
        <w:bCs w:val="1"/>
      </w:rPr>
      <w:tblPr/>
    </w:tblStylePr>
    <w:tblStylePr w:type="lastRow">
      <w:rPr>
        <w:b w:val="1"/>
        <w:bCs w:val="1"/>
      </w:rPr>
      <w:tblPr/>
      <w:tcPr>
        <w:tcBorders>
          <w:top w:color="cf7b79" w:space="0" w:sz="18" w:themeColor="accent2" w:val="single"/>
        </w:tcBorders>
      </w:tcPr>
    </w:tblStylePr>
    <w:tblStylePr w:type="firstCol">
      <w:rPr>
        <w:b w:val="1"/>
        <w:bCs w:val="1"/>
      </w:rPr>
      <w:tblPr/>
    </w:tblStylePr>
    <w:tblStylePr w:type="lastCol">
      <w:rPr>
        <w:b w:val="1"/>
        <w:bCs w:val="1"/>
      </w:rPr>
      <w:tbl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Pr>
    <w:tcPr>
      <w:shd w:color="auto" w:fill="e6eed5" w:themeFill="accent3" w:themeFillTint="00003F" w:val="clear"/>
    </w:tcPr>
    <w:tblStylePr w:type="firstRow">
      <w:rPr>
        <w:b w:val="1"/>
        <w:bCs w:val="1"/>
      </w:rPr>
      <w:tblPr/>
    </w:tblStylePr>
    <w:tblStylePr w:type="lastRow">
      <w:rPr>
        <w:b w:val="1"/>
        <w:bCs w:val="1"/>
      </w:rPr>
      <w:tblPr/>
      <w:tcPr>
        <w:tcBorders>
          <w:top w:color="b3cc82" w:space="0" w:sz="18" w:themeColor="accent3" w:val="single"/>
        </w:tcBorders>
      </w:tcPr>
    </w:tblStylePr>
    <w:tblStylePr w:type="firstCol">
      <w:rPr>
        <w:b w:val="1"/>
        <w:bCs w:val="1"/>
      </w:rPr>
      <w:tblPr/>
    </w:tblStylePr>
    <w:tblStylePr w:type="lastCol">
      <w:rPr>
        <w:b w:val="1"/>
        <w:bCs w:val="1"/>
      </w:rPr>
      <w:tbl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Pr>
    <w:tcPr>
      <w:shd w:color="auto" w:fill="dfd8e8" w:themeFill="accent4" w:themeFillTint="00003F" w:val="clear"/>
    </w:tcPr>
    <w:tblStylePr w:type="firstRow">
      <w:rPr>
        <w:b w:val="1"/>
        <w:bCs w:val="1"/>
      </w:rPr>
      <w:tblPr/>
    </w:tblStylePr>
    <w:tblStylePr w:type="lastRow">
      <w:rPr>
        <w:b w:val="1"/>
        <w:bCs w:val="1"/>
      </w:rPr>
      <w:tblPr/>
      <w:tcPr>
        <w:tcBorders>
          <w:top w:color="9f8ab9" w:space="0" w:sz="18" w:themeColor="accent4" w:val="single"/>
        </w:tcBorders>
      </w:tcPr>
    </w:tblStylePr>
    <w:tblStylePr w:type="firstCol">
      <w:rPr>
        <w:b w:val="1"/>
        <w:bCs w:val="1"/>
      </w:rPr>
      <w:tblPr/>
    </w:tblStylePr>
    <w:tblStylePr w:type="lastCol">
      <w:rPr>
        <w:b w:val="1"/>
        <w:bCs w:val="1"/>
      </w:rPr>
      <w:tbl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Pr>
    <w:tcPr>
      <w:shd w:color="auto" w:fill="d2eaf1" w:themeFill="accent5" w:themeFillTint="00003F" w:val="clear"/>
    </w:tcPr>
    <w:tblStylePr w:type="firstRow">
      <w:rPr>
        <w:b w:val="1"/>
        <w:bCs w:val="1"/>
      </w:rPr>
      <w:tblPr/>
    </w:tblStylePr>
    <w:tblStylePr w:type="lastRow">
      <w:rPr>
        <w:b w:val="1"/>
        <w:bCs w:val="1"/>
      </w:rPr>
      <w:tblPr/>
      <w:tcPr>
        <w:tcBorders>
          <w:top w:color="78c0d4" w:space="0" w:sz="18" w:themeColor="accent5" w:val="single"/>
        </w:tcBorders>
      </w:tcPr>
    </w:tblStylePr>
    <w:tblStylePr w:type="firstCol">
      <w:rPr>
        <w:b w:val="1"/>
        <w:bCs w:val="1"/>
      </w:rPr>
      <w:tblPr/>
    </w:tblStylePr>
    <w:tblStylePr w:type="lastCol">
      <w:rPr>
        <w:b w:val="1"/>
        <w:bCs w:val="1"/>
      </w:rPr>
      <w:tbl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Pr>
    <w:tcPr>
      <w:shd w:color="auto" w:fill="fde4d0" w:themeFill="accent6" w:themeFillTint="00003F" w:val="clear"/>
    </w:tcPr>
    <w:tblStylePr w:type="firstRow">
      <w:rPr>
        <w:b w:val="1"/>
        <w:bCs w:val="1"/>
      </w:rPr>
      <w:tblPr/>
    </w:tblStylePr>
    <w:tblStylePr w:type="lastRow">
      <w:rPr>
        <w:b w:val="1"/>
        <w:bCs w:val="1"/>
      </w:rPr>
      <w:tblPr/>
      <w:tcPr>
        <w:tcBorders>
          <w:top w:color="f9b074" w:space="0" w:sz="18" w:themeColor="accent6" w:val="single"/>
        </w:tcBorders>
      </w:tcPr>
    </w:tblStylePr>
    <w:tblStylePr w:type="firstCol">
      <w:rPr>
        <w:b w:val="1"/>
        <w:bCs w:val="1"/>
      </w:rPr>
      <w:tblPr/>
    </w:tblStylePr>
    <w:tblStylePr w:type="lastCol">
      <w:rPr>
        <w:b w:val="1"/>
        <w:bCs w:val="1"/>
      </w:rPr>
      <w:tbl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cPr>
      <w:shd w:color="auto" w:fill="c0c0c0" w:themeFill="text1" w:themeFillTint="00003F" w:val="clear"/>
    </w:tcPr>
    <w:tblStylePr w:type="firstRow">
      <w:rPr>
        <w:b w:val="1"/>
        <w:bCs w:val="1"/>
        <w:color w:themeColor="text1"/>
      </w:rPr>
      <w:tblPr/>
      <w:tcPr>
        <w:shd w:color="auto" w:fill="e6e6e6" w:themeFill="text1" w:themeFillTint="000019" w:val="clear"/>
      </w:tcPr>
    </w:tblStylePr>
    <w:tblStylePr w:type="lastRow">
      <w:rPr>
        <w:b w:val="1"/>
        <w:bCs w:val="1"/>
        <w:color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cPr>
      <w:shd w:color="auto" w:fill="d3dfee" w:themeFill="accent1" w:themeFillTint="00003F" w:val="clear"/>
    </w:tcPr>
    <w:tblStylePr w:type="firstRow">
      <w:rPr>
        <w:b w:val="1"/>
        <w:bCs w:val="1"/>
        <w:color w:themeColor="text1"/>
      </w:rPr>
      <w:tblPr/>
      <w:tcPr>
        <w:shd w:color="auto" w:fill="edf2f8" w:themeFill="accent1" w:themeFillTint="000019" w:val="clear"/>
      </w:tcPr>
    </w:tblStylePr>
    <w:tblStylePr w:type="lastRow">
      <w:rPr>
        <w:b w:val="1"/>
        <w:bCs w:val="1"/>
        <w:color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cPr>
      <w:shd w:color="auto" w:fill="efd3d2" w:themeFill="accent2" w:themeFillTint="00003F" w:val="clear"/>
    </w:tcPr>
    <w:tblStylePr w:type="firstRow">
      <w:rPr>
        <w:b w:val="1"/>
        <w:bCs w:val="1"/>
        <w:color w:themeColor="text1"/>
      </w:rPr>
      <w:tblPr/>
      <w:tcPr>
        <w:shd w:color="auto" w:fill="f8eded" w:themeFill="accent2" w:themeFillTint="000019" w:val="clear"/>
      </w:tcPr>
    </w:tblStylePr>
    <w:tblStylePr w:type="lastRow">
      <w:rPr>
        <w:b w:val="1"/>
        <w:bCs w:val="1"/>
        <w:color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cPr>
      <w:shd w:color="auto" w:fill="e6eed5" w:themeFill="accent3" w:themeFillTint="00003F" w:val="clear"/>
    </w:tcPr>
    <w:tblStylePr w:type="firstRow">
      <w:rPr>
        <w:b w:val="1"/>
        <w:bCs w:val="1"/>
        <w:color w:themeColor="text1"/>
      </w:rPr>
      <w:tblPr/>
      <w:tcPr>
        <w:shd w:color="auto" w:fill="f5f8ee" w:themeFill="accent3" w:themeFillTint="000019" w:val="clear"/>
      </w:tcPr>
    </w:tblStylePr>
    <w:tblStylePr w:type="lastRow">
      <w:rPr>
        <w:b w:val="1"/>
        <w:bCs w:val="1"/>
        <w:color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cPr>
      <w:shd w:color="auto" w:fill="dfd8e8" w:themeFill="accent4" w:themeFillTint="00003F" w:val="clear"/>
    </w:tcPr>
    <w:tblStylePr w:type="firstRow">
      <w:rPr>
        <w:b w:val="1"/>
        <w:bCs w:val="1"/>
        <w:color w:themeColor="text1"/>
      </w:rPr>
      <w:tblPr/>
      <w:tcPr>
        <w:shd w:color="auto" w:fill="f2eff6" w:themeFill="accent4" w:themeFillTint="000019" w:val="clear"/>
      </w:tcPr>
    </w:tblStylePr>
    <w:tblStylePr w:type="lastRow">
      <w:rPr>
        <w:b w:val="1"/>
        <w:bCs w:val="1"/>
        <w:color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cPr>
      <w:shd w:color="auto" w:fill="d2eaf1" w:themeFill="accent5" w:themeFillTint="00003F" w:val="clear"/>
    </w:tcPr>
    <w:tblStylePr w:type="firstRow">
      <w:rPr>
        <w:b w:val="1"/>
        <w:bCs w:val="1"/>
        <w:color w:themeColor="text1"/>
      </w:rPr>
      <w:tblPr/>
      <w:tcPr>
        <w:shd w:color="auto" w:fill="edf6f9" w:themeFill="accent5" w:themeFillTint="000019" w:val="clear"/>
      </w:tcPr>
    </w:tblStylePr>
    <w:tblStylePr w:type="lastRow">
      <w:rPr>
        <w:b w:val="1"/>
        <w:bCs w:val="1"/>
        <w:color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cPr>
      <w:shd w:color="auto" w:fill="fde4d0" w:themeFill="accent6" w:themeFillTint="00003F" w:val="clear"/>
    </w:tcPr>
    <w:tblStylePr w:type="firstRow">
      <w:rPr>
        <w:b w:val="1"/>
        <w:bCs w:val="1"/>
        <w:color w:themeColor="text1"/>
      </w:rPr>
      <w:tblPr/>
      <w:tcPr>
        <w:shd w:color="auto" w:fill="fef4ec" w:themeFill="accent6" w:themeFillTint="000019" w:val="clear"/>
      </w:tcPr>
    </w:tblStylePr>
    <w:tblStylePr w:type="lastRow">
      <w:rPr>
        <w:b w:val="1"/>
        <w:bCs w:val="1"/>
        <w:color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c0c0c0" w:themeFill="text1" w:themeFillTint="00003F" w:val="clear"/>
    </w:tcPr>
    <w:tblStylePr w:type="firstRow">
      <w:rPr>
        <w:b w:val="1"/>
        <w:bCs w:val="1"/>
        <w:i w:val="0"/>
        <w:color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color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color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color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3dfee" w:themeFill="accent1" w:themeFillTint="00003F" w:val="clear"/>
    </w:tcPr>
    <w:tblStylePr w:type="firstRow">
      <w:rPr>
        <w:b w:val="1"/>
        <w:bCs w:val="1"/>
        <w:i w:val="0"/>
        <w:color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color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color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color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fd3d2" w:themeFill="accent2" w:themeFillTint="00003F" w:val="clear"/>
    </w:tcPr>
    <w:tblStylePr w:type="firstRow">
      <w:rPr>
        <w:b w:val="1"/>
        <w:bCs w:val="1"/>
        <w:i w:val="0"/>
        <w:color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color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color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color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6eed5" w:themeFill="accent3" w:themeFillTint="00003F" w:val="clear"/>
    </w:tcPr>
    <w:tblStylePr w:type="firstRow">
      <w:rPr>
        <w:b w:val="1"/>
        <w:bCs w:val="1"/>
        <w:i w:val="0"/>
        <w:color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color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color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color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fd8e8" w:themeFill="accent4" w:themeFillTint="00003F" w:val="clear"/>
    </w:tcPr>
    <w:tblStylePr w:type="firstRow">
      <w:rPr>
        <w:b w:val="1"/>
        <w:bCs w:val="1"/>
        <w:i w:val="0"/>
        <w:color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color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color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color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2eaf1" w:themeFill="accent5" w:themeFillTint="00003F" w:val="clear"/>
    </w:tcPr>
    <w:tblStylePr w:type="firstRow">
      <w:rPr>
        <w:b w:val="1"/>
        <w:bCs w:val="1"/>
        <w:i w:val="0"/>
        <w:color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color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color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color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fde4d0" w:themeFill="accent6" w:themeFillTint="00003F" w:val="clear"/>
    </w:tcPr>
    <w:tblStylePr w:type="firstRow">
      <w:rPr>
        <w:b w:val="1"/>
        <w:bCs w:val="1"/>
        <w:i w:val="0"/>
        <w:color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color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color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color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themeColor="background1"/>
      </w:rPr>
      <w:tblPr/>
      <w:tcPr>
        <w:tcBorders>
          <w:top w:color="ffffff" w:space="0" w:sz="6" w:themeColor="background1" w:val="single"/>
        </w:tcBorders>
        <w:shd w:color="auto" w:fill="000000" w:themeFill="text1" w:themeFillShade="000099" w:val="clear"/>
      </w:tcPr>
    </w:tblStylePr>
    <w:tblStylePr w:type="firstCol">
      <w:rPr>
        <w:color w:themeColor="background1"/>
      </w:rPr>
      <w:tblPr/>
      <w:tcPr>
        <w:tcBorders>
          <w:top w:space="0" w:sz="0" w:val="nil"/>
          <w:left w:space="0" w:sz="0" w:val="nil"/>
          <w:bottom w:space="0" w:sz="0" w:val="nil"/>
          <w:right w:space="0" w:sz="0" w:val="nil"/>
          <w:insideH w:color="000000" w:space="0" w:sz="4" w:themeColor="text1" w:val="single"/>
          <w:insideV w:space="0" w:sz="0" w:val="nil"/>
        </w:tcBorders>
        <w:shd w:color="auto" w:fill="000000" w:themeFill="text1" w:themeFillShade="000099" w:val="clear"/>
      </w:tcPr>
    </w:tblStylePr>
    <w:tblStylePr w:type="lastCol">
      <w:rPr>
        <w:color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themeColor="background1"/>
      </w:rPr>
      <w:tblPr/>
      <w:tcPr>
        <w:tcBorders>
          <w:top w:color="ffffff" w:space="0" w:sz="6" w:themeColor="background1" w:val="single"/>
        </w:tcBorders>
        <w:shd w:color="auto" w:fill="2c4c74" w:themeFill="accent1" w:themeFillShade="000099" w:val="clear"/>
      </w:tcPr>
    </w:tblStylePr>
    <w:tblStylePr w:type="firstCol">
      <w:rPr>
        <w:color w:themeColor="background1"/>
      </w:rPr>
      <w:tblPr/>
      <w:tcPr>
        <w:tcBorders>
          <w:top w:space="0" w:sz="0" w:val="nil"/>
          <w:left w:space="0" w:sz="0" w:val="nil"/>
          <w:bottom w:space="0" w:sz="0" w:val="nil"/>
          <w:right w:space="0" w:sz="0" w:val="nil"/>
          <w:insideH w:color="2c4c74" w:space="0" w:sz="4" w:themeColor="accent1" w:val="single"/>
          <w:insideV w:space="0" w:sz="0" w:val="nil"/>
        </w:tcBorders>
        <w:shd w:color="auto" w:fill="2c4c74" w:themeFill="accent1" w:themeFillShade="000099" w:val="clear"/>
      </w:tcPr>
    </w:tblStylePr>
    <w:tblStylePr w:type="lastCol">
      <w:rPr>
        <w:color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themeColor="background1"/>
      </w:rPr>
      <w:tblPr/>
      <w:tcPr>
        <w:tcBorders>
          <w:top w:color="ffffff" w:space="0" w:sz="6" w:themeColor="background1" w:val="single"/>
        </w:tcBorders>
        <w:shd w:color="auto" w:fill="772c2a" w:themeFill="accent2" w:themeFillShade="000099" w:val="clear"/>
      </w:tcPr>
    </w:tblStylePr>
    <w:tblStylePr w:type="firstCol">
      <w:rPr>
        <w:color w:themeColor="background1"/>
      </w:rPr>
      <w:tblPr/>
      <w:tcPr>
        <w:tcBorders>
          <w:top w:space="0" w:sz="0" w:val="nil"/>
          <w:left w:space="0" w:sz="0" w:val="nil"/>
          <w:bottom w:space="0" w:sz="0" w:val="nil"/>
          <w:right w:space="0" w:sz="0" w:val="nil"/>
          <w:insideH w:color="772c2a" w:space="0" w:sz="4" w:themeColor="accent2" w:val="single"/>
          <w:insideV w:space="0" w:sz="0" w:val="nil"/>
        </w:tcBorders>
        <w:shd w:color="auto" w:fill="772c2a" w:themeFill="accent2" w:themeFillShade="000099" w:val="clear"/>
      </w:tcPr>
    </w:tblStylePr>
    <w:tblStylePr w:type="lastCol">
      <w:rPr>
        <w:color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themeColor="background1"/>
      </w:rPr>
      <w:tblPr/>
      <w:tcPr>
        <w:tcBorders>
          <w:top w:color="ffffff" w:space="0" w:sz="6" w:themeColor="background1" w:val="single"/>
        </w:tcBorders>
        <w:shd w:color="auto" w:fill="5e7530" w:themeFill="accent3" w:themeFillShade="000099" w:val="clear"/>
      </w:tcPr>
    </w:tblStylePr>
    <w:tblStylePr w:type="firstCol">
      <w:rPr>
        <w:color w:themeColor="background1"/>
      </w:rPr>
      <w:tblPr/>
      <w:tcPr>
        <w:tcBorders>
          <w:top w:space="0" w:sz="0" w:val="nil"/>
          <w:left w:space="0" w:sz="0" w:val="nil"/>
          <w:bottom w:space="0" w:sz="0" w:val="nil"/>
          <w:right w:space="0" w:sz="0" w:val="nil"/>
          <w:insideH w:color="5e7530" w:space="0" w:sz="4" w:themeColor="accent3" w:val="single"/>
          <w:insideV w:space="0" w:sz="0" w:val="nil"/>
        </w:tcBorders>
        <w:shd w:color="auto" w:fill="5e7530" w:themeFill="accent3" w:themeFillShade="000099" w:val="clear"/>
      </w:tcPr>
    </w:tblStylePr>
    <w:tblStylePr w:type="lastCol">
      <w:rPr>
        <w:color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themeColor="background1"/>
      </w:rPr>
      <w:tblPr/>
      <w:tcPr>
        <w:tcBorders>
          <w:top w:color="ffffff" w:space="0" w:sz="6" w:themeColor="background1" w:val="single"/>
        </w:tcBorders>
        <w:shd w:color="auto" w:fill="4c3b62" w:themeFill="accent4" w:themeFillShade="000099" w:val="clear"/>
      </w:tcPr>
    </w:tblStylePr>
    <w:tblStylePr w:type="firstCol">
      <w:rPr>
        <w:color w:themeColor="background1"/>
      </w:rPr>
      <w:tblPr/>
      <w:tcPr>
        <w:tcBorders>
          <w:top w:space="0" w:sz="0" w:val="nil"/>
          <w:left w:space="0" w:sz="0" w:val="nil"/>
          <w:bottom w:space="0" w:sz="0" w:val="nil"/>
          <w:right w:space="0" w:sz="0" w:val="nil"/>
          <w:insideH w:color="4c3b62" w:space="0" w:sz="4" w:themeColor="accent4" w:val="single"/>
          <w:insideV w:space="0" w:sz="0" w:val="nil"/>
        </w:tcBorders>
        <w:shd w:color="auto" w:fill="4c3b62" w:themeFill="accent4" w:themeFillShade="000099" w:val="clear"/>
      </w:tcPr>
    </w:tblStylePr>
    <w:tblStylePr w:type="lastCol">
      <w:rPr>
        <w:color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themeColor="background1"/>
      </w:rPr>
      <w:tblPr/>
      <w:tcPr>
        <w:tcBorders>
          <w:top w:color="ffffff" w:space="0" w:sz="6" w:themeColor="background1" w:val="single"/>
        </w:tcBorders>
        <w:shd w:color="auto" w:fill="276a7c" w:themeFill="accent5" w:themeFillShade="000099" w:val="clear"/>
      </w:tcPr>
    </w:tblStylePr>
    <w:tblStylePr w:type="firstCol">
      <w:rPr>
        <w:color w:themeColor="background1"/>
      </w:rPr>
      <w:tblPr/>
      <w:tcPr>
        <w:tcBorders>
          <w:top w:space="0" w:sz="0" w:val="nil"/>
          <w:left w:space="0" w:sz="0" w:val="nil"/>
          <w:bottom w:space="0" w:sz="0" w:val="nil"/>
          <w:right w:space="0" w:sz="0" w:val="nil"/>
          <w:insideH w:color="276a7c" w:space="0" w:sz="4" w:themeColor="accent5" w:val="single"/>
          <w:insideV w:space="0" w:sz="0" w:val="nil"/>
        </w:tcBorders>
        <w:shd w:color="auto" w:fill="276a7c" w:themeFill="accent5" w:themeFillShade="000099" w:val="clear"/>
      </w:tcPr>
    </w:tblStylePr>
    <w:tblStylePr w:type="lastCol">
      <w:rPr>
        <w:color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themeColor="background1"/>
      </w:rPr>
      <w:tblPr/>
      <w:tcPr>
        <w:tcBorders>
          <w:top w:color="ffffff" w:space="0" w:sz="6" w:themeColor="background1" w:val="single"/>
        </w:tcBorders>
        <w:shd w:color="auto" w:fill="b65608" w:themeFill="accent6" w:themeFillShade="000099" w:val="clear"/>
      </w:tcPr>
    </w:tblStylePr>
    <w:tblStylePr w:type="firstCol">
      <w:rPr>
        <w:color w:themeColor="background1"/>
      </w:rPr>
      <w:tblPr/>
      <w:tcPr>
        <w:tcBorders>
          <w:top w:space="0" w:sz="0" w:val="nil"/>
          <w:left w:space="0" w:sz="0" w:val="nil"/>
          <w:bottom w:space="0" w:sz="0" w:val="nil"/>
          <w:right w:space="0" w:sz="0" w:val="nil"/>
          <w:insideH w:color="b65608" w:space="0" w:sz="4" w:themeColor="accent6" w:val="single"/>
          <w:insideV w:space="0" w:sz="0" w:val="nil"/>
        </w:tcBorders>
        <w:shd w:color="auto" w:fill="b65608" w:themeFill="accent6" w:themeFillShade="000099" w:val="clear"/>
      </w:tcPr>
    </w:tblStylePr>
    <w:tblStylePr w:type="lastCol">
      <w:rPr>
        <w:color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Pr>
    <w:tcPr>
      <w:shd w:color="auto" w:fill="e6e6e6" w:themeFill="text1" w:themeFillTint="000019" w:val="clear"/>
    </w:tcPr>
    <w:tblStylePr w:type="firstRow">
      <w:rPr>
        <w:b w:val="1"/>
        <w:bCs w:val="1"/>
        <w:color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themeColor="accent2" w:themeShade="0000CC"/>
      </w:rPr>
      <w:tblPr/>
      <w:tcPr>
        <w:tcBorders>
          <w:top w:color="000000" w:space="0" w:sz="12" w:themeColor="text1" w:val="single"/>
        </w:tcBorders>
        <w:shd w:color="auto" w:fill="ffffff" w:themeFill="background1" w:val="clear"/>
      </w:tcPr>
    </w:tblStylePr>
    <w:tblStylePr w:type="firstCol">
      <w:rPr>
        <w:b w:val="1"/>
        <w:bCs w:val="1"/>
      </w:rPr>
      <w:tblPr/>
    </w:tblStylePr>
    <w:tblStylePr w:type="lastCol">
      <w:rPr>
        <w:b w:val="1"/>
        <w:bCs w:val="1"/>
      </w:rPr>
      <w:tbl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Pr>
    <w:tcPr>
      <w:shd w:color="auto" w:fill="edf2f8" w:themeFill="accent1" w:themeFillTint="000019" w:val="clear"/>
    </w:tcPr>
    <w:tblStylePr w:type="firstRow">
      <w:rPr>
        <w:b w:val="1"/>
        <w:bCs w:val="1"/>
        <w:color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themeColor="accent2" w:themeShade="0000CC"/>
      </w:rPr>
      <w:tblPr/>
      <w:tcPr>
        <w:tcBorders>
          <w:top w:color="000000" w:space="0" w:sz="12" w:themeColor="text1" w:val="single"/>
        </w:tcBorders>
        <w:shd w:color="auto" w:fill="ffffff" w:themeFill="background1" w:val="clear"/>
      </w:tcPr>
    </w:tblStylePr>
    <w:tblStylePr w:type="firstCol">
      <w:rPr>
        <w:b w:val="1"/>
        <w:bCs w:val="1"/>
      </w:rPr>
      <w:tblPr/>
    </w:tblStylePr>
    <w:tblStylePr w:type="lastCol">
      <w:rPr>
        <w:b w:val="1"/>
        <w:bCs w:val="1"/>
      </w:rPr>
      <w:tbl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Pr>
    <w:tcPr>
      <w:shd w:color="auto" w:fill="f8eded" w:themeFill="accent2" w:themeFillTint="000019" w:val="clear"/>
    </w:tcPr>
    <w:tblStylePr w:type="firstRow">
      <w:rPr>
        <w:b w:val="1"/>
        <w:bCs w:val="1"/>
        <w:color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themeColor="accent2" w:themeShade="0000CC"/>
      </w:rPr>
      <w:tblPr/>
      <w:tcPr>
        <w:tcBorders>
          <w:top w:color="000000" w:space="0" w:sz="12" w:themeColor="text1" w:val="single"/>
        </w:tcBorders>
        <w:shd w:color="auto" w:fill="ffffff" w:themeFill="background1" w:val="clear"/>
      </w:tcPr>
    </w:tblStylePr>
    <w:tblStylePr w:type="firstCol">
      <w:rPr>
        <w:b w:val="1"/>
        <w:bCs w:val="1"/>
      </w:rPr>
      <w:tblPr/>
    </w:tblStylePr>
    <w:tblStylePr w:type="lastCol">
      <w:rPr>
        <w:b w:val="1"/>
        <w:bCs w:val="1"/>
      </w:rPr>
      <w:tbl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Pr>
    <w:tcPr>
      <w:shd w:color="auto" w:fill="f5f8ee" w:themeFill="accent3" w:themeFillTint="000019" w:val="clear"/>
    </w:tcPr>
    <w:tblStylePr w:type="firstRow">
      <w:rPr>
        <w:b w:val="1"/>
        <w:bCs w:val="1"/>
        <w:color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themeColor="accent4" w:themeShade="0000CC"/>
      </w:rPr>
      <w:tblPr/>
      <w:tcPr>
        <w:tcBorders>
          <w:top w:color="000000" w:space="0" w:sz="12" w:themeColor="text1" w:val="single"/>
        </w:tcBorders>
        <w:shd w:color="auto" w:fill="ffffff" w:themeFill="background1" w:val="clear"/>
      </w:tcPr>
    </w:tblStylePr>
    <w:tblStylePr w:type="firstCol">
      <w:rPr>
        <w:b w:val="1"/>
        <w:bCs w:val="1"/>
      </w:rPr>
      <w:tblPr/>
    </w:tblStylePr>
    <w:tblStylePr w:type="lastCol">
      <w:rPr>
        <w:b w:val="1"/>
        <w:bCs w:val="1"/>
      </w:rPr>
      <w:tbl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Pr>
    <w:tcPr>
      <w:shd w:color="auto" w:fill="f2eff6" w:themeFill="accent4" w:themeFillTint="000019" w:val="clear"/>
    </w:tcPr>
    <w:tblStylePr w:type="firstRow">
      <w:rPr>
        <w:b w:val="1"/>
        <w:bCs w:val="1"/>
        <w:color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themeColor="accent3" w:themeShade="0000CC"/>
      </w:rPr>
      <w:tblPr/>
      <w:tcPr>
        <w:tcBorders>
          <w:top w:color="000000" w:space="0" w:sz="12" w:themeColor="text1" w:val="single"/>
        </w:tcBorders>
        <w:shd w:color="auto" w:fill="ffffff" w:themeFill="background1" w:val="clear"/>
      </w:tcPr>
    </w:tblStylePr>
    <w:tblStylePr w:type="firstCol">
      <w:rPr>
        <w:b w:val="1"/>
        <w:bCs w:val="1"/>
      </w:rPr>
      <w:tblPr/>
    </w:tblStylePr>
    <w:tblStylePr w:type="lastCol">
      <w:rPr>
        <w:b w:val="1"/>
        <w:bCs w:val="1"/>
      </w:rPr>
      <w:tbl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Pr>
    <w:tcPr>
      <w:shd w:color="auto" w:fill="edf6f9" w:themeFill="accent5" w:themeFillTint="000019" w:val="clear"/>
    </w:tcPr>
    <w:tblStylePr w:type="firstRow">
      <w:rPr>
        <w:b w:val="1"/>
        <w:bCs w:val="1"/>
        <w:color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themeColor="accent6" w:themeShade="0000CC"/>
      </w:rPr>
      <w:tblPr/>
      <w:tcPr>
        <w:tcBorders>
          <w:top w:color="000000" w:space="0" w:sz="12" w:themeColor="text1" w:val="single"/>
        </w:tcBorders>
        <w:shd w:color="auto" w:fill="ffffff" w:themeFill="background1" w:val="clear"/>
      </w:tcPr>
    </w:tblStylePr>
    <w:tblStylePr w:type="firstCol">
      <w:rPr>
        <w:b w:val="1"/>
        <w:bCs w:val="1"/>
      </w:rPr>
      <w:tblPr/>
    </w:tblStylePr>
    <w:tblStylePr w:type="lastCol">
      <w:rPr>
        <w:b w:val="1"/>
        <w:bCs w:val="1"/>
      </w:rPr>
      <w:tbl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Pr>
    <w:tcPr>
      <w:shd w:color="auto" w:fill="fef4ec" w:themeFill="accent6" w:themeFillTint="000019" w:val="clear"/>
    </w:tcPr>
    <w:tblStylePr w:type="firstRow">
      <w:rPr>
        <w:b w:val="1"/>
        <w:bCs w:val="1"/>
        <w:color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themeColor="accent5" w:themeShade="0000CC"/>
      </w:rPr>
      <w:tblPr/>
      <w:tcPr>
        <w:tcBorders>
          <w:top w:color="000000" w:space="0" w:sz="12" w:themeColor="text1" w:val="single"/>
        </w:tcBorders>
        <w:shd w:color="auto" w:fill="ffffff" w:themeFill="background1" w:val="clear"/>
      </w:tcPr>
    </w:tblStylePr>
    <w:tblStylePr w:type="firstCol">
      <w:rPr>
        <w:b w:val="1"/>
        <w:bCs w:val="1"/>
      </w:rPr>
      <w:tblPr/>
    </w:tblStylePr>
    <w:tblStylePr w:type="lastCol">
      <w:rPr>
        <w:b w:val="1"/>
        <w:bCs w:val="1"/>
      </w:rPr>
      <w:tbl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color="ffffff" w:space="0" w:sz="4" w:themeColor="background1" w:val="single"/>
      </w:tblBorders>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themeColor="text1"/>
      </w:rPr>
      <w:tblPr/>
      <w:tcPr>
        <w:shd w:color="auto" w:fill="999999" w:themeFill="text1" w:themeFillTint="000066" w:val="clear"/>
      </w:tcPr>
    </w:tblStylePr>
    <w:tblStylePr w:type="firstCol">
      <w:rPr>
        <w:color w:themeColor="background1"/>
      </w:rPr>
      <w:tblPr/>
      <w:tcPr>
        <w:shd w:color="auto" w:fill="000000" w:themeFill="text1" w:themeFillShade="0000BF" w:val="clear"/>
      </w:tcPr>
    </w:tblStylePr>
    <w:tblStylePr w:type="lastCol">
      <w:rPr>
        <w:color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color="ffffff" w:space="0" w:sz="4" w:themeColor="background1" w:val="single"/>
      </w:tblBorders>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themeColor="text1"/>
      </w:rPr>
      <w:tblPr/>
      <w:tcPr>
        <w:shd w:color="auto" w:fill="b8cce4" w:themeFill="accent1" w:themeFillTint="000066" w:val="clear"/>
      </w:tcPr>
    </w:tblStylePr>
    <w:tblStylePr w:type="firstCol">
      <w:rPr>
        <w:color w:themeColor="background1"/>
      </w:rPr>
      <w:tblPr/>
      <w:tcPr>
        <w:shd w:color="auto" w:fill="365f91" w:themeFill="accent1" w:themeFillShade="0000BF" w:val="clear"/>
      </w:tcPr>
    </w:tblStylePr>
    <w:tblStylePr w:type="lastCol">
      <w:rPr>
        <w:color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color="ffffff" w:space="0" w:sz="4" w:themeColor="background1" w:val="single"/>
      </w:tblBorders>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themeColor="text1"/>
      </w:rPr>
      <w:tblPr/>
      <w:tcPr>
        <w:shd w:color="auto" w:fill="e5b8b7" w:themeFill="accent2" w:themeFillTint="000066" w:val="clear"/>
      </w:tcPr>
    </w:tblStylePr>
    <w:tblStylePr w:type="firstCol">
      <w:rPr>
        <w:color w:themeColor="background1"/>
      </w:rPr>
      <w:tblPr/>
      <w:tcPr>
        <w:shd w:color="auto" w:fill="943634" w:themeFill="accent2" w:themeFillShade="0000BF" w:val="clear"/>
      </w:tcPr>
    </w:tblStylePr>
    <w:tblStylePr w:type="lastCol">
      <w:rPr>
        <w:color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color="ffffff" w:space="0" w:sz="4" w:themeColor="background1" w:val="single"/>
      </w:tblBorders>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themeColor="text1"/>
      </w:rPr>
      <w:tblPr/>
      <w:tcPr>
        <w:shd w:color="auto" w:fill="d6e3bc" w:themeFill="accent3" w:themeFillTint="000066" w:val="clear"/>
      </w:tcPr>
    </w:tblStylePr>
    <w:tblStylePr w:type="firstCol">
      <w:rPr>
        <w:color w:themeColor="background1"/>
      </w:rPr>
      <w:tblPr/>
      <w:tcPr>
        <w:shd w:color="auto" w:fill="76923c" w:themeFill="accent3" w:themeFillShade="0000BF" w:val="clear"/>
      </w:tcPr>
    </w:tblStylePr>
    <w:tblStylePr w:type="lastCol">
      <w:rPr>
        <w:color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color="ffffff" w:space="0" w:sz="4" w:themeColor="background1" w:val="single"/>
      </w:tblBorders>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themeColor="text1"/>
      </w:rPr>
      <w:tblPr/>
      <w:tcPr>
        <w:shd w:color="auto" w:fill="ccc0d9" w:themeFill="accent4" w:themeFillTint="000066" w:val="clear"/>
      </w:tcPr>
    </w:tblStylePr>
    <w:tblStylePr w:type="firstCol">
      <w:rPr>
        <w:color w:themeColor="background1"/>
      </w:rPr>
      <w:tblPr/>
      <w:tcPr>
        <w:shd w:color="auto" w:fill="5f497a" w:themeFill="accent4" w:themeFillShade="0000BF" w:val="clear"/>
      </w:tcPr>
    </w:tblStylePr>
    <w:tblStylePr w:type="lastCol">
      <w:rPr>
        <w:color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color="ffffff" w:space="0" w:sz="4" w:themeColor="background1" w:val="single"/>
      </w:tblBorders>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themeColor="text1"/>
      </w:rPr>
      <w:tblPr/>
      <w:tcPr>
        <w:shd w:color="auto" w:fill="b6dde8" w:themeFill="accent5" w:themeFillTint="000066" w:val="clear"/>
      </w:tcPr>
    </w:tblStylePr>
    <w:tblStylePr w:type="firstCol">
      <w:rPr>
        <w:color w:themeColor="background1"/>
      </w:rPr>
      <w:tblPr/>
      <w:tcPr>
        <w:shd w:color="auto" w:fill="31849b" w:themeFill="accent5" w:themeFillShade="0000BF" w:val="clear"/>
      </w:tcPr>
    </w:tblStylePr>
    <w:tblStylePr w:type="lastCol">
      <w:rPr>
        <w:color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color="ffffff" w:space="0" w:sz="4" w:themeColor="background1" w:val="single"/>
      </w:tblBorders>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themeColor="text1"/>
      </w:rPr>
      <w:tblPr/>
      <w:tcPr>
        <w:shd w:color="auto" w:fill="fbd4b4" w:themeFill="accent6" w:themeFillTint="000066" w:val="clear"/>
      </w:tcPr>
    </w:tblStylePr>
    <w:tblStylePr w:type="firstCol">
      <w:rPr>
        <w:color w:themeColor="background1"/>
      </w:rPr>
      <w:tblPr/>
      <w:tcPr>
        <w:shd w:color="auto" w:fill="e36c0a" w:themeFill="accent6" w:themeFillShade="0000BF" w:val="clear"/>
      </w:tcPr>
    </w:tblStylePr>
    <w:tblStylePr w:type="lastCol">
      <w:rPr>
        <w:color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g1xCMDI7ktY/bbQjnGbMQ8dYaZQ==">CgMxLjA4AHIhMUQyVUo0eHotRnFydk04NDhGWHlFWDlQRUdFR3RVQ2Fp</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

<file path=docProps/custom.xml><?xml version="1.0" encoding="utf-8"?>
<Properties xmlns="http://schemas.openxmlformats.org/officeDocument/2006/custom-properties" xmlns:vt="http://schemas.openxmlformats.org/officeDocument/2006/docPropsVTypes"/>
</file>