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 Marketing Campaign Case Study</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 Summary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balanced logistic regression model provided the highest overall performance in predicting likelihood of customer acquisition as a </w:t>
      </w:r>
      <w:r w:rsidDel="00000000" w:rsidR="00000000" w:rsidRPr="00000000">
        <w:rPr>
          <w:rFonts w:ascii="Times New Roman" w:cs="Times New Roman" w:eastAsia="Times New Roman" w:hAnsi="Times New Roman"/>
          <w:rtl w:val="0"/>
        </w:rPr>
        <w:t xml:space="preserve">result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marketing campaigns. The LDA model provided nearly similar results, confirming that linear decision boundaries effectively separate subscribers f</w:t>
      </w:r>
      <w:r w:rsidDel="00000000" w:rsidR="00000000" w:rsidRPr="00000000">
        <w:rPr>
          <w:rFonts w:ascii="Times New Roman" w:cs="Times New Roman" w:eastAsia="Times New Roman" w:hAnsi="Times New Roman"/>
          <w:rtl w:val="0"/>
        </w:rPr>
        <w:t xml:space="preserve">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non-subscribers in this domain. An ROI simulation revealed that </w:t>
      </w:r>
      <w:r w:rsidDel="00000000" w:rsidR="00000000" w:rsidRPr="00000000">
        <w:rPr>
          <w:rFonts w:ascii="Times New Roman" w:cs="Times New Roman" w:eastAsia="Times New Roman" w:hAnsi="Times New Roman"/>
          <w:rtl w:val="0"/>
        </w:rPr>
        <w:t xml:space="preserve">there is potential for substantial efficiency improvement in shifting from a mass-marketing campaign focus to a more targeted approach using predictive modeling.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Targeting just the </w:t>
      </w:r>
      <w:r w:rsidDel="00000000" w:rsidR="00000000" w:rsidRPr="00000000">
        <w:rPr>
          <w:rFonts w:ascii="Times New Roman" w:cs="Times New Roman" w:eastAsia="Times New Roman" w:hAnsi="Times New Roman"/>
          <w:rtl w:val="0"/>
        </w:rPr>
        <w:t xml:space="preserve">top 10% most likely to subscribe individuals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increases ROI to 45.2% while capturing 252 conversions with only 273 contacts.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most powerful </w:t>
      </w:r>
      <w:r w:rsidDel="00000000" w:rsidR="00000000" w:rsidRPr="00000000">
        <w:rPr>
          <w:rFonts w:ascii="Times New Roman" w:cs="Times New Roman" w:eastAsia="Times New Roman" w:hAnsi="Times New Roman"/>
          <w:rtl w:val="0"/>
        </w:rPr>
        <w:t xml:space="preserve">features in predicting probability of positive customer response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are contract month, macroeconomic indicators, and contact type. Contact frequency exhibited diminishing returns with each additional call reducing subscription odds by 4.1%. We recommend implementing the balanced logistic regression model for prospect scoring, concentrating on specific months, such as March, and limiting contacts to 2-3 attempts per customer.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Problem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A mid-sized European retail bank runs</w:t>
      </w:r>
      <w:r w:rsidDel="00000000" w:rsidR="00000000" w:rsidRPr="00000000">
        <w:rPr>
          <w:rFonts w:ascii="Times New Roman" w:cs="Times New Roman" w:eastAsia="Times New Roman" w:hAnsi="Times New Roman"/>
          <w:rtl w:val="0"/>
        </w:rPr>
        <w:t xml:space="preserve"> continuous marketing campaigns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encourage customers to open long-term deposit accounts. The campaign utilizes multiple methods to attract customers</w:t>
      </w:r>
      <w:r w:rsidDel="00000000" w:rsidR="00000000" w:rsidRPr="00000000">
        <w:rPr>
          <w:rFonts w:ascii="Times New Roman" w:cs="Times New Roman" w:eastAsia="Times New Roman" w:hAnsi="Times New Roman"/>
          <w:rtl w:val="0"/>
        </w:rPr>
        <w:t xml:space="preserve">, including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phone calls, emails, and in-branch outreach. These campaigns are historically volatile and</w:t>
      </w:r>
      <w:r w:rsidDel="00000000" w:rsidR="00000000" w:rsidRPr="00000000">
        <w:rPr>
          <w:rFonts w:ascii="Times New Roman" w:cs="Times New Roman" w:eastAsia="Times New Roman" w:hAnsi="Times New Roman"/>
          <w:rtl w:val="0"/>
        </w:rPr>
        <w:t xml:space="preserve"> yield suboptimal positive customer response rates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Because of this, the bank</w:t>
      </w:r>
      <w:r w:rsidDel="00000000" w:rsidR="00000000" w:rsidRPr="00000000">
        <w:rPr>
          <w:rFonts w:ascii="Times New Roman" w:cs="Times New Roman" w:eastAsia="Times New Roman" w:hAnsi="Times New Roman"/>
          <w:rtl w:val="0"/>
        </w:rPr>
        <w:t xml:space="preserve">’s goal is to develop a more targeted marketing campaign approach that will focus efforts and resources on customers that are likely to respond to the campaign, which will hopefully improve return on investment (ROI).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task we </w:t>
      </w:r>
      <w:r w:rsidDel="00000000" w:rsidR="00000000" w:rsidRPr="00000000">
        <w:rPr>
          <w:rFonts w:ascii="Times New Roman" w:cs="Times New Roman" w:eastAsia="Times New Roman" w:hAnsi="Times New Roman"/>
          <w:rtl w:val="0"/>
        </w:rPr>
        <w:t xml:space="preserve">were assigned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case study was to improve campaign efficiency by identifying which customers are most likely to subscribe. The objective of this research is to develop and evaluate predictive models that</w:t>
      </w:r>
      <w:r w:rsidDel="00000000" w:rsidR="00000000" w:rsidRPr="00000000">
        <w:rPr>
          <w:rFonts w:ascii="Times New Roman" w:cs="Times New Roman" w:eastAsia="Times New Roman" w:hAnsi="Times New Roman"/>
          <w:rtl w:val="0"/>
        </w:rPr>
        <w:t xml:space="preserve"> take data on individual customers, as well as broader market condition data, to predict which customers are most likely 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subscribe to the term deposits. This information will help determine which marketing strategies are the best to maximize return on investment</w:t>
      </w:r>
      <w:r w:rsidDel="00000000" w:rsidR="00000000" w:rsidRPr="00000000">
        <w:rPr>
          <w:rFonts w:ascii="Times New Roman" w:cs="Times New Roman" w:eastAsia="Times New Roman" w:hAnsi="Times New Roman"/>
          <w:rtl w:val="0"/>
        </w:rPr>
        <w:t xml:space="preserve">, as well as help the bank understand which features are most (and least) important in identifying potential customers.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Some of the questions that we plan to answer are</w:t>
      </w:r>
      <w:r w:rsidDel="00000000" w:rsidR="00000000" w:rsidRPr="00000000">
        <w:rPr>
          <w:rFonts w:ascii="Times New Roman" w:cs="Times New Roman" w:eastAsia="Times New Roman" w:hAnsi="Times New Roman"/>
          <w:highlight w:val="yellow"/>
          <w:rtl w:val="0"/>
        </w:rPr>
        <w:t xml:space="preserve">: 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Times New Roman" w:cs="Times New Roman" w:eastAsia="Times New Roman" w:hAnsi="Times New Roman"/>
          <w:highlight w:val="yellow"/>
          <w:rtl w:val="0"/>
        </w:rPr>
        <w:t xml:space="preserve">w</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hich model provides the highest predictive accuracy for subscription? b) What are the most significant factors that influence subscription likelihood. And</w:t>
      </w:r>
      <w:r w:rsidDel="00000000" w:rsidR="00000000" w:rsidRPr="00000000">
        <w:rPr>
          <w:rFonts w:ascii="Times New Roman" w:cs="Times New Roman" w:eastAsia="Times New Roman" w:hAnsi="Times New Roman"/>
          <w:highlight w:val="yellow"/>
          <w:rtl w:val="0"/>
        </w:rPr>
        <w:t xml:space="preserve"> c) does a balanced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data set improve performance.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hypothesize that models trained on balanced data sets will demonstrate a superior performance in identifying positive subscription cases compared to the imbalanced dataset. </w:t>
      </w:r>
      <w:r w:rsidDel="00000000" w:rsidR="00000000" w:rsidRPr="00000000">
        <w:rPr>
          <w:rFonts w:ascii="Times New Roman" w:cs="Times New Roman" w:eastAsia="Times New Roman" w:hAnsi="Times New Roman"/>
          <w:rtl w:val="0"/>
        </w:rPr>
        <w:t xml:space="preserve">We also anticipate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previous campaign contact history and outcomes will be a strong predictor of future subscriptions. Finally, we hypothesize that random forest models will achieve the highe</w:t>
      </w:r>
      <w:r w:rsidDel="00000000" w:rsidR="00000000" w:rsidRPr="00000000">
        <w:rPr>
          <w:rFonts w:ascii="Times New Roman" w:cs="Times New Roman" w:eastAsia="Times New Roman" w:hAnsi="Times New Roman"/>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overall accuracy since they can capture any nonlinear relationships and interactions, although logistic regression may provide a better interpretability. The remainder of this report will discuss a brief introduction into literature related to predictive modeling in direct marketing context, followed by a discussion of the methodology used, the steps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required to process the data (data cleaning and preprocessing procedures), and then a presentation of the findings, which will include model performance and ROI simulations.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5"/>
          <w:tab w:val="left" w:leader="none" w:pos="1445"/>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of Related Literature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Classification models being used for customer response prediction have evolved significantly, with researchers comparing traditional statistical methods against newer approaches. Moro, Cortez, and Rita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conducted research and found that support vector machines achieved the highest performance, although their work did not explore random forest and did not balance sampling approaches as we did here. Random forests were introduced by Leo Breiman in 2001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have shown promise in marketing analytics due to thei</w:t>
      </w:r>
      <w:r w:rsidDel="00000000" w:rsidR="00000000" w:rsidRPr="00000000">
        <w:rPr>
          <w:rFonts w:ascii="Times New Roman" w:cs="Times New Roman" w:eastAsia="Times New Roman" w:hAnsi="Times New Roman"/>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ability to </w:t>
      </w:r>
      <w:r w:rsidDel="00000000" w:rsidR="00000000" w:rsidRPr="00000000">
        <w:rPr>
          <w:rFonts w:ascii="Times New Roman" w:cs="Times New Roman" w:eastAsia="Times New Roman" w:hAnsi="Times New Roman"/>
          <w:rtl w:val="0"/>
        </w:rPr>
        <w:t xml:space="preserve">handle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nonlinear relationships and capture interaction effects without explicit specifications. The method constructs multiple decision trees using bootstrapped samples and random feature subsets at each split, then it aggregates predictions through majority voting. This approach reduces overfitting compared to a single decision tree while also maintaining interpretability. Neslin et al. (2006) developed lift </w:t>
      </w:r>
      <w:r w:rsidDel="00000000" w:rsidR="00000000" w:rsidRPr="00000000">
        <w:rPr>
          <w:rFonts w:ascii="Times New Roman" w:cs="Times New Roman" w:eastAsia="Times New Roman" w:hAnsi="Times New Roman"/>
          <w:rtl w:val="0"/>
        </w:rPr>
        <w:t xml:space="preserve">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techniques that evaluate model performance in terms of campaign ROI rather than statistical metrics by themselves.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Methodology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case study</w:t>
      </w:r>
      <w:r w:rsidDel="00000000" w:rsidR="00000000" w:rsidRPr="00000000">
        <w:rPr>
          <w:rFonts w:ascii="Times New Roman" w:cs="Times New Roman" w:eastAsia="Times New Roman" w:hAnsi="Times New Roman"/>
          <w:rtl w:val="0"/>
        </w:rPr>
        <w:t xml:space="preserve">, we will compare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results of four classification methods</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logistic regression, linear discriminant analysis (LDA), decision tree, and random forest. Logistic regression is a parametric model that will assume a linear relationship between predictors and the log-odds of subscription. Due to multicollinearity concerns, variance inflation factors (VIF) were calculated, which lead to the removal of “emp.var.rate” and “euribor3m</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w:t>
      </w:r>
      <w:r w:rsidDel="00000000" w:rsidR="00000000" w:rsidRPr="00000000">
        <w:rPr>
          <w:rFonts w:ascii="Times New Roman" w:cs="Times New Roman" w:eastAsia="Times New Roman" w:hAnsi="Times New Roman"/>
          <w:rtl w:val="0"/>
        </w:rPr>
        <w:t xml:space="preserve">hich represent the employee variance rate within the bank and the Euribor 3-month rate, respectively.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reduced model maintained all VIF values below 5.0, satisfying the multicollinearity assumptions.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LDA is a parametric classification method that assumes multivariate normality within each class and estimates a linear decision boundary that maximally separates the two groups. LDA projects the predictors onto a lower-dimensional space while preserving class separability. Due to zero within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 variance for housing and loan variables in some groups, these predictors were excluded from the LDA models</w:t>
      </w:r>
      <w:r w:rsidDel="00000000" w:rsidR="00000000" w:rsidRPr="00000000">
        <w:rPr>
          <w:rFonts w:ascii="Times New Roman" w:cs="Times New Roman" w:eastAsia="Times New Roman" w:hAnsi="Times New Roman"/>
          <w:rtl w:val="0"/>
        </w:rPr>
        <w:t xml:space="preserve">, which illustrates 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limitation of LDA </w:t>
      </w:r>
      <w:r w:rsidDel="00000000" w:rsidR="00000000" w:rsidRPr="00000000">
        <w:rPr>
          <w:rFonts w:ascii="Times New Roman" w:cs="Times New Roman" w:eastAsia="Times New Roman" w:hAnsi="Times New Roman"/>
          <w:rtl w:val="0"/>
        </w:rPr>
        <w:t xml:space="preserve">compared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logistic regressio</w:t>
      </w:r>
      <w:r w:rsidDel="00000000" w:rsidR="00000000" w:rsidRPr="00000000">
        <w:rPr>
          <w:rFonts w:ascii="Times New Roman" w:cs="Times New Roman" w:eastAsia="Times New Roman" w:hAnsi="Times New Roman"/>
          <w:rtl w:val="0"/>
        </w:rPr>
        <w:t xml:space="preserve">n.</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Decision tree is a non-parametric model that classifies observations through binary splits based on predictor values. The trees were grown using the CART algorithm with default complexity parameter settings which allowed the model to determine optimal tree depth through cross validation.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is an ensemble method </w:t>
      </w:r>
      <w:r w:rsidDel="00000000" w:rsidR="00000000" w:rsidRPr="00000000">
        <w:rPr>
          <w:rFonts w:ascii="Times New Roman" w:cs="Times New Roman" w:eastAsia="Times New Roman" w:hAnsi="Times New Roman"/>
          <w:rtl w:val="0"/>
        </w:rPr>
        <w:t xml:space="preserve">composed of many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decision trees, each of which is trained on bootstrapped samples with random subsets of predictors considered at each split. For the balance dataset, mtry was set to 3 and for the imbalanced default mtry was used. Node size was set to 50 to prevent overfitting</w:t>
      </w:r>
      <w:r w:rsidDel="00000000" w:rsidR="00000000" w:rsidRPr="00000000">
        <w:rPr>
          <w:rFonts w:ascii="Times New Roman" w:cs="Times New Roman" w:eastAsia="Times New Roman" w:hAnsi="Times New Roman"/>
          <w:rtl w:val="0"/>
        </w:rPr>
        <w:t xml:space="preserve">, and 150 trees were used.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imbalanced and a balanced dataset were developed to handle and address class imbalance. The imbalanced dataset is the full dataset of 41,188 observations. This was split 70/30 into training and test sets using random sampling to maintain class distribution. The balanced dataset retained all positive cases and an equal number of negative cases which were randomly sampled from negative observations. This balanced dataset was then split into a 70/30 training test set. The model evaluation will be evaluated by </w:t>
      </w: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lassification accuracy, sensitivity, specificity, area under the ROC curve (AUC), and confusion matrices. Also, the ROI simulation will be conducted to translate model predictions into economic values. Using cost parameters of $5 per contact and $250 per successful subscription, three targeting strategies were compared, mass marketing, targeting top 20% of scored prospects, and targeting top 10% of scored prospects.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initial dataset contained 41,188 observations across 21 variables, with no missing values in the raw data. However, several data issues needed to be resolved. First, several categorical variables needed to be converted from character strings to factor types for proper modeling. These included job, marital, education, default, housing, loan, contract, month, day_of_week, poutcome, and the response variable y. We </w:t>
      </w:r>
      <w:r w:rsidDel="00000000" w:rsidR="00000000" w:rsidRPr="00000000">
        <w:rPr>
          <w:rFonts w:ascii="Times New Roman" w:cs="Times New Roman" w:eastAsia="Times New Roman" w:hAnsi="Times New Roman"/>
          <w:rtl w:val="0"/>
        </w:rPr>
        <w:t xml:space="preserve">also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ordered factor levels of the three variables education, month, and day_of_week. Three variables (duration, pdays, and poutcome) were excluded from the predictive modeling. The variable “duration” (call duration in seconds) was removed because it is a near perfect predictor that would not be available before contact. The variable “pdays” (days since previous contact) was excluded due to the extreme sparsity, 96.3% of the observations had values of 999 indicating that there was no previous contact. The variable “poutcome” was transformed into two derived features: “prev_contacted” and “prev_outcome.” However, prev_outcome showed perfect collinearity with other predictors and was ultimately dropped. Specifically, the subset of observations, where loan = unknown, exhibited singular covariance structure with prev_outcome, necessitating removal of both variables. After filtering out loan = unknown and dropping prev_outcome, the final dataset contained no multicollinearity issues.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was revealed that there were severe multicollinearity among the macroeconomic variables emp.var.rate, euribor3m, and nr.employed. These variables were removed one at a time based on highest VIF until all values fell below 5.0.  The final model excluded emp.var.rate and euribor3m but kept nr.employed. This reduction was necessary only for logistic regression. Tree based methods are </w:t>
      </w:r>
      <w:r w:rsidDel="00000000" w:rsidR="00000000" w:rsidRPr="00000000">
        <w:rPr>
          <w:rFonts w:ascii="Times New Roman" w:cs="Times New Roman" w:eastAsia="Times New Roman" w:hAnsi="Times New Roman"/>
          <w:rtl w:val="0"/>
        </w:rPr>
        <w:t xml:space="preserve">inherently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robust to multicollinearity.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of the limitations we experienced were that there was a severe class imbalance. The 88% negative / 11% positive split created challenges for model training such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a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may </w:t>
      </w:r>
      <w:r w:rsidDel="00000000" w:rsidR="00000000" w:rsidRPr="00000000">
        <w:rPr>
          <w:rFonts w:ascii="Times New Roman" w:cs="Times New Roman" w:eastAsia="Times New Roman" w:hAnsi="Times New Roman"/>
          <w:rtl w:val="0"/>
        </w:rPr>
        <w:t xml:space="preserve">improv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its accuracy score simply by </w:t>
      </w:r>
      <w:r w:rsidDel="00000000" w:rsidR="00000000" w:rsidRPr="00000000">
        <w:rPr>
          <w:rFonts w:ascii="Times New Roman" w:cs="Times New Roman" w:eastAsia="Times New Roman" w:hAnsi="Times New Roman"/>
          <w:rtl w:val="0"/>
        </w:rPr>
        <w:t xml:space="preserve">acquiring bias for predicting the majority class (negative), which would undermine the sensitivity score in the case of this dataset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We addressed this through balancing the dataset</w:t>
      </w:r>
      <w:r w:rsidDel="00000000" w:rsidR="00000000" w:rsidRPr="00000000">
        <w:rPr>
          <w:rFonts w:ascii="Times New Roman" w:cs="Times New Roman" w:eastAsia="Times New Roman" w:hAnsi="Times New Roman"/>
          <w:rtl w:val="0"/>
        </w:rPr>
        <w:t xml:space="preserve"> with the below code.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Another unfortunate limitation is that the data spans from 2008 to 2010, which coincides with a global financial crisis, </w:t>
      </w:r>
      <w:r w:rsidDel="00000000" w:rsidR="00000000" w:rsidRPr="00000000">
        <w:rPr>
          <w:rFonts w:ascii="Times New Roman" w:cs="Times New Roman" w:eastAsia="Times New Roman" w:hAnsi="Times New Roman"/>
          <w:rtl w:val="0"/>
        </w:rPr>
        <w:t xml:space="preserve">potentially distorting insights meant to be applied to more normal economic conditions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76925" cy="2257425"/>
            <wp:effectExtent b="0" l="0" r="0" t="0"/>
            <wp:docPr id="128290031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8769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Findings (Results)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training all four classification models with both the balanced and imbalance datasets, we found that three models were tied for the highest AUC (0.79): the logistic regression trained on balanced data, the LDA trained on balanced data, and the decision tree trained on balanced data. The random forest model trained on balanced data lagged only slightly behind with an AUC of 0.785.</w:t>
      </w:r>
    </w:p>
    <w:p w:rsidR="00000000" w:rsidDel="00000000" w:rsidP="00000000" w:rsidRDefault="00000000" w:rsidRPr="00000000" w14:paraId="00000021">
      <w:pPr>
        <w:spacing w:after="0" w:lineRule="auto"/>
        <w:ind w:left="1080" w:firstLine="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after="0" w:lineRule="auto"/>
        <w:ind w:left="1080" w:firstLine="360"/>
        <w:rPr>
          <w:rFonts w:ascii="Times New Roman" w:cs="Times New Roman" w:eastAsia="Times New Roman" w:hAnsi="Times New Roman"/>
        </w:rPr>
      </w:pPr>
      <w:r w:rsidDel="00000000" w:rsidR="00000000" w:rsidRPr="00000000">
        <w:rPr>
          <w:rtl w:val="0"/>
        </w:rPr>
      </w:r>
    </w:p>
    <w:sdt>
      <w:sdtPr>
        <w:lock w:val="contentLocked"/>
        <w:id w:val="-1143634537"/>
        <w:tag w:val="goog_rdk_0"/>
      </w:sdtPr>
      <w:sdtContent>
        <w:tbl>
          <w:tblPr>
            <w:tblStyle w:val="Table1"/>
            <w:tblpPr w:leftFromText="180" w:rightFromText="180" w:topFromText="0" w:bottomFromText="0" w:vertAnchor="page" w:horzAnchor="margin" w:tblpX="390" w:tblpY="1080"/>
            <w:tblW w:w="8642.0" w:type="dxa"/>
            <w:jc w:val="left"/>
            <w:tblBorders>
              <w:top w:color="156082" w:space="0" w:sz="4" w:val="single"/>
              <w:left w:color="156082" w:space="0" w:sz="4" w:val="single"/>
              <w:bottom w:color="156082" w:space="0" w:sz="4" w:val="single"/>
              <w:right w:color="156082" w:space="0" w:sz="4" w:val="single"/>
            </w:tblBorders>
            <w:tblLayout w:type="fixed"/>
            <w:tblLook w:val="00A0"/>
          </w:tblPr>
          <w:tblGrid>
            <w:gridCol w:w="1440"/>
            <w:gridCol w:w="1440"/>
            <w:gridCol w:w="1440"/>
            <w:gridCol w:w="1440"/>
            <w:gridCol w:w="1441"/>
            <w:gridCol w:w="1441"/>
            <w:tblGridChange w:id="0">
              <w:tblGrid>
                <w:gridCol w:w="1440"/>
                <w:gridCol w:w="1440"/>
                <w:gridCol w:w="1440"/>
                <w:gridCol w:w="1440"/>
                <w:gridCol w:w="1441"/>
                <w:gridCol w:w="1441"/>
              </w:tblGrid>
            </w:tblGridChange>
          </w:tblGrid>
          <w:tr>
            <w:trPr>
              <w:cantSplit w:val="0"/>
              <w:trHeight w:val="255" w:hRule="atLeast"/>
              <w:tblHeader w:val="0"/>
            </w:trPr>
            <w:tc>
              <w:tcPr/>
              <w:p w:rsidR="00000000" w:rsidDel="00000000" w:rsidP="00000000" w:rsidRDefault="00000000" w:rsidRPr="00000000" w14:paraId="00000023">
                <w:pPr>
                  <w:spacing w:after="160" w:line="278.00000000000006"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Model</w:t>
                </w:r>
              </w:p>
            </w:tc>
            <w:tc>
              <w:tcPr/>
              <w:p w:rsidR="00000000" w:rsidDel="00000000" w:rsidP="00000000" w:rsidRDefault="00000000" w:rsidRPr="00000000" w14:paraId="00000024">
                <w:pPr>
                  <w:spacing w:after="160" w:line="278.00000000000006"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Dataset</w:t>
                </w:r>
              </w:p>
            </w:tc>
            <w:tc>
              <w:tcPr/>
              <w:p w:rsidR="00000000" w:rsidDel="00000000" w:rsidP="00000000" w:rsidRDefault="00000000" w:rsidRPr="00000000" w14:paraId="00000025">
                <w:pPr>
                  <w:spacing w:after="160" w:line="278.00000000000006"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Accuracy</w:t>
                </w:r>
              </w:p>
            </w:tc>
            <w:tc>
              <w:tcPr/>
              <w:p w:rsidR="00000000" w:rsidDel="00000000" w:rsidP="00000000" w:rsidRDefault="00000000" w:rsidRPr="00000000" w14:paraId="00000026">
                <w:pPr>
                  <w:spacing w:after="160" w:line="278.00000000000006"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Sensitivity</w:t>
                </w:r>
              </w:p>
            </w:tc>
            <w:tc>
              <w:tcPr/>
              <w:p w:rsidR="00000000" w:rsidDel="00000000" w:rsidP="00000000" w:rsidRDefault="00000000" w:rsidRPr="00000000" w14:paraId="00000027">
                <w:pPr>
                  <w:spacing w:after="160" w:line="278.00000000000006"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Specificity</w:t>
                </w:r>
              </w:p>
            </w:tc>
            <w:tc>
              <w:tcPr/>
              <w:p w:rsidR="00000000" w:rsidDel="00000000" w:rsidP="00000000" w:rsidRDefault="00000000" w:rsidRPr="00000000" w14:paraId="00000028">
                <w:pPr>
                  <w:spacing w:after="160" w:line="278.00000000000006" w:lineRule="auto"/>
                  <w:jc w:val="center"/>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AUC</w:t>
                </w:r>
              </w:p>
            </w:tc>
          </w:tr>
          <w:tr>
            <w:trPr>
              <w:cantSplit w:val="0"/>
              <w:trHeight w:val="524" w:hRule="atLeast"/>
              <w:tblHeader w:val="0"/>
            </w:trPr>
            <w:tc>
              <w:tcPr/>
              <w:p w:rsidR="00000000" w:rsidDel="00000000" w:rsidP="00000000" w:rsidRDefault="00000000" w:rsidRPr="00000000" w14:paraId="00000029">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Logistic Regression</w:t>
                </w:r>
              </w:p>
            </w:tc>
            <w:tc>
              <w:tcPr/>
              <w:p w:rsidR="00000000" w:rsidDel="00000000" w:rsidP="00000000" w:rsidRDefault="00000000" w:rsidRPr="00000000" w14:paraId="0000002A">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 </w:t>
                </w:r>
              </w:p>
            </w:tc>
            <w:tc>
              <w:tcPr/>
              <w:p w:rsidR="00000000" w:rsidDel="00000000" w:rsidP="00000000" w:rsidRDefault="00000000" w:rsidRPr="00000000" w14:paraId="0000002B">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74.2%</w:t>
                </w:r>
              </w:p>
            </w:tc>
            <w:tc>
              <w:tcPr/>
              <w:p w:rsidR="00000000" w:rsidDel="00000000" w:rsidP="00000000" w:rsidRDefault="00000000" w:rsidRPr="00000000" w14:paraId="0000002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62.6%</w:t>
                </w:r>
              </w:p>
            </w:tc>
            <w:tc>
              <w:tcPr/>
              <w:p w:rsidR="00000000" w:rsidDel="00000000" w:rsidP="00000000" w:rsidRDefault="00000000" w:rsidRPr="00000000" w14:paraId="0000002D">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85.6%</w:t>
                </w:r>
              </w:p>
            </w:tc>
            <w:tc>
              <w:tcPr/>
              <w:p w:rsidR="00000000" w:rsidDel="00000000" w:rsidP="00000000" w:rsidRDefault="00000000" w:rsidRPr="00000000" w14:paraId="0000002E">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0.790</w:t>
                </w:r>
              </w:p>
            </w:tc>
          </w:tr>
          <w:tr>
            <w:trPr>
              <w:cantSplit w:val="0"/>
              <w:trHeight w:val="510" w:hRule="atLeast"/>
              <w:tblHeader w:val="0"/>
            </w:trPr>
            <w:tc>
              <w:tcPr/>
              <w:p w:rsidR="00000000" w:rsidDel="00000000" w:rsidP="00000000" w:rsidRDefault="00000000" w:rsidRPr="00000000" w14:paraId="0000002F">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Logistic Regression</w:t>
                </w:r>
              </w:p>
            </w:tc>
            <w:tc>
              <w:tcPr/>
              <w:p w:rsidR="00000000" w:rsidDel="00000000" w:rsidP="00000000" w:rsidRDefault="00000000" w:rsidRPr="00000000" w14:paraId="00000030">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Imbalanced </w:t>
                </w:r>
              </w:p>
            </w:tc>
            <w:tc>
              <w:tcPr/>
              <w:p w:rsidR="00000000" w:rsidDel="00000000" w:rsidP="00000000" w:rsidRDefault="00000000" w:rsidRPr="00000000" w14:paraId="00000031">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89.1%</w:t>
                </w:r>
              </w:p>
            </w:tc>
            <w:tc>
              <w:tcPr/>
              <w:p w:rsidR="00000000" w:rsidDel="00000000" w:rsidP="00000000" w:rsidRDefault="00000000" w:rsidRPr="00000000" w14:paraId="0000003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w:t>
                </w:r>
              </w:p>
            </w:tc>
            <w:tc>
              <w:tcPr/>
              <w:p w:rsidR="00000000" w:rsidDel="00000000" w:rsidP="00000000" w:rsidRDefault="00000000" w:rsidRPr="00000000" w14:paraId="00000033">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98.2%</w:t>
                </w:r>
              </w:p>
            </w:tc>
            <w:tc>
              <w:tcPr/>
              <w:p w:rsidR="00000000" w:rsidDel="00000000" w:rsidP="00000000" w:rsidRDefault="00000000" w:rsidRPr="00000000" w14:paraId="00000034">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0.780</w:t>
                </w:r>
              </w:p>
            </w:tc>
          </w:tr>
          <w:tr>
            <w:trPr>
              <w:cantSplit w:val="0"/>
              <w:trHeight w:val="362" w:hRule="atLeast"/>
              <w:tblHeader w:val="0"/>
            </w:trPr>
            <w:tc>
              <w:tcPr/>
              <w:p w:rsidR="00000000" w:rsidDel="00000000" w:rsidP="00000000" w:rsidRDefault="00000000" w:rsidRPr="00000000" w14:paraId="00000035">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LDA</w:t>
                </w:r>
              </w:p>
            </w:tc>
            <w:tc>
              <w:tcPr/>
              <w:p w:rsidR="00000000" w:rsidDel="00000000" w:rsidP="00000000" w:rsidRDefault="00000000" w:rsidRPr="00000000" w14:paraId="00000036">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w:t>
                </w:r>
              </w:p>
            </w:tc>
            <w:tc>
              <w:tcPr/>
              <w:p w:rsidR="00000000" w:rsidDel="00000000" w:rsidP="00000000" w:rsidRDefault="00000000" w:rsidRPr="00000000" w14:paraId="00000037">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74.0%</w:t>
                </w:r>
              </w:p>
            </w:tc>
            <w:tc>
              <w:tcPr/>
              <w:p w:rsidR="00000000" w:rsidDel="00000000" w:rsidP="00000000" w:rsidRDefault="00000000" w:rsidRPr="00000000" w14:paraId="00000038">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62.3%</w:t>
                </w:r>
              </w:p>
            </w:tc>
            <w:tc>
              <w:tcPr/>
              <w:p w:rsidR="00000000" w:rsidDel="00000000" w:rsidP="00000000" w:rsidRDefault="00000000" w:rsidRPr="00000000" w14:paraId="00000039">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85.6%</w:t>
                </w:r>
              </w:p>
            </w:tc>
            <w:tc>
              <w:tcPr/>
              <w:p w:rsidR="00000000" w:rsidDel="00000000" w:rsidP="00000000" w:rsidRDefault="00000000" w:rsidRPr="00000000" w14:paraId="0000003A">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0.790</w:t>
                </w:r>
              </w:p>
            </w:tc>
          </w:tr>
          <w:tr>
            <w:trPr>
              <w:cantSplit w:val="0"/>
              <w:trHeight w:val="328" w:hRule="atLeast"/>
              <w:tblHeader w:val="0"/>
            </w:trPr>
            <w:tc>
              <w:tcPr/>
              <w:p w:rsidR="00000000" w:rsidDel="00000000" w:rsidP="00000000" w:rsidRDefault="00000000" w:rsidRPr="00000000" w14:paraId="0000003B">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LDA</w:t>
                </w:r>
              </w:p>
            </w:tc>
            <w:tc>
              <w:tcPr/>
              <w:p w:rsidR="00000000" w:rsidDel="00000000" w:rsidP="00000000" w:rsidRDefault="00000000" w:rsidRPr="00000000" w14:paraId="0000003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Imbalanced </w:t>
                </w:r>
              </w:p>
            </w:tc>
            <w:tc>
              <w:tcPr/>
              <w:p w:rsidR="00000000" w:rsidDel="00000000" w:rsidP="00000000" w:rsidRDefault="00000000" w:rsidRPr="00000000" w14:paraId="0000003D">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87.9%</w:t>
                </w:r>
              </w:p>
            </w:tc>
            <w:tc>
              <w:tcPr/>
              <w:p w:rsidR="00000000" w:rsidDel="00000000" w:rsidP="00000000" w:rsidRDefault="00000000" w:rsidRPr="00000000" w14:paraId="0000003E">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43.8%</w:t>
                </w:r>
              </w:p>
            </w:tc>
            <w:tc>
              <w:tcPr/>
              <w:p w:rsidR="00000000" w:rsidDel="00000000" w:rsidP="00000000" w:rsidRDefault="00000000" w:rsidRPr="00000000" w14:paraId="0000003F">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93.6%</w:t>
                </w:r>
              </w:p>
            </w:tc>
            <w:tc>
              <w:tcPr/>
              <w:p w:rsidR="00000000" w:rsidDel="00000000" w:rsidP="00000000" w:rsidRDefault="00000000" w:rsidRPr="00000000" w14:paraId="00000040">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0.760</w:t>
                </w:r>
              </w:p>
            </w:tc>
          </w:tr>
          <w:tr>
            <w:trPr>
              <w:cantSplit w:val="0"/>
              <w:trHeight w:val="328" w:hRule="atLeast"/>
              <w:tblHeader w:val="0"/>
            </w:trPr>
            <w:tc>
              <w:tcPr/>
              <w:p w:rsidR="00000000" w:rsidDel="00000000" w:rsidP="00000000" w:rsidRDefault="00000000" w:rsidRPr="00000000" w14:paraId="00000041">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Decision Tree</w:t>
                </w:r>
              </w:p>
            </w:tc>
            <w:tc>
              <w:tcPr/>
              <w:p w:rsidR="00000000" w:rsidDel="00000000" w:rsidP="00000000" w:rsidRDefault="00000000" w:rsidRPr="00000000" w14:paraId="0000004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w:t>
                </w:r>
              </w:p>
            </w:tc>
            <w:tc>
              <w:tcPr/>
              <w:p w:rsidR="00000000" w:rsidDel="00000000" w:rsidP="00000000" w:rsidRDefault="00000000" w:rsidRPr="00000000" w14:paraId="00000043">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74.4%</w:t>
                </w:r>
              </w:p>
            </w:tc>
            <w:tc>
              <w:tcPr/>
              <w:p w:rsidR="00000000" w:rsidDel="00000000" w:rsidP="00000000" w:rsidRDefault="00000000" w:rsidRPr="00000000" w14:paraId="00000044">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60.8%</w:t>
                </w:r>
              </w:p>
            </w:tc>
            <w:tc>
              <w:tcPr/>
              <w:p w:rsidR="00000000" w:rsidDel="00000000" w:rsidP="00000000" w:rsidRDefault="00000000" w:rsidRPr="00000000" w14:paraId="00000045">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87.8%</w:t>
                </w:r>
              </w:p>
            </w:tc>
            <w:tc>
              <w:tcPr/>
              <w:p w:rsidR="00000000" w:rsidDel="00000000" w:rsidP="00000000" w:rsidRDefault="00000000" w:rsidRPr="00000000" w14:paraId="00000046">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0.790</w:t>
                </w:r>
              </w:p>
            </w:tc>
          </w:tr>
          <w:tr>
            <w:trPr>
              <w:cantSplit w:val="0"/>
              <w:trHeight w:val="328" w:hRule="atLeast"/>
              <w:tblHeader w:val="0"/>
            </w:trPr>
            <w:tc>
              <w:tcPr/>
              <w:p w:rsidR="00000000" w:rsidDel="00000000" w:rsidP="00000000" w:rsidRDefault="00000000" w:rsidRPr="00000000" w14:paraId="00000047">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Decision Tree</w:t>
                </w:r>
              </w:p>
            </w:tc>
            <w:tc>
              <w:tcPr/>
              <w:p w:rsidR="00000000" w:rsidDel="00000000" w:rsidP="00000000" w:rsidRDefault="00000000" w:rsidRPr="00000000" w14:paraId="00000048">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Imbalanced </w:t>
                </w:r>
              </w:p>
            </w:tc>
            <w:tc>
              <w:tcPr/>
              <w:p w:rsidR="00000000" w:rsidDel="00000000" w:rsidP="00000000" w:rsidRDefault="00000000" w:rsidRPr="00000000" w14:paraId="00000049">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89.1%</w:t>
                </w:r>
              </w:p>
            </w:tc>
            <w:tc>
              <w:tcPr/>
              <w:p w:rsidR="00000000" w:rsidDel="00000000" w:rsidP="00000000" w:rsidRDefault="00000000" w:rsidRPr="00000000" w14:paraId="0000004A">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w:t>
                </w:r>
              </w:p>
            </w:tc>
            <w:tc>
              <w:tcPr/>
              <w:p w:rsidR="00000000" w:rsidDel="00000000" w:rsidP="00000000" w:rsidRDefault="00000000" w:rsidRPr="00000000" w14:paraId="0000004B">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98.0%</w:t>
                </w:r>
              </w:p>
            </w:tc>
            <w:tc>
              <w:tcPr/>
              <w:p w:rsidR="00000000" w:rsidDel="00000000" w:rsidP="00000000" w:rsidRDefault="00000000" w:rsidRPr="00000000" w14:paraId="0000004C">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0.780</w:t>
                </w:r>
              </w:p>
            </w:tc>
          </w:tr>
          <w:tr>
            <w:trPr>
              <w:cantSplit w:val="0"/>
              <w:trHeight w:val="510" w:hRule="atLeast"/>
              <w:tblHeader w:val="0"/>
            </w:trPr>
            <w:tc>
              <w:tcPr/>
              <w:p w:rsidR="00000000" w:rsidDel="00000000" w:rsidP="00000000" w:rsidRDefault="00000000" w:rsidRPr="00000000" w14:paraId="0000004D">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Random Forest</w:t>
                </w:r>
              </w:p>
            </w:tc>
            <w:tc>
              <w:tcPr/>
              <w:p w:rsidR="00000000" w:rsidDel="00000000" w:rsidP="00000000" w:rsidRDefault="00000000" w:rsidRPr="00000000" w14:paraId="0000004E">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Balanced</w:t>
                </w:r>
              </w:p>
            </w:tc>
            <w:tc>
              <w:tcPr/>
              <w:p w:rsidR="00000000" w:rsidDel="00000000" w:rsidP="00000000" w:rsidRDefault="00000000" w:rsidRPr="00000000" w14:paraId="0000004F">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73.3%</w:t>
                </w:r>
              </w:p>
            </w:tc>
            <w:tc>
              <w:tcPr/>
              <w:p w:rsidR="00000000" w:rsidDel="00000000" w:rsidP="00000000" w:rsidRDefault="00000000" w:rsidRPr="00000000" w14:paraId="00000050">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61.7%</w:t>
                </w:r>
              </w:p>
            </w:tc>
            <w:tc>
              <w:tcPr/>
              <w:p w:rsidR="00000000" w:rsidDel="00000000" w:rsidP="00000000" w:rsidRDefault="00000000" w:rsidRPr="00000000" w14:paraId="00000051">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84.8%</w:t>
                </w:r>
              </w:p>
            </w:tc>
            <w:tc>
              <w:tcPr/>
              <w:p w:rsidR="00000000" w:rsidDel="00000000" w:rsidP="00000000" w:rsidRDefault="00000000" w:rsidRPr="00000000" w14:paraId="00000052">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0.785</w:t>
                </w:r>
              </w:p>
            </w:tc>
          </w:tr>
          <w:tr>
            <w:trPr>
              <w:cantSplit w:val="0"/>
              <w:trHeight w:val="524" w:hRule="atLeast"/>
              <w:tblHeader w:val="0"/>
            </w:trPr>
            <w:tc>
              <w:tcPr/>
              <w:p w:rsidR="00000000" w:rsidDel="00000000" w:rsidP="00000000" w:rsidRDefault="00000000" w:rsidRPr="00000000" w14:paraId="00000053">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Random Forest </w:t>
                </w:r>
              </w:p>
            </w:tc>
            <w:tc>
              <w:tcPr/>
              <w:p w:rsidR="00000000" w:rsidDel="00000000" w:rsidP="00000000" w:rsidRDefault="00000000" w:rsidRPr="00000000" w14:paraId="00000054">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Imbalanced </w:t>
                </w:r>
              </w:p>
            </w:tc>
            <w:tc>
              <w:tcPr/>
              <w:p w:rsidR="00000000" w:rsidDel="00000000" w:rsidP="00000000" w:rsidRDefault="00000000" w:rsidRPr="00000000" w14:paraId="00000055">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89.4%</w:t>
                </w:r>
              </w:p>
            </w:tc>
            <w:tc>
              <w:tcPr/>
              <w:p w:rsidR="00000000" w:rsidDel="00000000" w:rsidP="00000000" w:rsidRDefault="00000000" w:rsidRPr="00000000" w14:paraId="00000056">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22.6%</w:t>
                </w:r>
              </w:p>
            </w:tc>
            <w:tc>
              <w:tcPr/>
              <w:p w:rsidR="00000000" w:rsidDel="00000000" w:rsidP="00000000" w:rsidRDefault="00000000" w:rsidRPr="00000000" w14:paraId="00000057">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97.9%</w:t>
                </w:r>
              </w:p>
            </w:tc>
            <w:tc>
              <w:tcPr/>
              <w:p w:rsidR="00000000" w:rsidDel="00000000" w:rsidP="00000000" w:rsidRDefault="00000000" w:rsidRPr="00000000" w14:paraId="00000058">
                <w:pPr>
                  <w:spacing w:after="160" w:line="278.0000000000000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0.754</w:t>
                </w:r>
              </w:p>
            </w:tc>
          </w:tr>
        </w:tbl>
      </w:sdtContent>
    </w:sd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One of the most significant findings was that the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balanced datasets outperformed the imbalanced datasets by a significant amount. This suggests that linear decision boundaries effectively separate subscribers from non-subscribers, and that the relationship between the predictors and outcomes are additive without complex interactions. The large spread in sensitiv</w:t>
      </w:r>
      <w:r w:rsidDel="00000000" w:rsidR="00000000" w:rsidRPr="00000000">
        <w:rPr>
          <w:rFonts w:ascii="Times New Roman" w:cs="Times New Roman" w:eastAsia="Times New Roman" w:hAnsi="Times New Roman"/>
          <w:rtl w:val="0"/>
        </w:rPr>
        <w:t xml:space="preserve">ity/specificity scores when comparing one model type trained on balanced versus imbalanced data demonstrates the bias that the model learns when training on imbalanced data by over-predicting the majority class label (negative, or ‘no’), even if it sacrifices sensitivity to do 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this situation where identifying a potential subscriber is </w:t>
      </w: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objective, the balanced model</w:t>
      </w: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performances a</w:t>
      </w:r>
      <w:r w:rsidDel="00000000" w:rsidR="00000000" w:rsidRPr="00000000">
        <w:rPr>
          <w:rFonts w:ascii="Times New Roman" w:cs="Times New Roman" w:eastAsia="Times New Roman" w:hAnsi="Times New Roman"/>
          <w:rtl w:val="0"/>
        </w:rPr>
        <w:t xml:space="preserve">ppear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more desirable despite the slightly lower overall accuracy.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Using 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balanced logistic regression model coefficients, we can </w:t>
      </w:r>
      <w:r w:rsidDel="00000000" w:rsidR="00000000" w:rsidRPr="00000000">
        <w:rPr>
          <w:rFonts w:ascii="Times New Roman" w:cs="Times New Roman" w:eastAsia="Times New Roman" w:hAnsi="Times New Roman"/>
          <w:rtl w:val="0"/>
        </w:rPr>
        <w:t xml:space="preserve">estimate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f</w:t>
      </w:r>
      <w:r w:rsidDel="00000000" w:rsidR="00000000" w:rsidRPr="00000000">
        <w:rPr>
          <w:rFonts w:ascii="Times New Roman" w:cs="Times New Roman" w:eastAsia="Times New Roman" w:hAnsi="Times New Roman"/>
          <w:rtl w:val="0"/>
        </w:rPr>
        <w:t xml:space="preserve">eature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 </w:t>
      </w:r>
      <w:r w:rsidDel="00000000" w:rsidR="00000000" w:rsidRPr="00000000">
        <w:rPr>
          <w:rFonts w:ascii="Times New Roman" w:cs="Times New Roman" w:eastAsia="Times New Roman" w:hAnsi="Times New Roman"/>
          <w:rtl w:val="0"/>
        </w:rPr>
        <w:t xml:space="preserve">are most likely 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influence subscriptions likelihood, as seen below.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after="0" w:lineRule="auto"/>
        <w:ind w:left="1080" w:firstLine="360"/>
        <w:rPr>
          <w:rFonts w:ascii="Times New Roman" w:cs="Times New Roman" w:eastAsia="Times New Roman" w:hAnsi="Times New Roman"/>
        </w:rPr>
      </w:pPr>
      <w:r w:rsidDel="00000000" w:rsidR="00000000" w:rsidRPr="00000000">
        <w:rPr>
          <w:rtl w:val="0"/>
        </w:rPr>
      </w:r>
    </w:p>
    <w:tbl>
      <w:tblPr>
        <w:tblStyle w:val="Table2"/>
        <w:tblpPr w:leftFromText="180" w:rightFromText="180" w:topFromText="0" w:bottomFromText="0" w:vertAnchor="page" w:horzAnchor="margin" w:tblpX="540" w:tblpY="11820"/>
        <w:tblW w:w="8041.0" w:type="dxa"/>
        <w:jc w:val="left"/>
        <w:tblBorders>
          <w:top w:color="156082" w:space="0" w:sz="4" w:val="single"/>
          <w:left w:color="156082" w:space="0" w:sz="4" w:val="single"/>
          <w:bottom w:color="156082" w:space="0" w:sz="4" w:val="single"/>
          <w:right w:color="156082" w:space="0" w:sz="4" w:val="single"/>
        </w:tblBorders>
        <w:tblLayout w:type="fixed"/>
        <w:tblLook w:val="00A0"/>
      </w:tblPr>
      <w:tblGrid>
        <w:gridCol w:w="2284"/>
        <w:gridCol w:w="1919"/>
        <w:gridCol w:w="1919"/>
        <w:gridCol w:w="1919"/>
        <w:tblGridChange w:id="0">
          <w:tblGrid>
            <w:gridCol w:w="2284"/>
            <w:gridCol w:w="1919"/>
            <w:gridCol w:w="1919"/>
            <w:gridCol w:w="1919"/>
          </w:tblGrid>
        </w:tblGridChange>
      </w:tblGrid>
      <w:tr>
        <w:trPr>
          <w:cantSplit w:val="0"/>
          <w:trHeight w:val="223" w:hRule="atLeast"/>
          <w:tblHeader w:val="0"/>
        </w:trPr>
        <w:tc>
          <w:tcPr/>
          <w:p w:rsidR="00000000" w:rsidDel="00000000" w:rsidP="00000000" w:rsidRDefault="00000000" w:rsidRPr="00000000" w14:paraId="00000069">
            <w:pPr>
              <w:spacing w:after="160" w:line="278.00000000000006"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Variable</w:t>
            </w:r>
          </w:p>
        </w:tc>
        <w:tc>
          <w:tcPr/>
          <w:p w:rsidR="00000000" w:rsidDel="00000000" w:rsidP="00000000" w:rsidRDefault="00000000" w:rsidRPr="00000000" w14:paraId="0000006A">
            <w:pPr>
              <w:spacing w:after="160" w:line="278.00000000000006"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Coefficient</w:t>
            </w:r>
          </w:p>
        </w:tc>
        <w:tc>
          <w:tcPr/>
          <w:p w:rsidR="00000000" w:rsidDel="00000000" w:rsidP="00000000" w:rsidRDefault="00000000" w:rsidRPr="00000000" w14:paraId="0000006B">
            <w:pPr>
              <w:spacing w:after="160" w:line="278.00000000000006"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P-value</w:t>
            </w:r>
          </w:p>
        </w:tc>
        <w:tc>
          <w:tcPr/>
          <w:p w:rsidR="00000000" w:rsidDel="00000000" w:rsidP="00000000" w:rsidRDefault="00000000" w:rsidRPr="00000000" w14:paraId="0000006C">
            <w:pPr>
              <w:spacing w:after="160" w:line="278.00000000000006" w:lineRule="auto"/>
              <w:rPr>
                <w:rFonts w:ascii="Times New Roman" w:cs="Times New Roman" w:eastAsia="Times New Roman" w:hAnsi="Times New Roman"/>
                <w:b w:val="0"/>
                <w:bCs w:val="0"/>
                <w:color w:val="000000"/>
              </w:rPr>
            </w:pPr>
            <w:r w:rsidDel="00000000" w:rsidR="00000000" w:rsidRPr="00000000">
              <w:rPr>
                <w:rFonts w:ascii="Times New Roman" w:cs="Times New Roman" w:eastAsia="Times New Roman" w:hAnsi="Times New Roman"/>
                <w:b w:val="0"/>
                <w:bCs w:val="0"/>
                <w:color w:val="000000"/>
                <w:rtl w:val="0"/>
              </w:rPr>
              <w:t xml:space="preserve">Direction</w:t>
            </w:r>
          </w:p>
        </w:tc>
      </w:tr>
      <w:tr>
        <w:trPr>
          <w:cantSplit w:val="0"/>
          <w:trHeight w:val="459" w:hRule="atLeast"/>
          <w:tblHeader w:val="0"/>
        </w:trPr>
        <w:tc>
          <w:tcPr/>
          <w:p w:rsidR="00000000" w:rsidDel="00000000" w:rsidP="00000000" w:rsidRDefault="00000000" w:rsidRPr="00000000" w14:paraId="0000006D">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Month: March</w:t>
            </w:r>
          </w:p>
        </w:tc>
        <w:tc>
          <w:tcPr/>
          <w:p w:rsidR="00000000" w:rsidDel="00000000" w:rsidP="00000000" w:rsidRDefault="00000000" w:rsidRPr="00000000" w14:paraId="0000006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1.745</w:t>
            </w:r>
          </w:p>
        </w:tc>
        <w:tc>
          <w:tcPr/>
          <w:p w:rsidR="00000000" w:rsidDel="00000000" w:rsidP="00000000" w:rsidRDefault="00000000" w:rsidRPr="00000000" w14:paraId="0000006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0.001</w:t>
            </w:r>
          </w:p>
        </w:tc>
        <w:tc>
          <w:tcPr/>
          <w:p w:rsidR="00000000" w:rsidDel="00000000" w:rsidP="00000000" w:rsidRDefault="00000000" w:rsidRPr="00000000" w14:paraId="0000007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w:t>
            </w:r>
          </w:p>
        </w:tc>
      </w:tr>
      <w:tr>
        <w:trPr>
          <w:cantSplit w:val="0"/>
          <w:trHeight w:val="446" w:hRule="atLeast"/>
          <w:tblHeader w:val="0"/>
        </w:trPr>
        <w:tc>
          <w:tcPr/>
          <w:p w:rsidR="00000000" w:rsidDel="00000000" w:rsidP="00000000" w:rsidRDefault="00000000" w:rsidRPr="00000000" w14:paraId="00000071">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Employed</w:t>
            </w:r>
          </w:p>
        </w:tc>
        <w:tc>
          <w:tcPr/>
          <w:p w:rsidR="00000000" w:rsidDel="00000000" w:rsidP="00000000" w:rsidRDefault="00000000" w:rsidRPr="00000000" w14:paraId="0000007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0.0088</w:t>
            </w:r>
          </w:p>
        </w:tc>
        <w:tc>
          <w:tcPr/>
          <w:p w:rsidR="00000000" w:rsidDel="00000000" w:rsidP="00000000" w:rsidRDefault="00000000" w:rsidRPr="00000000" w14:paraId="0000007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0.058</w:t>
            </w:r>
          </w:p>
        </w:tc>
        <w:tc>
          <w:tcPr/>
          <w:p w:rsidR="00000000" w:rsidDel="00000000" w:rsidP="00000000" w:rsidRDefault="00000000" w:rsidRPr="00000000" w14:paraId="0000007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w:t>
            </w:r>
          </w:p>
        </w:tc>
      </w:tr>
      <w:tr>
        <w:trPr>
          <w:cantSplit w:val="0"/>
          <w:trHeight w:val="317" w:hRule="atLeast"/>
          <w:tblHeader w:val="0"/>
        </w:trPr>
        <w:tc>
          <w:tcPr/>
          <w:p w:rsidR="00000000" w:rsidDel="00000000" w:rsidP="00000000" w:rsidRDefault="00000000" w:rsidRPr="00000000" w14:paraId="00000075">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Month: August</w:t>
            </w:r>
          </w:p>
        </w:tc>
        <w:tc>
          <w:tcPr/>
          <w:p w:rsidR="00000000" w:rsidDel="00000000" w:rsidP="00000000" w:rsidRDefault="00000000" w:rsidRPr="00000000" w14:paraId="0000007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0.767</w:t>
            </w:r>
          </w:p>
        </w:tc>
        <w:tc>
          <w:tcPr/>
          <w:p w:rsidR="00000000" w:rsidDel="00000000" w:rsidP="00000000" w:rsidRDefault="00000000" w:rsidRPr="00000000" w14:paraId="0000007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0.001</w:t>
            </w:r>
          </w:p>
        </w:tc>
        <w:tc>
          <w:tcPr/>
          <w:p w:rsidR="00000000" w:rsidDel="00000000" w:rsidP="00000000" w:rsidRDefault="00000000" w:rsidRPr="00000000" w14:paraId="0000007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w:t>
            </w:r>
          </w:p>
        </w:tc>
      </w:tr>
      <w:tr>
        <w:trPr>
          <w:cantSplit w:val="0"/>
          <w:trHeight w:val="287" w:hRule="atLeast"/>
          <w:tblHeader w:val="0"/>
        </w:trPr>
        <w:tc>
          <w:tcPr/>
          <w:p w:rsidR="00000000" w:rsidDel="00000000" w:rsidP="00000000" w:rsidRDefault="00000000" w:rsidRPr="00000000" w14:paraId="00000079">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Contact: Telephone</w:t>
            </w:r>
          </w:p>
        </w:tc>
        <w:tc>
          <w:tcPr/>
          <w:p w:rsidR="00000000" w:rsidDel="00000000" w:rsidP="00000000" w:rsidRDefault="00000000" w:rsidRPr="00000000" w14:paraId="0000007A">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-0.699</w:t>
            </w:r>
          </w:p>
        </w:tc>
        <w:tc>
          <w:tcPr/>
          <w:p w:rsidR="00000000" w:rsidDel="00000000" w:rsidP="00000000" w:rsidRDefault="00000000" w:rsidRPr="00000000" w14:paraId="0000007B">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0.001</w:t>
            </w:r>
          </w:p>
        </w:tc>
        <w:tc>
          <w:tcPr/>
          <w:p w:rsidR="00000000" w:rsidDel="00000000" w:rsidP="00000000" w:rsidRDefault="00000000" w:rsidRPr="00000000" w14:paraId="0000007C">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rHeight w:val="287" w:hRule="atLeast"/>
          <w:tblHeader w:val="0"/>
        </w:trPr>
        <w:tc>
          <w:tcPr/>
          <w:p w:rsidR="00000000" w:rsidDel="00000000" w:rsidP="00000000" w:rsidRDefault="00000000" w:rsidRPr="00000000" w14:paraId="0000007D">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Month: June</w:t>
            </w:r>
          </w:p>
        </w:tc>
        <w:tc>
          <w:tcPr/>
          <w:p w:rsidR="00000000" w:rsidDel="00000000" w:rsidP="00000000" w:rsidRDefault="00000000" w:rsidRPr="00000000" w14:paraId="0000007E">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-0.739</w:t>
            </w:r>
          </w:p>
        </w:tc>
        <w:tc>
          <w:tcPr/>
          <w:p w:rsidR="00000000" w:rsidDel="00000000" w:rsidP="00000000" w:rsidRDefault="00000000" w:rsidRPr="00000000" w14:paraId="0000007F">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0.001</w:t>
            </w:r>
          </w:p>
        </w:tc>
        <w:tc>
          <w:tcPr/>
          <w:p w:rsidR="00000000" w:rsidDel="00000000" w:rsidP="00000000" w:rsidRDefault="00000000" w:rsidRPr="00000000" w14:paraId="00000080">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r>
        <w:trPr>
          <w:cantSplit w:val="0"/>
          <w:trHeight w:val="287" w:hRule="atLeast"/>
          <w:tblHeader w:val="0"/>
        </w:trPr>
        <w:tc>
          <w:tcPr/>
          <w:p w:rsidR="00000000" w:rsidDel="00000000" w:rsidP="00000000" w:rsidRDefault="00000000" w:rsidRPr="00000000" w14:paraId="00000081">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Consumer Confidence Index</w:t>
            </w:r>
          </w:p>
        </w:tc>
        <w:tc>
          <w:tcPr/>
          <w:p w:rsidR="00000000" w:rsidDel="00000000" w:rsidP="00000000" w:rsidRDefault="00000000" w:rsidRPr="00000000" w14:paraId="00000082">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0.0462</w:t>
            </w:r>
          </w:p>
        </w:tc>
        <w:tc>
          <w:tcPr/>
          <w:p w:rsidR="00000000" w:rsidDel="00000000" w:rsidP="00000000" w:rsidRDefault="00000000" w:rsidRPr="00000000" w14:paraId="00000083">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p w:rsidR="00000000" w:rsidDel="00000000" w:rsidP="00000000" w:rsidRDefault="00000000" w:rsidRPr="00000000" w14:paraId="00000084">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w:t>
            </w:r>
          </w:p>
        </w:tc>
      </w:tr>
      <w:tr>
        <w:trPr>
          <w:cantSplit w:val="0"/>
          <w:trHeight w:val="446" w:hRule="atLeast"/>
          <w:tblHeader w:val="0"/>
        </w:trPr>
        <w:tc>
          <w:tcPr/>
          <w:p w:rsidR="00000000" w:rsidDel="00000000" w:rsidP="00000000" w:rsidRDefault="00000000" w:rsidRPr="00000000" w14:paraId="00000085">
            <w:pPr>
              <w:spacing w:after="160" w:line="278.00000000000006" w:lineRule="auto"/>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Number of Contacts</w:t>
            </w:r>
          </w:p>
        </w:tc>
        <w:tc>
          <w:tcPr/>
          <w:p w:rsidR="00000000" w:rsidDel="00000000" w:rsidP="00000000" w:rsidRDefault="00000000" w:rsidRPr="00000000" w14:paraId="00000086">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-0.0419</w:t>
            </w:r>
          </w:p>
        </w:tc>
        <w:tc>
          <w:tcPr/>
          <w:p w:rsidR="00000000" w:rsidDel="00000000" w:rsidP="00000000" w:rsidRDefault="00000000" w:rsidRPr="00000000" w14:paraId="00000087">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w:t>
            </w:r>
          </w:p>
        </w:tc>
        <w:tc>
          <w:tcPr/>
          <w:p w:rsidR="00000000" w:rsidDel="00000000" w:rsidP="00000000" w:rsidRDefault="00000000" w:rsidRPr="00000000" w14:paraId="00000088">
            <w:pPr>
              <w:spacing w:after="160"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r>
    </w:tbl>
    <w:p w:rsidR="00000000" w:rsidDel="00000000" w:rsidP="00000000" w:rsidRDefault="00000000" w:rsidRPr="00000000" w14:paraId="00000089">
      <w:pPr>
        <w:ind w:left="1080" w:firstLine="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 month</w:t>
      </w:r>
      <w:r w:rsidDel="00000000" w:rsidR="00000000" w:rsidRPr="00000000">
        <w:rPr>
          <w:rFonts w:ascii="Times New Roman" w:cs="Times New Roman" w:eastAsia="Times New Roman" w:hAnsi="Times New Roman"/>
          <w:rtl w:val="0"/>
        </w:rPr>
        <w:t xml:space="preserve"> was shown to be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strongest predictor, with March campaigns having the highest subscriptions rates.</w:t>
      </w:r>
      <w:r w:rsidDel="00000000" w:rsidR="00000000" w:rsidRPr="00000000">
        <w:rPr>
          <w:rFonts w:ascii="Times New Roman" w:cs="Times New Roman" w:eastAsia="Times New Roman" w:hAnsi="Times New Roman"/>
          <w:rtl w:val="0"/>
        </w:rPr>
        <w:t xml:space="preserve"> Contacts made during the month 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June performed worse, which suggest that there could be seasonal patterns in customer receptiveness. Further, campaign intensity (measured in number of contacts) showed a negative relationship. Each additional contact on an individual reduced the odds</w:t>
      </w:r>
      <w:r w:rsidDel="00000000" w:rsidR="00000000" w:rsidRPr="00000000">
        <w:rPr>
          <w:rFonts w:ascii="Times New Roman" w:cs="Times New Roman" w:eastAsia="Times New Roman" w:hAnsi="Times New Roman"/>
          <w:rtl w:val="0"/>
        </w:rPr>
        <w:t xml:space="preserve"> of them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subscribing</w:t>
      </w:r>
      <w:r w:rsidDel="00000000" w:rsidR="00000000" w:rsidRPr="00000000">
        <w:rPr>
          <w:rFonts w:ascii="Times New Roman" w:cs="Times New Roman" w:eastAsia="Times New Roman" w:hAnsi="Times New Roman"/>
          <w:rtl w:val="0"/>
        </w:rPr>
        <w:t xml:space="preserve">, suggesting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that repeated contact could diminish returns.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balanced decision tree model has a primary split that occurs at nr.employed = 5,088. The decision tree provided insights such as 72% of observations fall into the </w:t>
      </w:r>
      <w:r w:rsidDel="00000000" w:rsidR="00000000" w:rsidRPr="00000000">
        <w:rPr>
          <w:rFonts w:ascii="Times New Roman" w:cs="Times New Roman" w:eastAsia="Times New Roman" w:hAnsi="Times New Roman"/>
          <w:rtl w:val="0"/>
        </w:rPr>
        <w:t xml:space="preserve">higher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employment segment with only 36% predicted to subscribe. </w:t>
      </w:r>
      <w:r w:rsidDel="00000000" w:rsidR="00000000" w:rsidRPr="00000000">
        <w:rPr>
          <w:rFonts w:ascii="Times New Roman" w:cs="Times New Roman" w:eastAsia="Times New Roman" w:hAnsi="Times New Roman"/>
          <w:rtl w:val="0"/>
        </w:rPr>
        <w:t xml:space="preserve">Lower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employment showed 28% of observations with 85% predicted to subscribe. The higher employment segment splits further on month. The decision tree showed that contacts made in August, December, July, June, May, and November were less likely to subscribe (32% subscription). The </w:t>
      </w:r>
      <w:r w:rsidDel="00000000" w:rsidR="00000000" w:rsidRPr="00000000">
        <w:rPr>
          <w:rFonts w:ascii="Times New Roman" w:cs="Times New Roman" w:eastAsia="Times New Roman" w:hAnsi="Times New Roman"/>
          <w:rtl w:val="0"/>
        </w:rPr>
        <w:t xml:space="preserve">lower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employment segment does not split further, suggesting that </w:t>
      </w:r>
      <w:r w:rsidDel="00000000" w:rsidR="00000000" w:rsidRPr="00000000">
        <w:rPr>
          <w:rFonts w:ascii="Times New Roman" w:cs="Times New Roman" w:eastAsia="Times New Roman" w:hAnsi="Times New Roman"/>
          <w:rtl w:val="0"/>
        </w:rPr>
        <w:t xml:space="preserve">lower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employment level alone is sufficient to predict higher subscription probability.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Pr>
        <w:drawing>
          <wp:inline distB="0" distT="0" distL="114300" distR="114300">
            <wp:extent cx="4291013" cy="2582092"/>
            <wp:effectExtent b="0" l="0" r="0" t="0"/>
            <wp:docPr id="128290031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91013" cy="258209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ROI simulation assessed the business value of predictive targeting. We simulated three strategies using the balanced logistic regression model. The first being mass marketing which is contacting all prospects. Second, </w:t>
      </w:r>
      <w:r w:rsidDel="00000000" w:rsidR="00000000" w:rsidRPr="00000000">
        <w:rPr>
          <w:rFonts w:ascii="Times New Roman" w:cs="Times New Roman" w:eastAsia="Times New Roman" w:hAnsi="Times New Roman"/>
          <w:rtl w:val="0"/>
        </w:rPr>
        <w:t xml:space="preserve">targeting the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top 20% ranked by subscription probability. Third, contacting only the top 10% of prospects, again ranked by predicted subscription probability. </w:t>
      </w:r>
      <w:r w:rsidDel="00000000" w:rsidR="00000000" w:rsidRPr="00000000">
        <w:rPr>
          <w:rFonts w:ascii="Times New Roman" w:cs="Times New Roman" w:eastAsia="Times New Roman" w:hAnsi="Times New Roman"/>
          <w:rtl w:val="0"/>
        </w:rPr>
        <w:t xml:space="preserve">We assume 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contact cost of $5 per call and revenue of $250 per successful subscription. </w:t>
      </w:r>
    </w:p>
    <w:tbl>
      <w:tblPr>
        <w:tblStyle w:val="Table3"/>
        <w:tblW w:w="8270.0" w:type="dxa"/>
        <w:jc w:val="left"/>
        <w:tblInd w:w="1074.0" w:type="dxa"/>
        <w:tblBorders>
          <w:top w:color="156082" w:space="0" w:sz="4" w:val="single"/>
          <w:left w:color="156082" w:space="0" w:sz="4" w:val="single"/>
          <w:bottom w:color="156082" w:space="0" w:sz="4" w:val="single"/>
          <w:right w:color="156082" w:space="0" w:sz="4" w:val="single"/>
        </w:tblBorders>
        <w:tblLayout w:type="fixed"/>
        <w:tblLook w:val="00A0"/>
      </w:tblPr>
      <w:tblGrid>
        <w:gridCol w:w="1446"/>
        <w:gridCol w:w="1395"/>
        <w:gridCol w:w="1512"/>
        <w:gridCol w:w="1265"/>
        <w:gridCol w:w="1395"/>
        <w:gridCol w:w="1257"/>
        <w:tblGridChange w:id="0">
          <w:tblGrid>
            <w:gridCol w:w="1446"/>
            <w:gridCol w:w="1395"/>
            <w:gridCol w:w="1512"/>
            <w:gridCol w:w="1265"/>
            <w:gridCol w:w="1395"/>
            <w:gridCol w:w="1257"/>
          </w:tblGrid>
        </w:tblGridChange>
      </w:tblGrid>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Strategy </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Contacts</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Conversions</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Revenue </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ROI</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Mass Marketing </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2,723</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1.351</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$13,615</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$337,750</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23.8</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20%</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545</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481</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$2,725</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$120,250</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10%</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273</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$1,365</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$63,000</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w:t>
            </w:r>
          </w:p>
        </w:tc>
      </w:tr>
    </w:tbl>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According to the ROI simulation, 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targeting strategies dramatically improved campaign efficiency. The top 10% targeting strategy achieved 90% reduction in contacts, 81% reduction in costs, 19% of total possible conversions capture, 90% higher ROI, and conversion rate of 92.3% among contacted prospects. </w:t>
      </w:r>
      <w:r w:rsidDel="00000000" w:rsidR="00000000" w:rsidRPr="00000000">
        <w:rPr>
          <w:rFonts w:ascii="Times New Roman" w:cs="Times New Roman" w:eastAsia="Times New Roman" w:hAnsi="Times New Roman"/>
          <w:rtl w:val="0"/>
        </w:rPr>
        <w:t xml:space="preserve">From these results, we may surmise that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bank </w:t>
      </w:r>
      <w:r w:rsidDel="00000000" w:rsidR="00000000" w:rsidRPr="00000000">
        <w:rPr>
          <w:rFonts w:ascii="Times New Roman" w:cs="Times New Roman" w:eastAsia="Times New Roman" w:hAnsi="Times New Roman"/>
          <w:rtl w:val="0"/>
        </w:rPr>
        <w:t xml:space="preserve">may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achieve nearly double the return on marketing expenditures while reducing customer contact burden </w:t>
      </w:r>
      <w:r w:rsidDel="00000000" w:rsidR="00000000" w:rsidRPr="00000000">
        <w:rPr>
          <w:rFonts w:ascii="Times New Roman" w:cs="Times New Roman" w:eastAsia="Times New Roman" w:hAnsi="Times New Roman"/>
          <w:rtl w:val="0"/>
        </w:rPr>
        <w:t xml:space="preserve">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also improving both financial performance and customer experience. </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8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Conclusions</w:t>
      </w:r>
      <w:r w:rsidDel="00000000" w:rsidR="00000000" w:rsidRPr="00000000">
        <w:rPr>
          <w:rtl w:val="0"/>
        </w:rPr>
      </w:r>
    </w:p>
    <w:p w:rsidR="00000000" w:rsidDel="00000000" w:rsidP="00000000" w:rsidRDefault="00000000" w:rsidRPr="00000000" w14:paraId="000000B9">
      <w:pPr>
        <w:spacing w:after="0" w:lineRule="auto"/>
        <w:ind w:left="10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analysis of this data  demonstrated that predictive modeling can improve direct marketing campaign effectiveness for term deposit products. The balanced logistic regression model emerged as the optimal approach by achieving a 0.79 AUC with strong balance between sensitivity (62.6%) and specificity (85.6%).  Also, contact timing (March) represents the strongest single predictive factor, possibly implying some seasonal variations in customer receptiveness. Some macroeconomic conditions such as consumer confidence and employment levels also influenced the subscription decision. Further, the economic analysis revealed that selective targeting based on model prediction can achieve 90% higher ROI compared to mass marketing approaches. These findings have immediate implications for campaign design and resource allocation. </w:t>
      </w:r>
    </w:p>
    <w:p w:rsidR="00000000" w:rsidDel="00000000" w:rsidP="00000000" w:rsidRDefault="00000000" w:rsidRPr="00000000" w14:paraId="000000BA">
      <w:pPr>
        <w:spacing w:after="0" w:lineRule="auto"/>
        <w:ind w:left="10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findings, we would recommend that the balanced logistic regression is deployed in production to score all prospects before campaign launches. Concentrate on marketing efforts in March when subscription rates are highest and avoid June unless targeting a niche segment. Implement a contact frequency cap of 2-3 attempts per customer per campaign period. Finally, adjust campaign intensity based on macroeconomic conditions and increase effort when customers’ confidence is rising and employment is stable. </w:t>
      </w:r>
    </w:p>
    <w:p w:rsidR="00000000" w:rsidDel="00000000" w:rsidP="00000000" w:rsidRDefault="00000000" w:rsidRPr="00000000" w14:paraId="000000BB">
      <w:pPr>
        <w:spacing w:after="0" w:lineRule="auto"/>
        <w:ind w:left="108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alternative methods that could be used are neural networks. Deep learning models with appropriate regularization could identify nonlinear patterns that are difficult to capture by traditional methods. However, the limited sample size may constrain the effectiveness.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Appendix</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sz w:val="24"/>
          <w:szCs w:val="24"/>
          <w:u w:val="none"/>
          <w:shd w:fill="auto" w:val="clear"/>
          <w:vertAlign w:val="baseline"/>
        </w:rPr>
      </w:pPr>
      <w:hyperlink r:id="rId9">
        <w:r w:rsidDel="00000000" w:rsidR="00000000" w:rsidRPr="00000000">
          <w:rPr>
            <w:rFonts w:ascii="Aptos" w:cs="Aptos" w:eastAsia="Aptos" w:hAnsi="Aptos"/>
            <w:b w:val="0"/>
            <w:bCs w:val="0"/>
            <w:i w:val="0"/>
            <w:iCs w:val="0"/>
            <w:smallCaps w:val="0"/>
            <w:strike w:val="0"/>
            <w:color w:val="467886"/>
            <w:sz w:val="24"/>
            <w:szCs w:val="24"/>
            <w:u w:val="single"/>
            <w:shd w:fill="auto" w:val="clear"/>
            <w:vertAlign w:val="baseline"/>
            <w:rtl w:val="0"/>
          </w:rPr>
          <w:t xml:space="preserve">https://www.sciencedirect.com/science/article/abs/pii/S016792361400061X</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Times New Roman" w:cs="Times New Roman" w:eastAsia="Times New Roman" w:hAnsi="Times New Roman"/>
          <w:u w:val="none"/>
        </w:rPr>
      </w:pPr>
      <w:hyperlink r:id="rId10">
        <w:r w:rsidDel="00000000" w:rsidR="00000000" w:rsidRPr="00000000">
          <w:rPr>
            <w:color w:val="1155cc"/>
            <w:u w:val="single"/>
            <w:rtl w:val="0"/>
          </w:rPr>
          <w:t xml:space="preserve">https://link.springer.com/article/10.1023/A:1010933404324</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u w:val="none"/>
        </w:rPr>
      </w:pPr>
      <w:hyperlink r:id="rId11">
        <w:r w:rsidDel="00000000" w:rsidR="00000000" w:rsidRPr="00000000">
          <w:rPr>
            <w:color w:val="1155cc"/>
            <w:u w:val="single"/>
            <w:rtl w:val="0"/>
          </w:rPr>
          <w:t xml:space="preserve">https://www.researchgate.net/publication/228617330_Defection_Detection_Measuring_and_Understanding_the_Predictive_Accuracy_of_Customer_Churn_Models</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Logistic regression model training/results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test_bal5$prob_lr &lt;- predict(lr_model_bal5, newdata = test_bal5, type = "response")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test_bal5$pred_lr &lt;- ifelse(test_bal5$prob_lr &gt; 0.5, "yes","no") %&gt;% factor(levels=c("no","yes"))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test_imb5$prob_lr &lt;- predict(lr_model_imb5, newdata = test_imb5, type = 'response')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test_imb5$pred_lr &lt;- ifelse(test_imb5$prob_lr &gt; 0.5, 'yes', 'no') %&gt;% factor(levels = c('no', 'yes'))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 ROC curve, AUC calculation, confusion matrix</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roc_lr_bal &lt;- roc(test_bal5$y, test_bal5$prob_lr)</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auc_lr_bal &lt;- roc_lr_bal$auc</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print(confusionMatrix(test_bal5$pred_lr, test_bal5$y, positive = "yes"))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Confusion Matrix and Statistics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Reference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Prediction   no  yes</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1175  505</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yes  197  846</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Accuracy : 0.7422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95% CI : (0.7253, 0.7585)</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Information Rate : 0.5039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P-Value [Acc &gt; NIR] : &lt; 2.2e-16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Kappa : 0.4835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Mcnemar's Test P-Value : &lt; 2.2e-16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Sensitivity : 0.6262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Specificity : 0.8564          </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 Pred Value : 0.8111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Neg Pred Value : 0.6994          </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Prevalence : 0.4961          </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Rate : 0.3107          </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Prevalence : 0.3830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Balanced Accuracy : 0.7413          </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'Positive' Class : yes             </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roc_lr_imb &lt;- roc(test_imb5$y, test_imb5$prob_lr)</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auc_lr_imb &lt;- roc_lr_imb$auc</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print(confusionMatrix(test_imb5$pred_lr, test_imb5$y, positive = 'yes'))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Confusion Matrix and Statistics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Reference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Prediction    no   yes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10497  1123</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yes   188   240</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Accuracy : 0.8912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95% CI : (0.8855, 0.8967)</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Information Rate : 0.8869          </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P-Value [Acc &gt; NIR] : 0.06867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Kappa : 0.2262          </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Mcnemar's Test P-Value : &lt; 2e-16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Sensitivity : 0.17608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Specificity : 0.98241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 Pred Value : 0.56075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Neg Pred Value : 0.90336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Prevalence : 0.11313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Rate : 0.01992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Prevalence : 0.03552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Balanced Accuracy : 0.57924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07">
      <w:pPr>
        <w:spacing w:after="0" w:line="30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'Positive' Class : yes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 Tree Training/results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tab/>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tree_ml &lt;- formula_lr</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tree_model_bal &lt;- rpart(tree_ml, data = train_bal5, method = 'class')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tree_model_imb &lt;- rpart(tree_ml, data = train_imb5, method = 'class')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rpart.plot(tree_model_bal, main = 'Decision Tree (Balanced Data)')</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rpart.plot(tree_model_imb, main = 'Decision Tree (Imbalanced Data)')</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test_bal5$prob_tree &lt;- predict(tree_model_bal, newdata = test_bal5)[,"yes"]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test_bal5$pred_tree &lt;- ifelse(test_bal5$prob_tree &gt; 0.5,"yes","no") %&gt;% factor(levels=c("no","yes"))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test_imb5$prob_tree &lt;- predict(tree_model_imb, newdata = test_imb5)[,'yes']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test_imb5$pred_tree &lt;- ifelse(test_imb5$prob_tree &gt; 0.5,'yes','no') %&gt;% factor(levels = c('no', 'yes'))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roc_tree_bal &lt;- roc(test_bal5$y, test_bal5$prob_lr)</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auc_tree_bal &lt;- roc_tree_bal$auc</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print(confusionMatrix(test_bal5$pred_tree, test_bal5$y, positive = 'yes'))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Confusion Matrix and Statistics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Reference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Prediction   no  yes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1204  529</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yes  168  822</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Accuracy : 0.744           </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95% CI : (0.7272, 0.7603)</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Information Rate : 0.5039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P-Value [Acc &gt; NIR] : &lt; 2.2e-16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Kappa : 0.487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Mcnemar's Test P-Value : &lt; 2.2e-16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Sensitivity : 0.6084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Specificity : 0.8776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 Pred Value : 0.8303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Neg Pred Value : 0.6947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Prevalence : 0.4961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Rate : 0.3019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Prevalence : 0.3636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Balanced Accuracy : 0.7430          </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'Positive' Class : yes             </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roc_tree_imb &lt;- roc(test_imb5$y, test_imb5$prob_lr)</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auc_tree_imb &lt;- roc_tree_imb$auc</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print(confusionMatrix(test_imb5$pred_tree, test_imb5$y, positive = 'yes'))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Confusion Matrix and Statistics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Reference</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Prediction    no   yes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10470  1095</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yes   215   268</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Accuracy : 0.8913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95% CI : (0.8856, 0.8968)</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Information Rate : 0.8869          </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P-Value [Acc &gt; NIR] : 0.0649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Kappa : 0.2457          </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Mcnemar's Test P-Value : &lt;2e-16          </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Sensitivity : 0.19663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Specificity : 0.97988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 Pred Value : 0.55487         </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Neg Pred Value : 0.90532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Prevalence : 0.11313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Rate : 0.02224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Prevalence : 0.04009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Balanced Accuracy : 0.58825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left"/>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53">
      <w:pPr>
        <w:spacing w:after="0" w:line="30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'Positive' Class : yes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91138" cy="4078585"/>
            <wp:effectExtent b="0" l="0" r="0" t="0"/>
            <wp:docPr id="12829003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91138" cy="407858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10665" cy="3862388"/>
            <wp:effectExtent b="0" l="0" r="0" t="0"/>
            <wp:docPr id="128290031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010665" cy="38623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Random Forest training/results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 because randomForest() requires the lengths of x and y to be identical, we need to drop rows with any na values. using the following x and y variable assignments solves that problem</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mf_bal &lt;- model.frame(formula_lr3, data = train_bal5, na.action = na.omit)</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x_bal &lt;- model.matrix(formula_lr3, data = mf_bal)[, -1]</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y &lt;- mf_bal$y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rf_model_bal &lt;- randomForest(x = x_bal,</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y = y,</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ntree = 150,</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mtry = floor(sqrt(length(all.vars(formula_lr3)))),</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nodesize = 50,</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importance = TRUE)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varImpPlot(rf_model_bal, main = 'Random Forest Importance (balanced)')</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mf_imb &lt;- model.frame(formula_lr3, data = train_imb5, na.action = na.omit)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x_imb &lt;- model.matrix(formula_lr3, data = mf_imb)[, -1]</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y &lt;- mf_imb$y</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rf_model_imb &lt;- randomForest(x = x_imb,</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y = y,</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ntree = 150,</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nodesize = 50,</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importance = TRUE)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varImpPlot(rf_model_imb, main = 'Random Forest Importance (imbalanced)')</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 creating test prob and test predict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mf_test_bal &lt;- model.frame(formula_lr3, data = test_bal5, na.action = na.omit)</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test_mm_bal &lt;- model.matrix(formula_lr3, data = mf_test_bal)[,-1]</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mf_test_imb &lt;- model.frame(formula_lr3, data = test_imb5, na.action = na.omit)</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test_mm_imb &lt;- model.matrix(formula_lr3, data = mf_test_imb)[,-1]</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mf_test_bal$prob_rf &lt;- predict(rf_model_bal, newdata = test_mm_bal, type = "prob")[, "yes"]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mf_test_bal$pred_rf &lt;- ifelse(mf_test_bal$prob_rf &gt; 0.5, 'yes', 'no') %&gt;%</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factor(levels = c('yes', 'no'))</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mf_test_imb$prob_rf &lt;- predict(rf_model_imb, newdata = test_mm_imb, type = 'prob')[, 'yes']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mf_test_imb$pred_rf &lt;- ifelse(mf_test_imb$prob_rf &gt; 0.5, 'yes', 'no') %&gt;%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factor(levels = c('yes', 'no'))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 ROC and AUC metrics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roc_rf_bal &lt;- roc(mf_test_bal$y, mf_test_bal$prob_rf)</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auc_rf_bal &lt;- roc_rf_bal$auc</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roc_rf_imb &lt;- roc(mf_test_imb$y, mf_test_imb$prob_rf)</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auc_rf_imb &lt;- roc_rf_imb$auc</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print(confusionMatrix(mf_test_bal$pred_rf, mf_test_bal$y, positive = 'yes'))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Confusion Matrix and Statistics</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Reference</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Prediction   no  yes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1187  529</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yes  185  822</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Accuracy : 0.7378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95% CI : (0.7208, 0.7542)</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Information Rate : 0.5039          </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P-Value [Acc &gt; NIR] : &lt; 2.2e-16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Kappa : 0.4745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Mcnemar's Test P-Value : &lt; 2.2e-16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Sensitivity : 0.6084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Specificity : 0.8652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 Pred Value : 0.8163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Neg Pred Value : 0.6917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Prevalence : 0.4961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Rate : 0.3019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Prevalence : 0.3698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Balanced Accuracy : 0.7368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'Positive' Class : yes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print(confusionMatrix(mf_test_imb$pred_rf, mf_test_imb$y, positive = 'yes'))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Confusion Matrix and Statistics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Reference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Prediction    no   yes</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10468  1044</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yes   217   319</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Accuracy : 0.8953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95% CI : (0.8897, 0.9007)</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Information Rate : 0.8869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P-Value [Acc &gt; NIR] : 0.001598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Kappa : 0.2907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Mcnemar's Test P-Value : &lt; 2.2e-16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Sensitivity : 0.23404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Specificity : 0.97969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 Pred Value : 0.59515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Neg Pred Value : 0.90931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Prevalence : 0.11313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Rate : 0.02648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Prevalence : 0.04449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Balanced Accuracy : 0.60687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'Positive' Class : yes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print(paste("Random Forest AUC (balanced): ", auc_rf_bal))</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"Random Forest AUC (balanced):  0.785590470723554"</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print(paste("Random Forest AUC (imbalanced): ", auc_rf_imb))</w:t>
      </w:r>
    </w:p>
    <w:p w:rsidR="00000000" w:rsidDel="00000000" w:rsidP="00000000" w:rsidRDefault="00000000" w:rsidRPr="00000000" w14:paraId="000001C1">
      <w:pPr>
        <w:spacing w:after="0" w:line="30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[1] "Random Forest AUC (imbalanced):  0.758585911297679"</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LDA Model Training/results</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 variables 'housing' and 'loan' are excluded in the model due to lda's inability to train on variables with zero variance within one or more classes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lda.model_bal &lt;- lda(y ~ . -housing - loan, data = train_bal5)</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lda.model_imb &lt;- lda(y ~ . - housing - loan, data = train_imb5)</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 predictions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lda_bal_preds &lt;- predict(lda.model_bal, test_bal5)</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lda_imb_preds &lt;- predict(lda.model_imb, test_imb5)</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 confusion matrices</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caret::confusionMatrix(as.factor(lda_bal_preds$class), as.factor(test_bal5$y))</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Confusion Matrix and Statistics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Reference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Prediction   no  yes</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1174  509</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yes  198  842</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Accuracy : 0.7404          </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95% CI : (0.7235, 0.7567)</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Information Rate : 0.5039          </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P-Value [Acc &gt; NIR] : &lt; 2.2e-16       </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Kappa : 0.4798          </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Mcnemar's Test P-Value : &lt; 2.2e-16       </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Sensitivity : 0.8557          </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Specificity : 0.6232          </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 Pred Value : 0.6976          </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Neg Pred Value : 0.8096          </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Prevalence : 0.5039          </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Rate : 0.4311          </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Prevalence : 0.6181          </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Balanced Accuracy : 0.7395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'Positive' Class : no              </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caret::confusionMatrix(as.factor(lda_imb_preds$class), as.factor(test_imb5$y))</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Confusion Matrix and Statistics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Reference</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Prediction   no  yes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9996  766</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yes  689  597</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Accuracy : 0.8792         </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95% CI : (0.8733, 0.885)</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No Information Rate : 0.8869         </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P-Value [Acc &gt; NIR] : 0.99584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Kappa : 0.383          </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Mcnemar's Test P-Value : 0.04632        </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Sensitivity : 0.9355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Specificity : 0.4380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 Pred Value : 0.9288         </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Neg Pred Value : 0.4642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Prevalence : 0.8869         </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Rate : 0.8297         </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Detection Prevalence : 0.8933         </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Balanced Accuracy : 0.6868         </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p>
    <w:p w:rsidR="00000000" w:rsidDel="00000000" w:rsidP="00000000" w:rsidRDefault="00000000" w:rsidRPr="00000000" w14:paraId="00000205">
      <w:pPr>
        <w:spacing w:after="0" w:line="30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'Positive' Class : no</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ROI Simulation</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 ROI Simulation</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cost_per_contact &lt;- 5</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revenue_per_conversion &lt;- 250</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simulate_roi &lt;- function(df_probs, prob_col = "prob"){</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n_total &lt;- nrow(df_probs)</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 Mass marketing</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mass_contacts &lt;- n_total</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mass_conversions &lt;- sum(as.numeric(as.character(df_probs$y_num)))</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mass_cost &lt;- mass_contacts * cost_per_contact</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mass_revenue &lt;- mass_conversions * revenue_per_conversion</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mass_roi &lt;- (mass_revenue - mass_cost) / mass_cost</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 Top 20%</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top20_n &lt;- ceiling(0.20 * n_total)</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top20 &lt;- df_probs %&gt;% arrange(desc(.data[[prob_col]])) %&gt;% slice(1:top20_n)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top20_conversions &lt;- sum(as.numeric(as.character(top20$y_num)))</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top20_cost &lt;- top20_n * cost_per_contact</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top20_revenue &lt;- top20_conversions * revenue_per_conversion</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top20_roi &lt;- (top20_revenue - top20_cost) / top20_cost</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 Top 10%</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top10_n &lt;- ceiling(0.10 * n_total)</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top10 &lt;- df_probs %&gt;% arrange(desc(.data[[prob_col]])) %&gt;% slice(1:top10_n)</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top10_conversions &lt;- sum(as.numeric(as.character(top10$y_num)))</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top10_cost &lt;- top10_n * cost_per_contact</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top10_revenue &lt;- top10_conversions * revenue_per_conversion</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top10_roi &lt;- (top10_revenue - top10_cost) / top10_cost</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tibble(</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scenario = c("Mass (all)", "Target top 20%", "Target top 10%"),</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contacts = c(mass_contacts, top20_n, top10_n),</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conversions = c(mass_conversions, top20_conversions, top10_conversions),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cost = c(mass_cost, top20_cost, top10_cost),</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revenue = c(mass_revenue, top20_revenue, top10_revenue),</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ROI = c(as.numeric(mass_roi), as.numeric(top20_roi), as.numeric(top10_roi))</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w:t>
      </w:r>
    </w:p>
    <w:p w:rsidR="00000000" w:rsidDel="00000000" w:rsidP="00000000" w:rsidRDefault="00000000" w:rsidRPr="00000000" w14:paraId="00000230">
      <w:pPr>
        <w:spacing w:after="0" w:line="300" w:lineRule="auto"/>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roi_lr &lt;- simulate_roi(test_imb6 %&gt;% rename(prob = prob_lr))</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roi_lr_bal &lt;- simulate_roi(test_bal6 %&gt;% rename(prob = prob_lr))</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roi_lda &lt;- simulate_roi(test_imb6 %&gt;% rename(prob = probs_lda))</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roi_lda_bal &lt;- simulate_roi(test_bal6 %&gt;% rename(prob = probs_lda))</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roi_tree &lt;- simulate_roi(test_imb6 %&gt;% rename(prob = prob_tree))</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roi_tree_bal &lt;- simulate_roi(test_bal6 %&gt;% rename(prob = prob_tree))</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roi_rf &lt;- simulate_roi(mf_test_imb_2 %&gt;% rename(prob = prob_rf))</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roi_rf_bal &lt;- simulate_roi(mf_test_bal_2 %&gt;% rename(prob = prob_rf))</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&gt; print(list(Logistic = roi_lr, Balanced_Logistic = roi_lr_bal,</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LDA = roi_lda, Balanced_LDA = roi_lda_bal,</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Tree = roi_tree, Balanced_Tree = roi_tree_bal,</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color w:val="800080"/>
          <w:sz w:val="20"/>
          <w:szCs w:val="20"/>
          <w:highlight w:val="white"/>
        </w:rPr>
      </w:pPr>
      <w:r w:rsidDel="00000000" w:rsidR="00000000" w:rsidRPr="00000000">
        <w:rPr>
          <w:rFonts w:ascii="Courier New" w:cs="Courier New" w:eastAsia="Courier New" w:hAnsi="Courier New"/>
          <w:color w:val="800080"/>
          <w:sz w:val="20"/>
          <w:szCs w:val="20"/>
          <w:highlight w:val="white"/>
          <w:rtl w:val="0"/>
        </w:rPr>
        <w:t xml:space="preserve">+           RF = roi_rf, Balanced_RF = roi_rf_bal))</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$Logistic</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949494"/>
          <w:sz w:val="20"/>
          <w:szCs w:val="20"/>
          <w:highlight w:val="white"/>
          <w:rtl w:val="0"/>
        </w:rPr>
        <w:t xml:space="preserve"># A tibble: 3 × 6</w:t>
      </w: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scenario       contacts conversions  cost revenue   ROI</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&lt;chr&gt;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tl w:val="0"/>
        </w:rPr>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 Mass (all)        </w:t>
      </w:r>
      <w:r w:rsidDel="00000000" w:rsidR="00000000" w:rsidRPr="00000000">
        <w:rPr>
          <w:rFonts w:ascii="Courier New" w:cs="Courier New" w:eastAsia="Courier New" w:hAnsi="Courier New"/>
          <w:sz w:val="20"/>
          <w:szCs w:val="20"/>
          <w:highlight w:val="white"/>
          <w:u w:val="single"/>
          <w:rtl w:val="0"/>
        </w:rPr>
        <w:t xml:space="preserve">12</w:t>
      </w:r>
      <w:r w:rsidDel="00000000" w:rsidR="00000000" w:rsidRPr="00000000">
        <w:rPr>
          <w:rFonts w:ascii="Courier New" w:cs="Courier New" w:eastAsia="Courier New" w:hAnsi="Courier New"/>
          <w:sz w:val="20"/>
          <w:szCs w:val="20"/>
          <w:highlight w:val="white"/>
          <w:rtl w:val="0"/>
        </w:rPr>
        <w:t xml:space="preserve">048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363 </w:t>
      </w:r>
      <w:r w:rsidDel="00000000" w:rsidR="00000000" w:rsidRPr="00000000">
        <w:rPr>
          <w:rFonts w:ascii="Courier New" w:cs="Courier New" w:eastAsia="Courier New" w:hAnsi="Courier New"/>
          <w:sz w:val="20"/>
          <w:szCs w:val="20"/>
          <w:highlight w:val="white"/>
          <w:u w:val="single"/>
          <w:rtl w:val="0"/>
        </w:rPr>
        <w:t xml:space="preserve">60</w:t>
      </w:r>
      <w:r w:rsidDel="00000000" w:rsidR="00000000" w:rsidRPr="00000000">
        <w:rPr>
          <w:rFonts w:ascii="Courier New" w:cs="Courier New" w:eastAsia="Courier New" w:hAnsi="Courier New"/>
          <w:sz w:val="20"/>
          <w:szCs w:val="20"/>
          <w:highlight w:val="white"/>
          <w:rtl w:val="0"/>
        </w:rPr>
        <w:t xml:space="preserve">240  </w:t>
      </w:r>
      <w:r w:rsidDel="00000000" w:rsidR="00000000" w:rsidRPr="00000000">
        <w:rPr>
          <w:rFonts w:ascii="Courier New" w:cs="Courier New" w:eastAsia="Courier New" w:hAnsi="Courier New"/>
          <w:sz w:val="20"/>
          <w:szCs w:val="20"/>
          <w:highlight w:val="white"/>
          <w:u w:val="single"/>
          <w:rtl w:val="0"/>
        </w:rPr>
        <w:t xml:space="preserve">340</w:t>
      </w:r>
      <w:r w:rsidDel="00000000" w:rsidR="00000000" w:rsidRPr="00000000">
        <w:rPr>
          <w:rFonts w:ascii="Courier New" w:cs="Courier New" w:eastAsia="Courier New" w:hAnsi="Courier New"/>
          <w:sz w:val="20"/>
          <w:szCs w:val="20"/>
          <w:highlight w:val="white"/>
          <w:rtl w:val="0"/>
        </w:rPr>
        <w:t xml:space="preserve">750  4.66</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 Target top 20%     </w:t>
      </w:r>
      <w:r w:rsidDel="00000000" w:rsidR="00000000" w:rsidRPr="00000000">
        <w:rPr>
          <w:rFonts w:ascii="Courier New" w:cs="Courier New" w:eastAsia="Courier New" w:hAnsi="Courier New"/>
          <w:sz w:val="20"/>
          <w:szCs w:val="20"/>
          <w:highlight w:val="white"/>
          <w:u w:val="single"/>
          <w:rtl w:val="0"/>
        </w:rPr>
        <w:t xml:space="preserve">2</w:t>
      </w:r>
      <w:r w:rsidDel="00000000" w:rsidR="00000000" w:rsidRPr="00000000">
        <w:rPr>
          <w:rFonts w:ascii="Courier New" w:cs="Courier New" w:eastAsia="Courier New" w:hAnsi="Courier New"/>
          <w:sz w:val="20"/>
          <w:szCs w:val="20"/>
          <w:highlight w:val="white"/>
          <w:rtl w:val="0"/>
        </w:rPr>
        <w:t xml:space="preserve">410         834 </w:t>
      </w:r>
      <w:r w:rsidDel="00000000" w:rsidR="00000000" w:rsidRPr="00000000">
        <w:rPr>
          <w:rFonts w:ascii="Courier New" w:cs="Courier New" w:eastAsia="Courier New" w:hAnsi="Courier New"/>
          <w:sz w:val="20"/>
          <w:szCs w:val="20"/>
          <w:highlight w:val="white"/>
          <w:u w:val="single"/>
          <w:rtl w:val="0"/>
        </w:rPr>
        <w:t xml:space="preserve">12</w:t>
      </w:r>
      <w:r w:rsidDel="00000000" w:rsidR="00000000" w:rsidRPr="00000000">
        <w:rPr>
          <w:rFonts w:ascii="Courier New" w:cs="Courier New" w:eastAsia="Courier New" w:hAnsi="Courier New"/>
          <w:sz w:val="20"/>
          <w:szCs w:val="20"/>
          <w:highlight w:val="white"/>
          <w:rtl w:val="0"/>
        </w:rPr>
        <w:t xml:space="preserve">050  </w:t>
      </w:r>
      <w:r w:rsidDel="00000000" w:rsidR="00000000" w:rsidRPr="00000000">
        <w:rPr>
          <w:rFonts w:ascii="Courier New" w:cs="Courier New" w:eastAsia="Courier New" w:hAnsi="Courier New"/>
          <w:sz w:val="20"/>
          <w:szCs w:val="20"/>
          <w:highlight w:val="white"/>
          <w:u w:val="single"/>
          <w:rtl w:val="0"/>
        </w:rPr>
        <w:t xml:space="preserve">208</w:t>
      </w:r>
      <w:r w:rsidDel="00000000" w:rsidR="00000000" w:rsidRPr="00000000">
        <w:rPr>
          <w:rFonts w:ascii="Courier New" w:cs="Courier New" w:eastAsia="Courier New" w:hAnsi="Courier New"/>
          <w:sz w:val="20"/>
          <w:szCs w:val="20"/>
          <w:highlight w:val="white"/>
          <w:rtl w:val="0"/>
        </w:rPr>
        <w:t xml:space="preserve">500 16.3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 Target top 10%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205         570  </w:t>
      </w:r>
      <w:r w:rsidDel="00000000" w:rsidR="00000000" w:rsidRPr="00000000">
        <w:rPr>
          <w:rFonts w:ascii="Courier New" w:cs="Courier New" w:eastAsia="Courier New" w:hAnsi="Courier New"/>
          <w:sz w:val="20"/>
          <w:szCs w:val="20"/>
          <w:highlight w:val="white"/>
          <w:u w:val="single"/>
          <w:rtl w:val="0"/>
        </w:rPr>
        <w:t xml:space="preserve">6</w:t>
      </w:r>
      <w:r w:rsidDel="00000000" w:rsidR="00000000" w:rsidRPr="00000000">
        <w:rPr>
          <w:rFonts w:ascii="Courier New" w:cs="Courier New" w:eastAsia="Courier New" w:hAnsi="Courier New"/>
          <w:sz w:val="20"/>
          <w:szCs w:val="20"/>
          <w:highlight w:val="white"/>
          <w:rtl w:val="0"/>
        </w:rPr>
        <w:t xml:space="preserve">025  </w:t>
      </w:r>
      <w:r w:rsidDel="00000000" w:rsidR="00000000" w:rsidRPr="00000000">
        <w:rPr>
          <w:rFonts w:ascii="Courier New" w:cs="Courier New" w:eastAsia="Courier New" w:hAnsi="Courier New"/>
          <w:sz w:val="20"/>
          <w:szCs w:val="20"/>
          <w:highlight w:val="white"/>
          <w:u w:val="single"/>
          <w:rtl w:val="0"/>
        </w:rPr>
        <w:t xml:space="preserve">142</w:t>
      </w:r>
      <w:r w:rsidDel="00000000" w:rsidR="00000000" w:rsidRPr="00000000">
        <w:rPr>
          <w:rFonts w:ascii="Courier New" w:cs="Courier New" w:eastAsia="Courier New" w:hAnsi="Courier New"/>
          <w:sz w:val="20"/>
          <w:szCs w:val="20"/>
          <w:highlight w:val="white"/>
          <w:rtl w:val="0"/>
        </w:rPr>
        <w:t xml:space="preserve">500 22.7 </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$Balanced_Logistic</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949494"/>
          <w:sz w:val="20"/>
          <w:szCs w:val="20"/>
          <w:highlight w:val="white"/>
          <w:rtl w:val="0"/>
        </w:rPr>
        <w:t xml:space="preserve"># A tibble: 3 × 6</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scenario       contacts conversions  cost revenue   ROI</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&lt;chr&gt;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 Mass (all)         </w:t>
      </w:r>
      <w:r w:rsidDel="00000000" w:rsidR="00000000" w:rsidRPr="00000000">
        <w:rPr>
          <w:rFonts w:ascii="Courier New" w:cs="Courier New" w:eastAsia="Courier New" w:hAnsi="Courier New"/>
          <w:sz w:val="20"/>
          <w:szCs w:val="20"/>
          <w:highlight w:val="white"/>
          <w:u w:val="single"/>
          <w:rtl w:val="0"/>
        </w:rPr>
        <w:t xml:space="preserve">2</w:t>
      </w:r>
      <w:r w:rsidDel="00000000" w:rsidR="00000000" w:rsidRPr="00000000">
        <w:rPr>
          <w:rFonts w:ascii="Courier New" w:cs="Courier New" w:eastAsia="Courier New" w:hAnsi="Courier New"/>
          <w:sz w:val="20"/>
          <w:szCs w:val="20"/>
          <w:highlight w:val="white"/>
          <w:rtl w:val="0"/>
        </w:rPr>
        <w:t xml:space="preserve">723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351 </w:t>
      </w:r>
      <w:r w:rsidDel="00000000" w:rsidR="00000000" w:rsidRPr="00000000">
        <w:rPr>
          <w:rFonts w:ascii="Courier New" w:cs="Courier New" w:eastAsia="Courier New" w:hAnsi="Courier New"/>
          <w:sz w:val="20"/>
          <w:szCs w:val="20"/>
          <w:highlight w:val="white"/>
          <w:u w:val="single"/>
          <w:rtl w:val="0"/>
        </w:rPr>
        <w:t xml:space="preserve">13</w:t>
      </w:r>
      <w:r w:rsidDel="00000000" w:rsidR="00000000" w:rsidRPr="00000000">
        <w:rPr>
          <w:rFonts w:ascii="Courier New" w:cs="Courier New" w:eastAsia="Courier New" w:hAnsi="Courier New"/>
          <w:sz w:val="20"/>
          <w:szCs w:val="20"/>
          <w:highlight w:val="white"/>
          <w:rtl w:val="0"/>
        </w:rPr>
        <w:t xml:space="preserve">615  </w:t>
      </w:r>
      <w:r w:rsidDel="00000000" w:rsidR="00000000" w:rsidRPr="00000000">
        <w:rPr>
          <w:rFonts w:ascii="Courier New" w:cs="Courier New" w:eastAsia="Courier New" w:hAnsi="Courier New"/>
          <w:sz w:val="20"/>
          <w:szCs w:val="20"/>
          <w:highlight w:val="white"/>
          <w:u w:val="single"/>
          <w:rtl w:val="0"/>
        </w:rPr>
        <w:t xml:space="preserve">337</w:t>
      </w:r>
      <w:r w:rsidDel="00000000" w:rsidR="00000000" w:rsidRPr="00000000">
        <w:rPr>
          <w:rFonts w:ascii="Courier New" w:cs="Courier New" w:eastAsia="Courier New" w:hAnsi="Courier New"/>
          <w:sz w:val="20"/>
          <w:szCs w:val="20"/>
          <w:highlight w:val="white"/>
          <w:rtl w:val="0"/>
        </w:rPr>
        <w:t xml:space="preserve">750  23.8</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 Target top 20%      545         481  </w:t>
      </w:r>
      <w:r w:rsidDel="00000000" w:rsidR="00000000" w:rsidRPr="00000000">
        <w:rPr>
          <w:rFonts w:ascii="Courier New" w:cs="Courier New" w:eastAsia="Courier New" w:hAnsi="Courier New"/>
          <w:sz w:val="20"/>
          <w:szCs w:val="20"/>
          <w:highlight w:val="white"/>
          <w:u w:val="single"/>
          <w:rtl w:val="0"/>
        </w:rPr>
        <w:t xml:space="preserve">2</w:t>
      </w:r>
      <w:r w:rsidDel="00000000" w:rsidR="00000000" w:rsidRPr="00000000">
        <w:rPr>
          <w:rFonts w:ascii="Courier New" w:cs="Courier New" w:eastAsia="Courier New" w:hAnsi="Courier New"/>
          <w:sz w:val="20"/>
          <w:szCs w:val="20"/>
          <w:highlight w:val="white"/>
          <w:rtl w:val="0"/>
        </w:rPr>
        <w:t xml:space="preserve">725  </w:t>
      </w:r>
      <w:r w:rsidDel="00000000" w:rsidR="00000000" w:rsidRPr="00000000">
        <w:rPr>
          <w:rFonts w:ascii="Courier New" w:cs="Courier New" w:eastAsia="Courier New" w:hAnsi="Courier New"/>
          <w:sz w:val="20"/>
          <w:szCs w:val="20"/>
          <w:highlight w:val="white"/>
          <w:u w:val="single"/>
          <w:rtl w:val="0"/>
        </w:rPr>
        <w:t xml:space="preserve">120</w:t>
      </w:r>
      <w:r w:rsidDel="00000000" w:rsidR="00000000" w:rsidRPr="00000000">
        <w:rPr>
          <w:rFonts w:ascii="Courier New" w:cs="Courier New" w:eastAsia="Courier New" w:hAnsi="Courier New"/>
          <w:sz w:val="20"/>
          <w:szCs w:val="20"/>
          <w:highlight w:val="white"/>
          <w:rtl w:val="0"/>
        </w:rPr>
        <w:t xml:space="preserve">250  43.1</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 Target top 10%      273         252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365   </w:t>
      </w:r>
      <w:r w:rsidDel="00000000" w:rsidR="00000000" w:rsidRPr="00000000">
        <w:rPr>
          <w:rFonts w:ascii="Courier New" w:cs="Courier New" w:eastAsia="Courier New" w:hAnsi="Courier New"/>
          <w:sz w:val="20"/>
          <w:szCs w:val="20"/>
          <w:highlight w:val="white"/>
          <w:u w:val="single"/>
          <w:rtl w:val="0"/>
        </w:rPr>
        <w:t xml:space="preserve">63</w:t>
      </w:r>
      <w:r w:rsidDel="00000000" w:rsidR="00000000" w:rsidRPr="00000000">
        <w:rPr>
          <w:rFonts w:ascii="Courier New" w:cs="Courier New" w:eastAsia="Courier New" w:hAnsi="Courier New"/>
          <w:sz w:val="20"/>
          <w:szCs w:val="20"/>
          <w:highlight w:val="white"/>
          <w:rtl w:val="0"/>
        </w:rPr>
        <w:t xml:space="preserve">000  45.2</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$LDA</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949494"/>
          <w:sz w:val="20"/>
          <w:szCs w:val="20"/>
          <w:highlight w:val="white"/>
          <w:rtl w:val="0"/>
        </w:rPr>
        <w:t xml:space="preserve"># A tibble: 3 × 6</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scenario       contacts conversions  cost revenue   ROI</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&lt;chr&gt;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 Mass (all)        </w:t>
      </w:r>
      <w:r w:rsidDel="00000000" w:rsidR="00000000" w:rsidRPr="00000000">
        <w:rPr>
          <w:rFonts w:ascii="Courier New" w:cs="Courier New" w:eastAsia="Courier New" w:hAnsi="Courier New"/>
          <w:sz w:val="20"/>
          <w:szCs w:val="20"/>
          <w:highlight w:val="white"/>
          <w:u w:val="single"/>
          <w:rtl w:val="0"/>
        </w:rPr>
        <w:t xml:space="preserve">12</w:t>
      </w:r>
      <w:r w:rsidDel="00000000" w:rsidR="00000000" w:rsidRPr="00000000">
        <w:rPr>
          <w:rFonts w:ascii="Courier New" w:cs="Courier New" w:eastAsia="Courier New" w:hAnsi="Courier New"/>
          <w:sz w:val="20"/>
          <w:szCs w:val="20"/>
          <w:highlight w:val="white"/>
          <w:rtl w:val="0"/>
        </w:rPr>
        <w:t xml:space="preserve">048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363 </w:t>
      </w:r>
      <w:r w:rsidDel="00000000" w:rsidR="00000000" w:rsidRPr="00000000">
        <w:rPr>
          <w:rFonts w:ascii="Courier New" w:cs="Courier New" w:eastAsia="Courier New" w:hAnsi="Courier New"/>
          <w:sz w:val="20"/>
          <w:szCs w:val="20"/>
          <w:highlight w:val="white"/>
          <w:u w:val="single"/>
          <w:rtl w:val="0"/>
        </w:rPr>
        <w:t xml:space="preserve">60</w:t>
      </w:r>
      <w:r w:rsidDel="00000000" w:rsidR="00000000" w:rsidRPr="00000000">
        <w:rPr>
          <w:rFonts w:ascii="Courier New" w:cs="Courier New" w:eastAsia="Courier New" w:hAnsi="Courier New"/>
          <w:sz w:val="20"/>
          <w:szCs w:val="20"/>
          <w:highlight w:val="white"/>
          <w:rtl w:val="0"/>
        </w:rPr>
        <w:t xml:space="preserve">240  </w:t>
      </w:r>
      <w:r w:rsidDel="00000000" w:rsidR="00000000" w:rsidRPr="00000000">
        <w:rPr>
          <w:rFonts w:ascii="Courier New" w:cs="Courier New" w:eastAsia="Courier New" w:hAnsi="Courier New"/>
          <w:sz w:val="20"/>
          <w:szCs w:val="20"/>
          <w:highlight w:val="white"/>
          <w:u w:val="single"/>
          <w:rtl w:val="0"/>
        </w:rPr>
        <w:t xml:space="preserve">340</w:t>
      </w:r>
      <w:r w:rsidDel="00000000" w:rsidR="00000000" w:rsidRPr="00000000">
        <w:rPr>
          <w:rFonts w:ascii="Courier New" w:cs="Courier New" w:eastAsia="Courier New" w:hAnsi="Courier New"/>
          <w:sz w:val="20"/>
          <w:szCs w:val="20"/>
          <w:highlight w:val="white"/>
          <w:rtl w:val="0"/>
        </w:rPr>
        <w:t xml:space="preserve">750  4.66</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 Target top 20%     </w:t>
      </w:r>
      <w:r w:rsidDel="00000000" w:rsidR="00000000" w:rsidRPr="00000000">
        <w:rPr>
          <w:rFonts w:ascii="Courier New" w:cs="Courier New" w:eastAsia="Courier New" w:hAnsi="Courier New"/>
          <w:sz w:val="20"/>
          <w:szCs w:val="20"/>
          <w:highlight w:val="white"/>
          <w:u w:val="single"/>
          <w:rtl w:val="0"/>
        </w:rPr>
        <w:t xml:space="preserve">2</w:t>
      </w:r>
      <w:r w:rsidDel="00000000" w:rsidR="00000000" w:rsidRPr="00000000">
        <w:rPr>
          <w:rFonts w:ascii="Courier New" w:cs="Courier New" w:eastAsia="Courier New" w:hAnsi="Courier New"/>
          <w:sz w:val="20"/>
          <w:szCs w:val="20"/>
          <w:highlight w:val="white"/>
          <w:rtl w:val="0"/>
        </w:rPr>
        <w:t xml:space="preserve">410         831 </w:t>
      </w:r>
      <w:r w:rsidDel="00000000" w:rsidR="00000000" w:rsidRPr="00000000">
        <w:rPr>
          <w:rFonts w:ascii="Courier New" w:cs="Courier New" w:eastAsia="Courier New" w:hAnsi="Courier New"/>
          <w:sz w:val="20"/>
          <w:szCs w:val="20"/>
          <w:highlight w:val="white"/>
          <w:u w:val="single"/>
          <w:rtl w:val="0"/>
        </w:rPr>
        <w:t xml:space="preserve">12</w:t>
      </w:r>
      <w:r w:rsidDel="00000000" w:rsidR="00000000" w:rsidRPr="00000000">
        <w:rPr>
          <w:rFonts w:ascii="Courier New" w:cs="Courier New" w:eastAsia="Courier New" w:hAnsi="Courier New"/>
          <w:sz w:val="20"/>
          <w:szCs w:val="20"/>
          <w:highlight w:val="white"/>
          <w:rtl w:val="0"/>
        </w:rPr>
        <w:t xml:space="preserve">050  </w:t>
      </w:r>
      <w:r w:rsidDel="00000000" w:rsidR="00000000" w:rsidRPr="00000000">
        <w:rPr>
          <w:rFonts w:ascii="Courier New" w:cs="Courier New" w:eastAsia="Courier New" w:hAnsi="Courier New"/>
          <w:sz w:val="20"/>
          <w:szCs w:val="20"/>
          <w:highlight w:val="white"/>
          <w:u w:val="single"/>
          <w:rtl w:val="0"/>
        </w:rPr>
        <w:t xml:space="preserve">207</w:t>
      </w:r>
      <w:r w:rsidDel="00000000" w:rsidR="00000000" w:rsidRPr="00000000">
        <w:rPr>
          <w:rFonts w:ascii="Courier New" w:cs="Courier New" w:eastAsia="Courier New" w:hAnsi="Courier New"/>
          <w:sz w:val="20"/>
          <w:szCs w:val="20"/>
          <w:highlight w:val="white"/>
          <w:rtl w:val="0"/>
        </w:rPr>
        <w:t xml:space="preserve">750 16.2 </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 Target top 10%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205         570  </w:t>
      </w:r>
      <w:r w:rsidDel="00000000" w:rsidR="00000000" w:rsidRPr="00000000">
        <w:rPr>
          <w:rFonts w:ascii="Courier New" w:cs="Courier New" w:eastAsia="Courier New" w:hAnsi="Courier New"/>
          <w:sz w:val="20"/>
          <w:szCs w:val="20"/>
          <w:highlight w:val="white"/>
          <w:u w:val="single"/>
          <w:rtl w:val="0"/>
        </w:rPr>
        <w:t xml:space="preserve">6</w:t>
      </w:r>
      <w:r w:rsidDel="00000000" w:rsidR="00000000" w:rsidRPr="00000000">
        <w:rPr>
          <w:rFonts w:ascii="Courier New" w:cs="Courier New" w:eastAsia="Courier New" w:hAnsi="Courier New"/>
          <w:sz w:val="20"/>
          <w:szCs w:val="20"/>
          <w:highlight w:val="white"/>
          <w:rtl w:val="0"/>
        </w:rPr>
        <w:t xml:space="preserve">025  </w:t>
      </w:r>
      <w:r w:rsidDel="00000000" w:rsidR="00000000" w:rsidRPr="00000000">
        <w:rPr>
          <w:rFonts w:ascii="Courier New" w:cs="Courier New" w:eastAsia="Courier New" w:hAnsi="Courier New"/>
          <w:sz w:val="20"/>
          <w:szCs w:val="20"/>
          <w:highlight w:val="white"/>
          <w:u w:val="single"/>
          <w:rtl w:val="0"/>
        </w:rPr>
        <w:t xml:space="preserve">142</w:t>
      </w:r>
      <w:r w:rsidDel="00000000" w:rsidR="00000000" w:rsidRPr="00000000">
        <w:rPr>
          <w:rFonts w:ascii="Courier New" w:cs="Courier New" w:eastAsia="Courier New" w:hAnsi="Courier New"/>
          <w:sz w:val="20"/>
          <w:szCs w:val="20"/>
          <w:highlight w:val="white"/>
          <w:rtl w:val="0"/>
        </w:rPr>
        <w:t xml:space="preserve">500 22.7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$Balanced_LDA</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949494"/>
          <w:sz w:val="20"/>
          <w:szCs w:val="20"/>
          <w:highlight w:val="white"/>
          <w:rtl w:val="0"/>
        </w:rPr>
        <w:t xml:space="preserve"># A tibble: 3 × 6</w:t>
      </w: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scenario       contacts conversions  cost revenue   ROI</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&lt;chr&gt;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 Mass (all)         </w:t>
      </w:r>
      <w:r w:rsidDel="00000000" w:rsidR="00000000" w:rsidRPr="00000000">
        <w:rPr>
          <w:rFonts w:ascii="Courier New" w:cs="Courier New" w:eastAsia="Courier New" w:hAnsi="Courier New"/>
          <w:sz w:val="20"/>
          <w:szCs w:val="20"/>
          <w:highlight w:val="white"/>
          <w:u w:val="single"/>
          <w:rtl w:val="0"/>
        </w:rPr>
        <w:t xml:space="preserve">2</w:t>
      </w:r>
      <w:r w:rsidDel="00000000" w:rsidR="00000000" w:rsidRPr="00000000">
        <w:rPr>
          <w:rFonts w:ascii="Courier New" w:cs="Courier New" w:eastAsia="Courier New" w:hAnsi="Courier New"/>
          <w:sz w:val="20"/>
          <w:szCs w:val="20"/>
          <w:highlight w:val="white"/>
          <w:rtl w:val="0"/>
        </w:rPr>
        <w:t xml:space="preserve">723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351 </w:t>
      </w:r>
      <w:r w:rsidDel="00000000" w:rsidR="00000000" w:rsidRPr="00000000">
        <w:rPr>
          <w:rFonts w:ascii="Courier New" w:cs="Courier New" w:eastAsia="Courier New" w:hAnsi="Courier New"/>
          <w:sz w:val="20"/>
          <w:szCs w:val="20"/>
          <w:highlight w:val="white"/>
          <w:u w:val="single"/>
          <w:rtl w:val="0"/>
        </w:rPr>
        <w:t xml:space="preserve">13</w:t>
      </w:r>
      <w:r w:rsidDel="00000000" w:rsidR="00000000" w:rsidRPr="00000000">
        <w:rPr>
          <w:rFonts w:ascii="Courier New" w:cs="Courier New" w:eastAsia="Courier New" w:hAnsi="Courier New"/>
          <w:sz w:val="20"/>
          <w:szCs w:val="20"/>
          <w:highlight w:val="white"/>
          <w:rtl w:val="0"/>
        </w:rPr>
        <w:t xml:space="preserve">615  </w:t>
      </w:r>
      <w:r w:rsidDel="00000000" w:rsidR="00000000" w:rsidRPr="00000000">
        <w:rPr>
          <w:rFonts w:ascii="Courier New" w:cs="Courier New" w:eastAsia="Courier New" w:hAnsi="Courier New"/>
          <w:sz w:val="20"/>
          <w:szCs w:val="20"/>
          <w:highlight w:val="white"/>
          <w:u w:val="single"/>
          <w:rtl w:val="0"/>
        </w:rPr>
        <w:t xml:space="preserve">337</w:t>
      </w:r>
      <w:r w:rsidDel="00000000" w:rsidR="00000000" w:rsidRPr="00000000">
        <w:rPr>
          <w:rFonts w:ascii="Courier New" w:cs="Courier New" w:eastAsia="Courier New" w:hAnsi="Courier New"/>
          <w:sz w:val="20"/>
          <w:szCs w:val="20"/>
          <w:highlight w:val="white"/>
          <w:rtl w:val="0"/>
        </w:rPr>
        <w:t xml:space="preserve">750  23.8</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 Target top 20%      545         482  </w:t>
      </w:r>
      <w:r w:rsidDel="00000000" w:rsidR="00000000" w:rsidRPr="00000000">
        <w:rPr>
          <w:rFonts w:ascii="Courier New" w:cs="Courier New" w:eastAsia="Courier New" w:hAnsi="Courier New"/>
          <w:sz w:val="20"/>
          <w:szCs w:val="20"/>
          <w:highlight w:val="white"/>
          <w:u w:val="single"/>
          <w:rtl w:val="0"/>
        </w:rPr>
        <w:t xml:space="preserve">2</w:t>
      </w:r>
      <w:r w:rsidDel="00000000" w:rsidR="00000000" w:rsidRPr="00000000">
        <w:rPr>
          <w:rFonts w:ascii="Courier New" w:cs="Courier New" w:eastAsia="Courier New" w:hAnsi="Courier New"/>
          <w:sz w:val="20"/>
          <w:szCs w:val="20"/>
          <w:highlight w:val="white"/>
          <w:rtl w:val="0"/>
        </w:rPr>
        <w:t xml:space="preserve">725  </w:t>
      </w:r>
      <w:r w:rsidDel="00000000" w:rsidR="00000000" w:rsidRPr="00000000">
        <w:rPr>
          <w:rFonts w:ascii="Courier New" w:cs="Courier New" w:eastAsia="Courier New" w:hAnsi="Courier New"/>
          <w:sz w:val="20"/>
          <w:szCs w:val="20"/>
          <w:highlight w:val="white"/>
          <w:u w:val="single"/>
          <w:rtl w:val="0"/>
        </w:rPr>
        <w:t xml:space="preserve">120</w:t>
      </w:r>
      <w:r w:rsidDel="00000000" w:rsidR="00000000" w:rsidRPr="00000000">
        <w:rPr>
          <w:rFonts w:ascii="Courier New" w:cs="Courier New" w:eastAsia="Courier New" w:hAnsi="Courier New"/>
          <w:sz w:val="20"/>
          <w:szCs w:val="20"/>
          <w:highlight w:val="white"/>
          <w:rtl w:val="0"/>
        </w:rPr>
        <w:t xml:space="preserve">500  43.2</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 Target top 10%      273         250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365   </w:t>
      </w:r>
      <w:r w:rsidDel="00000000" w:rsidR="00000000" w:rsidRPr="00000000">
        <w:rPr>
          <w:rFonts w:ascii="Courier New" w:cs="Courier New" w:eastAsia="Courier New" w:hAnsi="Courier New"/>
          <w:sz w:val="20"/>
          <w:szCs w:val="20"/>
          <w:highlight w:val="white"/>
          <w:u w:val="single"/>
          <w:rtl w:val="0"/>
        </w:rPr>
        <w:t xml:space="preserve">62</w:t>
      </w:r>
      <w:r w:rsidDel="00000000" w:rsidR="00000000" w:rsidRPr="00000000">
        <w:rPr>
          <w:rFonts w:ascii="Courier New" w:cs="Courier New" w:eastAsia="Courier New" w:hAnsi="Courier New"/>
          <w:sz w:val="20"/>
          <w:szCs w:val="20"/>
          <w:highlight w:val="white"/>
          <w:rtl w:val="0"/>
        </w:rPr>
        <w:t xml:space="preserve">500  44.8</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$Tree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949494"/>
          <w:sz w:val="20"/>
          <w:szCs w:val="20"/>
          <w:highlight w:val="white"/>
          <w:rtl w:val="0"/>
        </w:rPr>
        <w:t xml:space="preserve"># A tibble: 3 × 6</w:t>
      </w: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scenario       contacts conversions  cost revenue   ROI</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&lt;chr&gt;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 Mass (all)        </w:t>
      </w:r>
      <w:r w:rsidDel="00000000" w:rsidR="00000000" w:rsidRPr="00000000">
        <w:rPr>
          <w:rFonts w:ascii="Courier New" w:cs="Courier New" w:eastAsia="Courier New" w:hAnsi="Courier New"/>
          <w:sz w:val="20"/>
          <w:szCs w:val="20"/>
          <w:highlight w:val="white"/>
          <w:u w:val="single"/>
          <w:rtl w:val="0"/>
        </w:rPr>
        <w:t xml:space="preserve">12</w:t>
      </w:r>
      <w:r w:rsidDel="00000000" w:rsidR="00000000" w:rsidRPr="00000000">
        <w:rPr>
          <w:rFonts w:ascii="Courier New" w:cs="Courier New" w:eastAsia="Courier New" w:hAnsi="Courier New"/>
          <w:sz w:val="20"/>
          <w:szCs w:val="20"/>
          <w:highlight w:val="white"/>
          <w:rtl w:val="0"/>
        </w:rPr>
        <w:t xml:space="preserve">048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363 </w:t>
      </w:r>
      <w:r w:rsidDel="00000000" w:rsidR="00000000" w:rsidRPr="00000000">
        <w:rPr>
          <w:rFonts w:ascii="Courier New" w:cs="Courier New" w:eastAsia="Courier New" w:hAnsi="Courier New"/>
          <w:sz w:val="20"/>
          <w:szCs w:val="20"/>
          <w:highlight w:val="white"/>
          <w:u w:val="single"/>
          <w:rtl w:val="0"/>
        </w:rPr>
        <w:t xml:space="preserve">60</w:t>
      </w:r>
      <w:r w:rsidDel="00000000" w:rsidR="00000000" w:rsidRPr="00000000">
        <w:rPr>
          <w:rFonts w:ascii="Courier New" w:cs="Courier New" w:eastAsia="Courier New" w:hAnsi="Courier New"/>
          <w:sz w:val="20"/>
          <w:szCs w:val="20"/>
          <w:highlight w:val="white"/>
          <w:rtl w:val="0"/>
        </w:rPr>
        <w:t xml:space="preserve">240  </w:t>
      </w:r>
      <w:r w:rsidDel="00000000" w:rsidR="00000000" w:rsidRPr="00000000">
        <w:rPr>
          <w:rFonts w:ascii="Courier New" w:cs="Courier New" w:eastAsia="Courier New" w:hAnsi="Courier New"/>
          <w:sz w:val="20"/>
          <w:szCs w:val="20"/>
          <w:highlight w:val="white"/>
          <w:u w:val="single"/>
          <w:rtl w:val="0"/>
        </w:rPr>
        <w:t xml:space="preserve">340</w:t>
      </w:r>
      <w:r w:rsidDel="00000000" w:rsidR="00000000" w:rsidRPr="00000000">
        <w:rPr>
          <w:rFonts w:ascii="Courier New" w:cs="Courier New" w:eastAsia="Courier New" w:hAnsi="Courier New"/>
          <w:sz w:val="20"/>
          <w:szCs w:val="20"/>
          <w:highlight w:val="white"/>
          <w:rtl w:val="0"/>
        </w:rPr>
        <w:t xml:space="preserve">750  4.66</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 Target top 20%     </w:t>
      </w:r>
      <w:r w:rsidDel="00000000" w:rsidR="00000000" w:rsidRPr="00000000">
        <w:rPr>
          <w:rFonts w:ascii="Courier New" w:cs="Courier New" w:eastAsia="Courier New" w:hAnsi="Courier New"/>
          <w:sz w:val="20"/>
          <w:szCs w:val="20"/>
          <w:highlight w:val="white"/>
          <w:u w:val="single"/>
          <w:rtl w:val="0"/>
        </w:rPr>
        <w:t xml:space="preserve">2</w:t>
      </w:r>
      <w:r w:rsidDel="00000000" w:rsidR="00000000" w:rsidRPr="00000000">
        <w:rPr>
          <w:rFonts w:ascii="Courier New" w:cs="Courier New" w:eastAsia="Courier New" w:hAnsi="Courier New"/>
          <w:sz w:val="20"/>
          <w:szCs w:val="20"/>
          <w:highlight w:val="white"/>
          <w:rtl w:val="0"/>
        </w:rPr>
        <w:t xml:space="preserve">410         668 </w:t>
      </w:r>
      <w:r w:rsidDel="00000000" w:rsidR="00000000" w:rsidRPr="00000000">
        <w:rPr>
          <w:rFonts w:ascii="Courier New" w:cs="Courier New" w:eastAsia="Courier New" w:hAnsi="Courier New"/>
          <w:sz w:val="20"/>
          <w:szCs w:val="20"/>
          <w:highlight w:val="white"/>
          <w:u w:val="single"/>
          <w:rtl w:val="0"/>
        </w:rPr>
        <w:t xml:space="preserve">12</w:t>
      </w:r>
      <w:r w:rsidDel="00000000" w:rsidR="00000000" w:rsidRPr="00000000">
        <w:rPr>
          <w:rFonts w:ascii="Courier New" w:cs="Courier New" w:eastAsia="Courier New" w:hAnsi="Courier New"/>
          <w:sz w:val="20"/>
          <w:szCs w:val="20"/>
          <w:highlight w:val="white"/>
          <w:rtl w:val="0"/>
        </w:rPr>
        <w:t xml:space="preserve">050  </w:t>
      </w:r>
      <w:r w:rsidDel="00000000" w:rsidR="00000000" w:rsidRPr="00000000">
        <w:rPr>
          <w:rFonts w:ascii="Courier New" w:cs="Courier New" w:eastAsia="Courier New" w:hAnsi="Courier New"/>
          <w:sz w:val="20"/>
          <w:szCs w:val="20"/>
          <w:highlight w:val="white"/>
          <w:u w:val="single"/>
          <w:rtl w:val="0"/>
        </w:rPr>
        <w:t xml:space="preserve">167</w:t>
      </w:r>
      <w:r w:rsidDel="00000000" w:rsidR="00000000" w:rsidRPr="00000000">
        <w:rPr>
          <w:rFonts w:ascii="Courier New" w:cs="Courier New" w:eastAsia="Courier New" w:hAnsi="Courier New"/>
          <w:sz w:val="20"/>
          <w:szCs w:val="20"/>
          <w:highlight w:val="white"/>
          <w:rtl w:val="0"/>
        </w:rPr>
        <w:t xml:space="preserve">000 12.9 </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 Target top 10%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205         554  </w:t>
      </w:r>
      <w:r w:rsidDel="00000000" w:rsidR="00000000" w:rsidRPr="00000000">
        <w:rPr>
          <w:rFonts w:ascii="Courier New" w:cs="Courier New" w:eastAsia="Courier New" w:hAnsi="Courier New"/>
          <w:sz w:val="20"/>
          <w:szCs w:val="20"/>
          <w:highlight w:val="white"/>
          <w:u w:val="single"/>
          <w:rtl w:val="0"/>
        </w:rPr>
        <w:t xml:space="preserve">6</w:t>
      </w:r>
      <w:r w:rsidDel="00000000" w:rsidR="00000000" w:rsidRPr="00000000">
        <w:rPr>
          <w:rFonts w:ascii="Courier New" w:cs="Courier New" w:eastAsia="Courier New" w:hAnsi="Courier New"/>
          <w:sz w:val="20"/>
          <w:szCs w:val="20"/>
          <w:highlight w:val="white"/>
          <w:rtl w:val="0"/>
        </w:rPr>
        <w:t xml:space="preserve">025  </w:t>
      </w:r>
      <w:r w:rsidDel="00000000" w:rsidR="00000000" w:rsidRPr="00000000">
        <w:rPr>
          <w:rFonts w:ascii="Courier New" w:cs="Courier New" w:eastAsia="Courier New" w:hAnsi="Courier New"/>
          <w:sz w:val="20"/>
          <w:szCs w:val="20"/>
          <w:highlight w:val="white"/>
          <w:u w:val="single"/>
          <w:rtl w:val="0"/>
        </w:rPr>
        <w:t xml:space="preserve">138</w:t>
      </w:r>
      <w:r w:rsidDel="00000000" w:rsidR="00000000" w:rsidRPr="00000000">
        <w:rPr>
          <w:rFonts w:ascii="Courier New" w:cs="Courier New" w:eastAsia="Courier New" w:hAnsi="Courier New"/>
          <w:sz w:val="20"/>
          <w:szCs w:val="20"/>
          <w:highlight w:val="white"/>
          <w:rtl w:val="0"/>
        </w:rPr>
        <w:t xml:space="preserve">500 22.0 </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$Balanced_Tree</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949494"/>
          <w:sz w:val="20"/>
          <w:szCs w:val="20"/>
          <w:highlight w:val="white"/>
          <w:rtl w:val="0"/>
        </w:rPr>
        <w:t xml:space="preserve"># A tibble: 3 × 6</w:t>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scenario       contacts conversions  cost revenue   ROI</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&lt;chr&gt;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 Mass (all)         </w:t>
      </w:r>
      <w:r w:rsidDel="00000000" w:rsidR="00000000" w:rsidRPr="00000000">
        <w:rPr>
          <w:rFonts w:ascii="Courier New" w:cs="Courier New" w:eastAsia="Courier New" w:hAnsi="Courier New"/>
          <w:sz w:val="20"/>
          <w:szCs w:val="20"/>
          <w:highlight w:val="white"/>
          <w:u w:val="single"/>
          <w:rtl w:val="0"/>
        </w:rPr>
        <w:t xml:space="preserve">2</w:t>
      </w:r>
      <w:r w:rsidDel="00000000" w:rsidR="00000000" w:rsidRPr="00000000">
        <w:rPr>
          <w:rFonts w:ascii="Courier New" w:cs="Courier New" w:eastAsia="Courier New" w:hAnsi="Courier New"/>
          <w:sz w:val="20"/>
          <w:szCs w:val="20"/>
          <w:highlight w:val="white"/>
          <w:rtl w:val="0"/>
        </w:rPr>
        <w:t xml:space="preserve">723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351 </w:t>
      </w:r>
      <w:r w:rsidDel="00000000" w:rsidR="00000000" w:rsidRPr="00000000">
        <w:rPr>
          <w:rFonts w:ascii="Courier New" w:cs="Courier New" w:eastAsia="Courier New" w:hAnsi="Courier New"/>
          <w:sz w:val="20"/>
          <w:szCs w:val="20"/>
          <w:highlight w:val="white"/>
          <w:u w:val="single"/>
          <w:rtl w:val="0"/>
        </w:rPr>
        <w:t xml:space="preserve">13</w:t>
      </w:r>
      <w:r w:rsidDel="00000000" w:rsidR="00000000" w:rsidRPr="00000000">
        <w:rPr>
          <w:rFonts w:ascii="Courier New" w:cs="Courier New" w:eastAsia="Courier New" w:hAnsi="Courier New"/>
          <w:sz w:val="20"/>
          <w:szCs w:val="20"/>
          <w:highlight w:val="white"/>
          <w:rtl w:val="0"/>
        </w:rPr>
        <w:t xml:space="preserve">615  </w:t>
      </w:r>
      <w:r w:rsidDel="00000000" w:rsidR="00000000" w:rsidRPr="00000000">
        <w:rPr>
          <w:rFonts w:ascii="Courier New" w:cs="Courier New" w:eastAsia="Courier New" w:hAnsi="Courier New"/>
          <w:sz w:val="20"/>
          <w:szCs w:val="20"/>
          <w:highlight w:val="white"/>
          <w:u w:val="single"/>
          <w:rtl w:val="0"/>
        </w:rPr>
        <w:t xml:space="preserve">337</w:t>
      </w:r>
      <w:r w:rsidDel="00000000" w:rsidR="00000000" w:rsidRPr="00000000">
        <w:rPr>
          <w:rFonts w:ascii="Courier New" w:cs="Courier New" w:eastAsia="Courier New" w:hAnsi="Courier New"/>
          <w:sz w:val="20"/>
          <w:szCs w:val="20"/>
          <w:highlight w:val="white"/>
          <w:rtl w:val="0"/>
        </w:rPr>
        <w:t xml:space="preserve">750  23.8</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 Target top 20%      545         545  </w:t>
      </w:r>
      <w:r w:rsidDel="00000000" w:rsidR="00000000" w:rsidRPr="00000000">
        <w:rPr>
          <w:rFonts w:ascii="Courier New" w:cs="Courier New" w:eastAsia="Courier New" w:hAnsi="Courier New"/>
          <w:sz w:val="20"/>
          <w:szCs w:val="20"/>
          <w:highlight w:val="white"/>
          <w:u w:val="single"/>
          <w:rtl w:val="0"/>
        </w:rPr>
        <w:t xml:space="preserve">2</w:t>
      </w:r>
      <w:r w:rsidDel="00000000" w:rsidR="00000000" w:rsidRPr="00000000">
        <w:rPr>
          <w:rFonts w:ascii="Courier New" w:cs="Courier New" w:eastAsia="Courier New" w:hAnsi="Courier New"/>
          <w:sz w:val="20"/>
          <w:szCs w:val="20"/>
          <w:highlight w:val="white"/>
          <w:rtl w:val="0"/>
        </w:rPr>
        <w:t xml:space="preserve">725  </w:t>
      </w:r>
      <w:r w:rsidDel="00000000" w:rsidR="00000000" w:rsidRPr="00000000">
        <w:rPr>
          <w:rFonts w:ascii="Courier New" w:cs="Courier New" w:eastAsia="Courier New" w:hAnsi="Courier New"/>
          <w:sz w:val="20"/>
          <w:szCs w:val="20"/>
          <w:highlight w:val="white"/>
          <w:u w:val="single"/>
          <w:rtl w:val="0"/>
        </w:rPr>
        <w:t xml:space="preserve">136</w:t>
      </w:r>
      <w:r w:rsidDel="00000000" w:rsidR="00000000" w:rsidRPr="00000000">
        <w:rPr>
          <w:rFonts w:ascii="Courier New" w:cs="Courier New" w:eastAsia="Courier New" w:hAnsi="Courier New"/>
          <w:sz w:val="20"/>
          <w:szCs w:val="20"/>
          <w:highlight w:val="white"/>
          <w:rtl w:val="0"/>
        </w:rPr>
        <w:t xml:space="preserve">250  49  </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 Target top 10%      273         273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365   </w:t>
      </w:r>
      <w:r w:rsidDel="00000000" w:rsidR="00000000" w:rsidRPr="00000000">
        <w:rPr>
          <w:rFonts w:ascii="Courier New" w:cs="Courier New" w:eastAsia="Courier New" w:hAnsi="Courier New"/>
          <w:sz w:val="20"/>
          <w:szCs w:val="20"/>
          <w:highlight w:val="white"/>
          <w:u w:val="single"/>
          <w:rtl w:val="0"/>
        </w:rPr>
        <w:t xml:space="preserve">68</w:t>
      </w:r>
      <w:r w:rsidDel="00000000" w:rsidR="00000000" w:rsidRPr="00000000">
        <w:rPr>
          <w:rFonts w:ascii="Courier New" w:cs="Courier New" w:eastAsia="Courier New" w:hAnsi="Courier New"/>
          <w:sz w:val="20"/>
          <w:szCs w:val="20"/>
          <w:highlight w:val="white"/>
          <w:rtl w:val="0"/>
        </w:rPr>
        <w:t xml:space="preserve">250  49  </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$RF</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949494"/>
          <w:sz w:val="20"/>
          <w:szCs w:val="20"/>
          <w:highlight w:val="white"/>
          <w:rtl w:val="0"/>
        </w:rPr>
        <w:t xml:space="preserve"># A tibble: 3 × 6</w:t>
      </w: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scenario       contacts conversions  cost revenue   ROI</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&lt;chr&gt;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 Mass (all)        </w:t>
      </w:r>
      <w:r w:rsidDel="00000000" w:rsidR="00000000" w:rsidRPr="00000000">
        <w:rPr>
          <w:rFonts w:ascii="Courier New" w:cs="Courier New" w:eastAsia="Courier New" w:hAnsi="Courier New"/>
          <w:sz w:val="20"/>
          <w:szCs w:val="20"/>
          <w:highlight w:val="white"/>
          <w:u w:val="single"/>
          <w:rtl w:val="0"/>
        </w:rPr>
        <w:t xml:space="preserve">12</w:t>
      </w:r>
      <w:r w:rsidDel="00000000" w:rsidR="00000000" w:rsidRPr="00000000">
        <w:rPr>
          <w:rFonts w:ascii="Courier New" w:cs="Courier New" w:eastAsia="Courier New" w:hAnsi="Courier New"/>
          <w:sz w:val="20"/>
          <w:szCs w:val="20"/>
          <w:highlight w:val="white"/>
          <w:rtl w:val="0"/>
        </w:rPr>
        <w:t xml:space="preserve">048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363 </w:t>
      </w:r>
      <w:r w:rsidDel="00000000" w:rsidR="00000000" w:rsidRPr="00000000">
        <w:rPr>
          <w:rFonts w:ascii="Courier New" w:cs="Courier New" w:eastAsia="Courier New" w:hAnsi="Courier New"/>
          <w:sz w:val="20"/>
          <w:szCs w:val="20"/>
          <w:highlight w:val="white"/>
          <w:u w:val="single"/>
          <w:rtl w:val="0"/>
        </w:rPr>
        <w:t xml:space="preserve">60</w:t>
      </w:r>
      <w:r w:rsidDel="00000000" w:rsidR="00000000" w:rsidRPr="00000000">
        <w:rPr>
          <w:rFonts w:ascii="Courier New" w:cs="Courier New" w:eastAsia="Courier New" w:hAnsi="Courier New"/>
          <w:sz w:val="20"/>
          <w:szCs w:val="20"/>
          <w:highlight w:val="white"/>
          <w:rtl w:val="0"/>
        </w:rPr>
        <w:t xml:space="preserve">240  </w:t>
      </w:r>
      <w:r w:rsidDel="00000000" w:rsidR="00000000" w:rsidRPr="00000000">
        <w:rPr>
          <w:rFonts w:ascii="Courier New" w:cs="Courier New" w:eastAsia="Courier New" w:hAnsi="Courier New"/>
          <w:sz w:val="20"/>
          <w:szCs w:val="20"/>
          <w:highlight w:val="white"/>
          <w:u w:val="single"/>
          <w:rtl w:val="0"/>
        </w:rPr>
        <w:t xml:space="preserve">340</w:t>
      </w:r>
      <w:r w:rsidDel="00000000" w:rsidR="00000000" w:rsidRPr="00000000">
        <w:rPr>
          <w:rFonts w:ascii="Courier New" w:cs="Courier New" w:eastAsia="Courier New" w:hAnsi="Courier New"/>
          <w:sz w:val="20"/>
          <w:szCs w:val="20"/>
          <w:highlight w:val="white"/>
          <w:rtl w:val="0"/>
        </w:rPr>
        <w:t xml:space="preserve">750  4.66</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 Target top 20%     </w:t>
      </w:r>
      <w:r w:rsidDel="00000000" w:rsidR="00000000" w:rsidRPr="00000000">
        <w:rPr>
          <w:rFonts w:ascii="Courier New" w:cs="Courier New" w:eastAsia="Courier New" w:hAnsi="Courier New"/>
          <w:sz w:val="20"/>
          <w:szCs w:val="20"/>
          <w:highlight w:val="white"/>
          <w:u w:val="single"/>
          <w:rtl w:val="0"/>
        </w:rPr>
        <w:t xml:space="preserve">2</w:t>
      </w:r>
      <w:r w:rsidDel="00000000" w:rsidR="00000000" w:rsidRPr="00000000">
        <w:rPr>
          <w:rFonts w:ascii="Courier New" w:cs="Courier New" w:eastAsia="Courier New" w:hAnsi="Courier New"/>
          <w:sz w:val="20"/>
          <w:szCs w:val="20"/>
          <w:highlight w:val="white"/>
          <w:rtl w:val="0"/>
        </w:rPr>
        <w:t xml:space="preserve">410         826 </w:t>
      </w:r>
      <w:r w:rsidDel="00000000" w:rsidR="00000000" w:rsidRPr="00000000">
        <w:rPr>
          <w:rFonts w:ascii="Courier New" w:cs="Courier New" w:eastAsia="Courier New" w:hAnsi="Courier New"/>
          <w:sz w:val="20"/>
          <w:szCs w:val="20"/>
          <w:highlight w:val="white"/>
          <w:u w:val="single"/>
          <w:rtl w:val="0"/>
        </w:rPr>
        <w:t xml:space="preserve">12</w:t>
      </w:r>
      <w:r w:rsidDel="00000000" w:rsidR="00000000" w:rsidRPr="00000000">
        <w:rPr>
          <w:rFonts w:ascii="Courier New" w:cs="Courier New" w:eastAsia="Courier New" w:hAnsi="Courier New"/>
          <w:sz w:val="20"/>
          <w:szCs w:val="20"/>
          <w:highlight w:val="white"/>
          <w:rtl w:val="0"/>
        </w:rPr>
        <w:t xml:space="preserve">050  </w:t>
      </w:r>
      <w:r w:rsidDel="00000000" w:rsidR="00000000" w:rsidRPr="00000000">
        <w:rPr>
          <w:rFonts w:ascii="Courier New" w:cs="Courier New" w:eastAsia="Courier New" w:hAnsi="Courier New"/>
          <w:sz w:val="20"/>
          <w:szCs w:val="20"/>
          <w:highlight w:val="white"/>
          <w:u w:val="single"/>
          <w:rtl w:val="0"/>
        </w:rPr>
        <w:t xml:space="preserve">206</w:t>
      </w:r>
      <w:r w:rsidDel="00000000" w:rsidR="00000000" w:rsidRPr="00000000">
        <w:rPr>
          <w:rFonts w:ascii="Courier New" w:cs="Courier New" w:eastAsia="Courier New" w:hAnsi="Courier New"/>
          <w:sz w:val="20"/>
          <w:szCs w:val="20"/>
          <w:highlight w:val="white"/>
          <w:rtl w:val="0"/>
        </w:rPr>
        <w:t xml:space="preserve">500 16.1 </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 Target top 10%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205         578  </w:t>
      </w:r>
      <w:r w:rsidDel="00000000" w:rsidR="00000000" w:rsidRPr="00000000">
        <w:rPr>
          <w:rFonts w:ascii="Courier New" w:cs="Courier New" w:eastAsia="Courier New" w:hAnsi="Courier New"/>
          <w:sz w:val="20"/>
          <w:szCs w:val="20"/>
          <w:highlight w:val="white"/>
          <w:u w:val="single"/>
          <w:rtl w:val="0"/>
        </w:rPr>
        <w:t xml:space="preserve">6</w:t>
      </w:r>
      <w:r w:rsidDel="00000000" w:rsidR="00000000" w:rsidRPr="00000000">
        <w:rPr>
          <w:rFonts w:ascii="Courier New" w:cs="Courier New" w:eastAsia="Courier New" w:hAnsi="Courier New"/>
          <w:sz w:val="20"/>
          <w:szCs w:val="20"/>
          <w:highlight w:val="white"/>
          <w:rtl w:val="0"/>
        </w:rPr>
        <w:t xml:space="preserve">025  </w:t>
      </w:r>
      <w:r w:rsidDel="00000000" w:rsidR="00000000" w:rsidRPr="00000000">
        <w:rPr>
          <w:rFonts w:ascii="Courier New" w:cs="Courier New" w:eastAsia="Courier New" w:hAnsi="Courier New"/>
          <w:sz w:val="20"/>
          <w:szCs w:val="20"/>
          <w:highlight w:val="white"/>
          <w:u w:val="single"/>
          <w:rtl w:val="0"/>
        </w:rPr>
        <w:t xml:space="preserve">144</w:t>
      </w:r>
      <w:r w:rsidDel="00000000" w:rsidR="00000000" w:rsidRPr="00000000">
        <w:rPr>
          <w:rFonts w:ascii="Courier New" w:cs="Courier New" w:eastAsia="Courier New" w:hAnsi="Courier New"/>
          <w:sz w:val="20"/>
          <w:szCs w:val="20"/>
          <w:highlight w:val="white"/>
          <w:rtl w:val="0"/>
        </w:rPr>
        <w:t xml:space="preserve">500 23.0 </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$Balanced_RF</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949494"/>
          <w:sz w:val="20"/>
          <w:szCs w:val="20"/>
          <w:highlight w:val="white"/>
          <w:rtl w:val="0"/>
        </w:rPr>
        <w:t xml:space="preserve"># A tibble: 3 × 6</w:t>
      </w:r>
      <w:r w:rsidDel="00000000" w:rsidR="00000000" w:rsidRPr="00000000">
        <w:rPr>
          <w:rtl w:val="0"/>
        </w:rPr>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scenario       contacts conversions  cost revenue   ROI</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&lt;chr&gt;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rFonts w:ascii="Courier New" w:cs="Courier New" w:eastAsia="Courier New" w:hAnsi="Courier New"/>
          <w:i w:val="1"/>
          <w:iCs w:val="1"/>
          <w:color w:val="949494"/>
          <w:sz w:val="20"/>
          <w:szCs w:val="20"/>
          <w:highlight w:val="white"/>
          <w:rtl w:val="0"/>
        </w:rPr>
        <w:t xml:space="preserve">&lt;dbl&gt;</w:t>
      </w: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1</w:t>
      </w:r>
      <w:r w:rsidDel="00000000" w:rsidR="00000000" w:rsidRPr="00000000">
        <w:rPr>
          <w:rFonts w:ascii="Courier New" w:cs="Courier New" w:eastAsia="Courier New" w:hAnsi="Courier New"/>
          <w:sz w:val="20"/>
          <w:szCs w:val="20"/>
          <w:highlight w:val="white"/>
          <w:rtl w:val="0"/>
        </w:rPr>
        <w:t xml:space="preserve"> Mass (all)         </w:t>
      </w:r>
      <w:r w:rsidDel="00000000" w:rsidR="00000000" w:rsidRPr="00000000">
        <w:rPr>
          <w:rFonts w:ascii="Courier New" w:cs="Courier New" w:eastAsia="Courier New" w:hAnsi="Courier New"/>
          <w:sz w:val="20"/>
          <w:szCs w:val="20"/>
          <w:highlight w:val="white"/>
          <w:u w:val="single"/>
          <w:rtl w:val="0"/>
        </w:rPr>
        <w:t xml:space="preserve">2</w:t>
      </w:r>
      <w:r w:rsidDel="00000000" w:rsidR="00000000" w:rsidRPr="00000000">
        <w:rPr>
          <w:rFonts w:ascii="Courier New" w:cs="Courier New" w:eastAsia="Courier New" w:hAnsi="Courier New"/>
          <w:sz w:val="20"/>
          <w:szCs w:val="20"/>
          <w:highlight w:val="white"/>
          <w:rtl w:val="0"/>
        </w:rPr>
        <w:t xml:space="preserve">723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351 </w:t>
      </w:r>
      <w:r w:rsidDel="00000000" w:rsidR="00000000" w:rsidRPr="00000000">
        <w:rPr>
          <w:rFonts w:ascii="Courier New" w:cs="Courier New" w:eastAsia="Courier New" w:hAnsi="Courier New"/>
          <w:sz w:val="20"/>
          <w:szCs w:val="20"/>
          <w:highlight w:val="white"/>
          <w:u w:val="single"/>
          <w:rtl w:val="0"/>
        </w:rPr>
        <w:t xml:space="preserve">13</w:t>
      </w:r>
      <w:r w:rsidDel="00000000" w:rsidR="00000000" w:rsidRPr="00000000">
        <w:rPr>
          <w:rFonts w:ascii="Courier New" w:cs="Courier New" w:eastAsia="Courier New" w:hAnsi="Courier New"/>
          <w:sz w:val="20"/>
          <w:szCs w:val="20"/>
          <w:highlight w:val="white"/>
          <w:rtl w:val="0"/>
        </w:rPr>
        <w:t xml:space="preserve">615  </w:t>
      </w:r>
      <w:r w:rsidDel="00000000" w:rsidR="00000000" w:rsidRPr="00000000">
        <w:rPr>
          <w:rFonts w:ascii="Courier New" w:cs="Courier New" w:eastAsia="Courier New" w:hAnsi="Courier New"/>
          <w:sz w:val="20"/>
          <w:szCs w:val="20"/>
          <w:highlight w:val="white"/>
          <w:u w:val="single"/>
          <w:rtl w:val="0"/>
        </w:rPr>
        <w:t xml:space="preserve">337</w:t>
      </w:r>
      <w:r w:rsidDel="00000000" w:rsidR="00000000" w:rsidRPr="00000000">
        <w:rPr>
          <w:rFonts w:ascii="Courier New" w:cs="Courier New" w:eastAsia="Courier New" w:hAnsi="Courier New"/>
          <w:sz w:val="20"/>
          <w:szCs w:val="20"/>
          <w:highlight w:val="white"/>
          <w:rtl w:val="0"/>
        </w:rPr>
        <w:t xml:space="preserve">750  23.8</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2</w:t>
      </w:r>
      <w:r w:rsidDel="00000000" w:rsidR="00000000" w:rsidRPr="00000000">
        <w:rPr>
          <w:rFonts w:ascii="Courier New" w:cs="Courier New" w:eastAsia="Courier New" w:hAnsi="Courier New"/>
          <w:sz w:val="20"/>
          <w:szCs w:val="20"/>
          <w:highlight w:val="white"/>
          <w:rtl w:val="0"/>
        </w:rPr>
        <w:t xml:space="preserve"> Target top 20%      545         475  </w:t>
      </w:r>
      <w:r w:rsidDel="00000000" w:rsidR="00000000" w:rsidRPr="00000000">
        <w:rPr>
          <w:rFonts w:ascii="Courier New" w:cs="Courier New" w:eastAsia="Courier New" w:hAnsi="Courier New"/>
          <w:sz w:val="20"/>
          <w:szCs w:val="20"/>
          <w:highlight w:val="white"/>
          <w:u w:val="single"/>
          <w:rtl w:val="0"/>
        </w:rPr>
        <w:t xml:space="preserve">2</w:t>
      </w:r>
      <w:r w:rsidDel="00000000" w:rsidR="00000000" w:rsidRPr="00000000">
        <w:rPr>
          <w:rFonts w:ascii="Courier New" w:cs="Courier New" w:eastAsia="Courier New" w:hAnsi="Courier New"/>
          <w:sz w:val="20"/>
          <w:szCs w:val="20"/>
          <w:highlight w:val="white"/>
          <w:rtl w:val="0"/>
        </w:rPr>
        <w:t xml:space="preserve">725  </w:t>
      </w:r>
      <w:r w:rsidDel="00000000" w:rsidR="00000000" w:rsidRPr="00000000">
        <w:rPr>
          <w:rFonts w:ascii="Courier New" w:cs="Courier New" w:eastAsia="Courier New" w:hAnsi="Courier New"/>
          <w:sz w:val="20"/>
          <w:szCs w:val="20"/>
          <w:highlight w:val="white"/>
          <w:u w:val="single"/>
          <w:rtl w:val="0"/>
        </w:rPr>
        <w:t xml:space="preserve">118</w:t>
      </w:r>
      <w:r w:rsidDel="00000000" w:rsidR="00000000" w:rsidRPr="00000000">
        <w:rPr>
          <w:rFonts w:ascii="Courier New" w:cs="Courier New" w:eastAsia="Courier New" w:hAnsi="Courier New"/>
          <w:sz w:val="20"/>
          <w:szCs w:val="20"/>
          <w:highlight w:val="white"/>
          <w:rtl w:val="0"/>
        </w:rPr>
        <w:t xml:space="preserve">750  42.6</w:t>
      </w:r>
    </w:p>
    <w:p w:rsidR="00000000" w:rsidDel="00000000" w:rsidP="00000000" w:rsidRDefault="00000000" w:rsidRPr="00000000" w14:paraId="00000283">
      <w:pPr>
        <w:spacing w:after="0" w:line="300" w:lineRule="auto"/>
        <w:rPr>
          <w:rFonts w:ascii="Courier New" w:cs="Courier New" w:eastAsia="Courier New" w:hAnsi="Courier New"/>
          <w:sz w:val="20"/>
          <w:szCs w:val="20"/>
          <w:highlight w:val="white"/>
        </w:rPr>
      </w:pPr>
      <w:r w:rsidDel="00000000" w:rsidR="00000000" w:rsidRPr="00000000">
        <w:rPr>
          <w:rFonts w:ascii="Courier New" w:cs="Courier New" w:eastAsia="Courier New" w:hAnsi="Courier New"/>
          <w:color w:val="bcbcbc"/>
          <w:sz w:val="20"/>
          <w:szCs w:val="20"/>
          <w:highlight w:val="white"/>
          <w:rtl w:val="0"/>
        </w:rPr>
        <w:t xml:space="preserve">3</w:t>
      </w:r>
      <w:r w:rsidDel="00000000" w:rsidR="00000000" w:rsidRPr="00000000">
        <w:rPr>
          <w:rFonts w:ascii="Courier New" w:cs="Courier New" w:eastAsia="Courier New" w:hAnsi="Courier New"/>
          <w:sz w:val="20"/>
          <w:szCs w:val="20"/>
          <w:highlight w:val="white"/>
          <w:rtl w:val="0"/>
        </w:rPr>
        <w:t xml:space="preserve"> Target top 10%      273         244  </w:t>
      </w:r>
      <w:r w:rsidDel="00000000" w:rsidR="00000000" w:rsidRPr="00000000">
        <w:rPr>
          <w:rFonts w:ascii="Courier New" w:cs="Courier New" w:eastAsia="Courier New" w:hAnsi="Courier New"/>
          <w:sz w:val="20"/>
          <w:szCs w:val="20"/>
          <w:highlight w:val="white"/>
          <w:u w:val="single"/>
          <w:rtl w:val="0"/>
        </w:rPr>
        <w:t xml:space="preserve">1</w:t>
      </w:r>
      <w:r w:rsidDel="00000000" w:rsidR="00000000" w:rsidRPr="00000000">
        <w:rPr>
          <w:rFonts w:ascii="Courier New" w:cs="Courier New" w:eastAsia="Courier New" w:hAnsi="Courier New"/>
          <w:sz w:val="20"/>
          <w:szCs w:val="20"/>
          <w:highlight w:val="white"/>
          <w:rtl w:val="0"/>
        </w:rPr>
        <w:t xml:space="preserve">365   </w:t>
      </w:r>
      <w:r w:rsidDel="00000000" w:rsidR="00000000" w:rsidRPr="00000000">
        <w:rPr>
          <w:rFonts w:ascii="Courier New" w:cs="Courier New" w:eastAsia="Courier New" w:hAnsi="Courier New"/>
          <w:sz w:val="20"/>
          <w:szCs w:val="20"/>
          <w:highlight w:val="white"/>
          <w:u w:val="single"/>
          <w:rtl w:val="0"/>
        </w:rPr>
        <w:t xml:space="preserve">61</w:t>
      </w:r>
      <w:r w:rsidDel="00000000" w:rsidR="00000000" w:rsidRPr="00000000">
        <w:rPr>
          <w:rFonts w:ascii="Courier New" w:cs="Courier New" w:eastAsia="Courier New" w:hAnsi="Courier New"/>
          <w:sz w:val="20"/>
          <w:szCs w:val="20"/>
          <w:highlight w:val="white"/>
          <w:rtl w:val="0"/>
        </w:rPr>
        <w:t xml:space="preserve">000  43.7</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right="0"/>
        <w:rPr>
          <w:rFonts w:ascii="Times New Roman" w:cs="Times New Roman" w:eastAsia="Times New Roman" w:hAnsi="Times New Roman"/>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spacing w:line="240" w:lineRule="auto"/>
      <w:rPr>
        <w:sz w:val="20"/>
        <w:szCs w:val="20"/>
      </w:rPr>
    </w:pPr>
    <w:r w:rsidDel="00000000" w:rsidR="00000000" w:rsidRPr="00000000">
      <w:rPr>
        <w:sz w:val="20"/>
        <w:szCs w:val="20"/>
        <w:rtl w:val="0"/>
      </w:rPr>
      <w:t xml:space="preserve">Sebastian Gonzalez</w:t>
      <w:tab/>
      <w:tab/>
      <w:tab/>
      <w:tab/>
      <w:tab/>
      <w:tab/>
      <w:tab/>
      <w:tab/>
      <w:tab/>
      <w:t xml:space="preserve">2/14/2025</w:t>
    </w:r>
  </w:p>
  <w:p w:rsidR="00000000" w:rsidDel="00000000" w:rsidP="00000000" w:rsidRDefault="00000000" w:rsidRPr="00000000" w14:paraId="00000287">
    <w:pPr>
      <w:spacing w:line="240" w:lineRule="auto"/>
      <w:rPr>
        <w:sz w:val="20"/>
        <w:szCs w:val="20"/>
      </w:rPr>
    </w:pPr>
    <w:r w:rsidDel="00000000" w:rsidR="00000000" w:rsidRPr="00000000">
      <w:rPr>
        <w:sz w:val="20"/>
        <w:szCs w:val="20"/>
        <w:rtl w:val="0"/>
      </w:rPr>
      <w:t xml:space="preserve">David Meeks</w:t>
    </w:r>
  </w:p>
  <w:p w:rsidR="00000000" w:rsidDel="00000000" w:rsidP="00000000" w:rsidRDefault="00000000" w:rsidRPr="00000000" w14:paraId="00000288">
    <w:pPr>
      <w:spacing w:line="240" w:lineRule="auto"/>
      <w:rPr>
        <w:sz w:val="20"/>
        <w:szCs w:val="20"/>
      </w:rPr>
    </w:pPr>
    <w:r w:rsidDel="00000000" w:rsidR="00000000" w:rsidRPr="00000000">
      <w:rPr>
        <w:sz w:val="20"/>
        <w:szCs w:val="20"/>
        <w:rtl w:val="0"/>
      </w:rPr>
      <w:t xml:space="preserve">Manuel Arche-Pagan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356D8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56D8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56D8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56D8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356D8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356D8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356D8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356D8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356D8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56D8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56D8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56D8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56D8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56D8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56D8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56D80"/>
    <w:rPr>
      <w:i w:val="1"/>
      <w:iCs w:val="1"/>
      <w:color w:val="404040" w:themeColor="text1" w:themeTint="0000BF"/>
    </w:rPr>
  </w:style>
  <w:style w:type="paragraph" w:styleId="ListParagraph">
    <w:name w:val="List Paragraph"/>
    <w:basedOn w:val="Normal"/>
    <w:uiPriority w:val="34"/>
    <w:qFormat w:val="1"/>
    <w:rsid w:val="00356D80"/>
    <w:pPr>
      <w:ind w:left="720"/>
      <w:contextualSpacing w:val="1"/>
    </w:pPr>
  </w:style>
  <w:style w:type="character" w:styleId="IntenseEmphasis">
    <w:name w:val="Intense Emphasis"/>
    <w:basedOn w:val="DefaultParagraphFont"/>
    <w:uiPriority w:val="21"/>
    <w:qFormat w:val="1"/>
    <w:rsid w:val="00356D80"/>
    <w:rPr>
      <w:i w:val="1"/>
      <w:iCs w:val="1"/>
      <w:color w:val="0f4761" w:themeColor="accent1" w:themeShade="0000BF"/>
    </w:rPr>
  </w:style>
  <w:style w:type="paragraph" w:styleId="IntenseQuote">
    <w:name w:val="Intense Quote"/>
    <w:basedOn w:val="Normal"/>
    <w:next w:val="Normal"/>
    <w:link w:val="IntenseQuoteChar"/>
    <w:uiPriority w:val="30"/>
    <w:qFormat w:val="1"/>
    <w:rsid w:val="00356D8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356D80"/>
    <w:rPr>
      <w:i w:val="1"/>
      <w:iCs w:val="1"/>
      <w:color w:val="0f4761" w:themeColor="accent1" w:themeShade="0000BF"/>
    </w:rPr>
  </w:style>
  <w:style w:type="character" w:styleId="IntenseReference">
    <w:name w:val="Intense Reference"/>
    <w:basedOn w:val="DefaultParagraphFont"/>
    <w:uiPriority w:val="32"/>
    <w:qFormat w:val="1"/>
    <w:rsid w:val="00356D80"/>
    <w:rPr>
      <w:b w:val="1"/>
      <w:bCs w:val="1"/>
      <w:smallCaps w:val="1"/>
      <w:color w:val="0f4761" w:themeColor="accent1" w:themeShade="0000BF"/>
      <w:spacing w:val="5"/>
    </w:rPr>
  </w:style>
  <w:style w:type="paragraph" w:styleId="p3" w:customStyle="1">
    <w:name w:val="p3"/>
    <w:basedOn w:val="Normal"/>
    <w:rsid w:val="00356D80"/>
    <w:pPr>
      <w:widowControl w:val="0"/>
      <w:autoSpaceDE w:val="0"/>
      <w:autoSpaceDN w:val="0"/>
      <w:adjustRightInd w:val="0"/>
      <w:spacing w:after="0" w:line="240" w:lineRule="auto"/>
      <w:ind w:left="1445" w:hanging="720"/>
    </w:pPr>
    <w:rPr>
      <w:rFonts w:ascii="Times New Roman" w:cs="Times New Roman" w:eastAsia="Times New Roman" w:hAnsi="Times New Roman"/>
      <w:kern w:val="0"/>
    </w:rPr>
  </w:style>
  <w:style w:type="character" w:styleId="Hyperlink">
    <w:name w:val="Hyperlink"/>
    <w:basedOn w:val="DefaultParagraphFont"/>
    <w:uiPriority w:val="99"/>
    <w:unhideWhenUsed w:val="1"/>
    <w:rsid w:val="00A55A7E"/>
    <w:rPr>
      <w:color w:val="467886" w:themeColor="hyperlink"/>
      <w:u w:val="single"/>
    </w:rPr>
  </w:style>
  <w:style w:type="character" w:styleId="UnresolvedMention">
    <w:name w:val="Unresolved Mention"/>
    <w:basedOn w:val="DefaultParagraphFont"/>
    <w:uiPriority w:val="99"/>
    <w:semiHidden w:val="1"/>
    <w:unhideWhenUsed w:val="1"/>
    <w:rsid w:val="00A55A7E"/>
    <w:rPr>
      <w:color w:val="605e5c"/>
      <w:shd w:color="auto" w:fill="e1dfdd" w:val="clear"/>
    </w:rPr>
  </w:style>
  <w:style w:type="table" w:styleId="TableGrid">
    <w:name w:val="Table Grid"/>
    <w:basedOn w:val="TableNormal"/>
    <w:uiPriority w:val="39"/>
    <w:rsid w:val="00043DC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6">
    <w:name w:val="Grid Table 4 Accent 6"/>
    <w:basedOn w:val="TableNormal"/>
    <w:uiPriority w:val="49"/>
    <w:rsid w:val="006753FA"/>
    <w:pPr>
      <w:spacing w:after="0" w:line="240" w:lineRule="auto"/>
    </w:pPr>
    <w:tblPr>
      <w:tblStyleRowBandSize w:val="1"/>
      <w:tblStyleColBandSize w:val="1"/>
      <w:tblBorders>
        <w:top w:color="8dd873" w:space="0" w:sz="4" w:themeColor="accent6" w:themeTint="000099" w:val="single"/>
        <w:left w:color="8dd873" w:space="0" w:sz="4" w:themeColor="accent6" w:themeTint="000099" w:val="single"/>
        <w:bottom w:color="8dd873" w:space="0" w:sz="4" w:themeColor="accent6" w:themeTint="000099" w:val="single"/>
        <w:right w:color="8dd873" w:space="0" w:sz="4" w:themeColor="accent6" w:themeTint="000099" w:val="single"/>
        <w:insideH w:color="8dd873" w:space="0" w:sz="4" w:themeColor="accent6" w:themeTint="000099" w:val="single"/>
        <w:insideV w:color="8dd873" w:space="0" w:sz="4" w:themeColor="accent6" w:themeTint="000099" w:val="single"/>
      </w:tblBorders>
    </w:tblPr>
    <w:tblStylePr w:type="firstRow">
      <w:rPr>
        <w:b w:val="1"/>
        <w:bCs w:val="1"/>
        <w:color w:val="ffffff" w:themeColor="background1"/>
      </w:rPr>
      <w:tblPr/>
      <w:tcPr>
        <w:tcBorders>
          <w:top w:color="4ea72e" w:space="0" w:sz="4" w:themeColor="accent6" w:val="single"/>
          <w:left w:color="4ea72e" w:space="0" w:sz="4" w:themeColor="accent6" w:val="single"/>
          <w:bottom w:color="4ea72e" w:space="0" w:sz="4" w:themeColor="accent6" w:val="single"/>
          <w:right w:color="4ea72e" w:space="0" w:sz="4" w:themeColor="accent6" w:val="single"/>
          <w:insideH w:space="0" w:sz="0" w:val="nil"/>
          <w:insideV w:space="0" w:sz="0" w:val="nil"/>
        </w:tcBorders>
        <w:shd w:color="auto" w:fill="4ea72e" w:themeFill="accent6" w:val="clear"/>
      </w:tcPr>
    </w:tblStylePr>
    <w:tblStylePr w:type="lastRow">
      <w:rPr>
        <w:b w:val="1"/>
        <w:bCs w:val="1"/>
      </w:rPr>
      <w:tblPr/>
      <w:tcPr>
        <w:tcBorders>
          <w:top w:color="4ea72e" w:space="0" w:sz="4" w:themeColor="accent6" w:val="double"/>
        </w:tcBorders>
      </w:tcPr>
    </w:tblStylePr>
    <w:tblStylePr w:type="firstCol">
      <w:rPr>
        <w:b w:val="1"/>
        <w:bCs w:val="1"/>
      </w:rPr>
    </w:tblStylePr>
    <w:tblStylePr w:type="lastCol">
      <w:rPr>
        <w:b w:val="1"/>
        <w:bCs w:val="1"/>
      </w:rPr>
    </w:tblStylePr>
    <w:tblStylePr w:type="band1Vert">
      <w:tblPr/>
      <w:tcPr>
        <w:shd w:color="auto" w:fill="d9f2d0" w:themeFill="accent6" w:themeFillTint="000033" w:val="clear"/>
      </w:tcPr>
    </w:tblStylePr>
    <w:tblStylePr w:type="band1Horz">
      <w:tblPr/>
      <w:tcPr>
        <w:shd w:color="auto" w:fill="d9f2d0" w:themeFill="accent6" w:themeFillTint="000033" w:val="clear"/>
      </w:tcPr>
    </w:tblStylePr>
  </w:style>
  <w:style w:type="table" w:styleId="ListTable3-Accent1">
    <w:name w:val="List Table 3 Accent 1"/>
    <w:basedOn w:val="TableNormal"/>
    <w:uiPriority w:val="48"/>
    <w:rsid w:val="006753FA"/>
    <w:pPr>
      <w:spacing w:after="0" w:line="240" w:lineRule="auto"/>
    </w:pPr>
    <w:tblPr>
      <w:tblStyleRowBandSize w:val="1"/>
      <w:tblStyleColBandSize w:val="1"/>
      <w:tblBorders>
        <w:top w:color="156082" w:space="0" w:sz="4" w:themeColor="accent1" w:val="single"/>
        <w:left w:color="156082" w:space="0" w:sz="4" w:themeColor="accent1" w:val="single"/>
        <w:bottom w:color="156082" w:space="0" w:sz="4" w:themeColor="accent1" w:val="single"/>
        <w:right w:color="156082" w:space="0" w:sz="4" w:themeColor="accent1" w:val="single"/>
      </w:tblBorders>
    </w:tblPr>
    <w:tblStylePr w:type="firstRow">
      <w:rPr>
        <w:b w:val="1"/>
        <w:bCs w:val="1"/>
        <w:color w:val="ffffff" w:themeColor="background1"/>
      </w:rPr>
      <w:tblPr/>
      <w:tcPr>
        <w:shd w:color="auto" w:fill="156082" w:themeFill="accent1" w:val="clear"/>
      </w:tcPr>
    </w:tblStylePr>
    <w:tblStylePr w:type="lastRow">
      <w:rPr>
        <w:b w:val="1"/>
        <w:bCs w:val="1"/>
      </w:rPr>
      <w:tblPr/>
      <w:tcPr>
        <w:tcBorders>
          <w:top w:color="156082" w:space="0" w:sz="4" w:themeColor="accent1"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156082" w:space="0" w:sz="4" w:themeColor="accent1" w:val="single"/>
          <w:right w:color="156082" w:space="0" w:sz="4" w:themeColor="accent1" w:val="single"/>
        </w:tcBorders>
      </w:tcPr>
    </w:tblStylePr>
    <w:tblStylePr w:type="band1Horz">
      <w:tblPr/>
      <w:tcPr>
        <w:tcBorders>
          <w:top w:color="156082" w:space="0" w:sz="4" w:themeColor="accent1" w:val="single"/>
          <w:bottom w:color="156082" w:space="0" w:sz="4" w:themeColor="accent1"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156082" w:space="0" w:sz="4" w:themeColor="accent1" w:val="double"/>
          <w:left w:space="0" w:sz="0" w:val="nil"/>
        </w:tcBorders>
      </w:tcPr>
    </w:tblStylePr>
    <w:tblStylePr w:type="swCell">
      <w:tblPr/>
      <w:tcPr>
        <w:tcBorders>
          <w:top w:color="156082" w:space="0" w:sz="4" w:themeColor="accent1" w:val="double"/>
          <w:right w:space="0" w:sz="0" w:val="nil"/>
        </w:tcBorders>
      </w:tcPr>
    </w:tblStyle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156082" w:space="0" w:sz="4" w:val="single"/>
          <w:bottom w:color="156082" w:space="0" w:sz="4" w:val="single"/>
          <w:insideH w:color="000000" w:space="0" w:sz="0" w:val="nil"/>
        </w:tcBorders>
      </w:tcPr>
    </w:tblStylePr>
    <w:tblStylePr w:type="band1Vert">
      <w:tcPr>
        <w:tcBorders>
          <w:left w:color="156082" w:space="0" w:sz="4" w:val="single"/>
          <w:right w:color="156082"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156082"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156082"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156082" w:space="0" w:sz="4" w:val="single"/>
          <w:left w:color="000000" w:space="0" w:sz="0" w:val="nil"/>
        </w:tcBorders>
      </w:tcPr>
    </w:tblStylePr>
    <w:tblStylePr w:type="swCell">
      <w:tcPr>
        <w:tcBorders>
          <w:top w:color="156082"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156082" w:space="0" w:sz="4" w:val="single"/>
          <w:bottom w:color="156082" w:space="0" w:sz="4" w:val="single"/>
          <w:insideH w:color="000000" w:space="0" w:sz="0" w:val="nil"/>
        </w:tcBorders>
      </w:tcPr>
    </w:tblStylePr>
    <w:tblStylePr w:type="band1Vert">
      <w:tcPr>
        <w:tcBorders>
          <w:left w:color="156082" w:space="0" w:sz="4" w:val="single"/>
          <w:right w:color="156082"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156082"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156082"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156082" w:space="0" w:sz="4" w:val="single"/>
          <w:left w:color="000000" w:space="0" w:sz="0" w:val="nil"/>
        </w:tcBorders>
      </w:tcPr>
    </w:tblStylePr>
    <w:tblStylePr w:type="swCell">
      <w:tcPr>
        <w:tcBorders>
          <w:top w:color="156082" w:space="0" w:sz="4" w:val="single"/>
          <w:right w:color="000000" w:space="0" w:sz="0" w:val="nil"/>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156082" w:space="0" w:sz="4" w:val="single"/>
          <w:bottom w:color="156082" w:space="0" w:sz="4" w:val="single"/>
          <w:insideH w:color="000000" w:space="0" w:sz="0" w:val="nil"/>
        </w:tcBorders>
      </w:tcPr>
    </w:tblStylePr>
    <w:tblStylePr w:type="band1Vert">
      <w:tcPr>
        <w:tcBorders>
          <w:left w:color="156082" w:space="0" w:sz="4" w:val="single"/>
          <w:right w:color="156082"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156082"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156082"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156082" w:space="0" w:sz="4" w:val="single"/>
          <w:left w:color="000000" w:space="0" w:sz="0" w:val="nil"/>
        </w:tcBorders>
      </w:tcPr>
    </w:tblStylePr>
    <w:tblStylePr w:type="swCell">
      <w:tcPr>
        <w:tcBorders>
          <w:top w:color="156082" w:space="0" w:sz="4" w:val="single"/>
          <w:right w:color="000000" w:space="0" w:sz="0" w:val="nil"/>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228617330_Defection_Detection_Measuring_and_Understanding_the_Predictive_Accuracy_of_Customer_Churn_Models" TargetMode="External"/><Relationship Id="rId10" Type="http://schemas.openxmlformats.org/officeDocument/2006/relationships/hyperlink" Target="https://link.springer.com/article/10.1023/A:1010933404324" TargetMode="External"/><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abs/pii/S016792361400061X" TargetMode="External"/><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a6gA+NLLGphADEOIASlngF388w==">CgMxLjAaHwoBMBIaChgICVIUChJ0YWJsZS5xdXBjdzlkbHFlc3Q4AHIhMXZqTzA1M09McVlYRmFyWHNzSTdGbFM0SVQzaS1fclZ2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2026-02-15T20:54:00Z</dcterms:created>
  <dc:creator>Sebastian Gonzalez</dc:creator>
</cp:coreProperties>
</file>