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5B6934" w14:textId="77777777" w:rsidR="007D7757" w:rsidRDefault="007D7757" w:rsidP="007D7757">
      <w:pPr>
        <w:rPr>
          <w:b/>
          <w:bCs/>
          <w:u w:val="single"/>
          <w:lang w:val="en-US"/>
        </w:rPr>
      </w:pPr>
      <w:r w:rsidRPr="007D7757">
        <w:rPr>
          <w:b/>
          <w:bCs/>
          <w:u w:val="single"/>
          <w:lang w:val="en-US"/>
        </w:rPr>
        <w:t>Digital Archives Reflection Assignment (2026) </w:t>
      </w:r>
    </w:p>
    <w:p w14:paraId="7CDFE42D" w14:textId="6441558A" w:rsidR="007D7757" w:rsidRPr="007D7757" w:rsidRDefault="0073739B" w:rsidP="007D7757">
      <w:pPr>
        <w:rPr>
          <w:lang w:val="en-US"/>
        </w:rPr>
      </w:pPr>
      <w:r>
        <w:rPr>
          <w:b/>
          <w:bCs/>
          <w:u w:val="single"/>
          <w:lang w:val="en-US"/>
        </w:rPr>
        <w:t xml:space="preserve">Authors: </w:t>
      </w:r>
      <w:r>
        <w:rPr>
          <w:lang w:val="en-US"/>
        </w:rPr>
        <w:t>Manuel</w:t>
      </w:r>
      <w:r w:rsidR="00A753C2">
        <w:rPr>
          <w:lang w:val="en-US"/>
        </w:rPr>
        <w:t xml:space="preserve"> Østrem Mørch and Conrad Bagger Isvik</w:t>
      </w:r>
      <w:r w:rsidR="007D7757" w:rsidRPr="007D7757">
        <w:rPr>
          <w:b/>
          <w:bCs/>
          <w:lang w:val="en-US"/>
        </w:rPr>
        <w:t>  </w:t>
      </w:r>
    </w:p>
    <w:p w14:paraId="5216032D" w14:textId="7A67BEC1" w:rsidR="007D7757" w:rsidRPr="007D7757" w:rsidRDefault="007D7757" w:rsidP="007D7757">
      <w:pPr>
        <w:rPr>
          <w:lang w:val="en-US"/>
        </w:rPr>
      </w:pPr>
      <w:r w:rsidRPr="007D7757">
        <w:rPr>
          <w:b/>
          <w:bCs/>
          <w:i/>
          <w:iCs/>
          <w:lang w:val="en-US"/>
        </w:rPr>
        <w:t>Part 1</w:t>
      </w:r>
      <w:r w:rsidR="00A753C2">
        <w:rPr>
          <w:b/>
          <w:bCs/>
          <w:i/>
          <w:iCs/>
          <w:lang w:val="en-US"/>
        </w:rPr>
        <w:t>: Conrad</w:t>
      </w:r>
    </w:p>
    <w:p w14:paraId="74C9733D" w14:textId="38CDE4E4" w:rsidR="00257C76" w:rsidRPr="00257C76" w:rsidRDefault="00257C76" w:rsidP="00257C76">
      <w:pPr>
        <w:rPr>
          <w:lang w:val="en-US"/>
        </w:rPr>
      </w:pPr>
      <w:r w:rsidRPr="00257C76">
        <w:rPr>
          <w:lang w:val="en-US"/>
        </w:rPr>
        <w:t>Helle Strandgaard Jensen</w:t>
      </w:r>
      <w:r w:rsidR="00CF005C">
        <w:rPr>
          <w:lang w:val="en-US"/>
        </w:rPr>
        <w:t xml:space="preserve"> explains</w:t>
      </w:r>
      <w:r w:rsidR="00B8574E">
        <w:rPr>
          <w:lang w:val="en-US"/>
        </w:rPr>
        <w:t xml:space="preserve"> in her article her</w:t>
      </w:r>
      <w:r w:rsidRPr="00257C76">
        <w:rPr>
          <w:lang w:val="en-US"/>
        </w:rPr>
        <w:t xml:space="preserve"> concept of </w:t>
      </w:r>
      <w:r w:rsidRPr="00257C76">
        <w:rPr>
          <w:i/>
          <w:iCs/>
          <w:lang w:val="en-US"/>
        </w:rPr>
        <w:t>digital archival literacy</w:t>
      </w:r>
      <w:r w:rsidRPr="00257C76">
        <w:rPr>
          <w:lang w:val="en-US"/>
        </w:rPr>
        <w:t xml:space="preserve"> </w:t>
      </w:r>
      <w:r w:rsidR="0056599C">
        <w:rPr>
          <w:lang w:val="en-US"/>
        </w:rPr>
        <w:t xml:space="preserve">is </w:t>
      </w:r>
      <w:r w:rsidR="00B8574E">
        <w:rPr>
          <w:lang w:val="en-US"/>
        </w:rPr>
        <w:t xml:space="preserve">and how it </w:t>
      </w:r>
      <w:r w:rsidRPr="00257C76">
        <w:rPr>
          <w:lang w:val="en-US"/>
        </w:rPr>
        <w:t xml:space="preserve">addresses the growing need for historians to critically understand how digital archives shape research practices. </w:t>
      </w:r>
      <w:r w:rsidR="00E31515">
        <w:rPr>
          <w:lang w:val="en-US"/>
        </w:rPr>
        <w:t>She doesn’t see it</w:t>
      </w:r>
      <w:r w:rsidRPr="00257C76">
        <w:rPr>
          <w:lang w:val="en-US"/>
        </w:rPr>
        <w:t xml:space="preserve"> as </w:t>
      </w:r>
      <w:r w:rsidR="0084587B" w:rsidRPr="00257C76">
        <w:rPr>
          <w:lang w:val="en-US"/>
        </w:rPr>
        <w:t>an</w:t>
      </w:r>
      <w:r w:rsidRPr="00257C76">
        <w:rPr>
          <w:lang w:val="en-US"/>
        </w:rPr>
        <w:t xml:space="preserve"> improvement in </w:t>
      </w:r>
      <w:r w:rsidR="00DF0781" w:rsidRPr="00257C76">
        <w:rPr>
          <w:lang w:val="en-US"/>
        </w:rPr>
        <w:t xml:space="preserve">access </w:t>
      </w:r>
      <w:r w:rsidR="009302F4" w:rsidRPr="00257C76">
        <w:rPr>
          <w:lang w:val="en-US"/>
        </w:rPr>
        <w:t>but</w:t>
      </w:r>
      <w:r w:rsidRPr="00257C76">
        <w:rPr>
          <w:lang w:val="en-US"/>
        </w:rPr>
        <w:t xml:space="preserve"> argues that it represents a </w:t>
      </w:r>
      <w:r w:rsidR="002F6CAB">
        <w:rPr>
          <w:lang w:val="en-US"/>
        </w:rPr>
        <w:t>huge</w:t>
      </w:r>
      <w:r w:rsidRPr="00257C76">
        <w:rPr>
          <w:lang w:val="en-US"/>
        </w:rPr>
        <w:t xml:space="preserve"> </w:t>
      </w:r>
      <w:r w:rsidRPr="00257C76">
        <w:rPr>
          <w:i/>
          <w:iCs/>
          <w:lang w:val="en-US"/>
        </w:rPr>
        <w:t xml:space="preserve">shift in </w:t>
      </w:r>
      <w:r w:rsidR="00584258">
        <w:rPr>
          <w:i/>
          <w:iCs/>
          <w:lang w:val="en-US"/>
        </w:rPr>
        <w:t xml:space="preserve">how </w:t>
      </w:r>
      <w:r w:rsidR="00584258">
        <w:rPr>
          <w:lang w:val="en-US"/>
        </w:rPr>
        <w:t xml:space="preserve">it </w:t>
      </w:r>
      <w:r w:rsidR="000B2C89">
        <w:rPr>
          <w:lang w:val="en-US"/>
        </w:rPr>
        <w:t>has</w:t>
      </w:r>
      <w:r w:rsidRPr="00257C76">
        <w:rPr>
          <w:lang w:val="en-US"/>
        </w:rPr>
        <w:t xml:space="preserve"> introduc</w:t>
      </w:r>
      <w:r w:rsidR="00584258">
        <w:rPr>
          <w:lang w:val="en-US"/>
        </w:rPr>
        <w:t>ed</w:t>
      </w:r>
      <w:r w:rsidRPr="00257C76">
        <w:rPr>
          <w:lang w:val="en-US"/>
        </w:rPr>
        <w:t xml:space="preserve"> new </w:t>
      </w:r>
      <w:r w:rsidR="000C57DA" w:rsidRPr="00257C76">
        <w:rPr>
          <w:lang w:val="en-US"/>
        </w:rPr>
        <w:t>logic</w:t>
      </w:r>
      <w:r w:rsidRPr="00257C76">
        <w:rPr>
          <w:lang w:val="en-US"/>
        </w:rPr>
        <w:t xml:space="preserve"> that </w:t>
      </w:r>
      <w:r w:rsidR="00A94DD6">
        <w:rPr>
          <w:lang w:val="en-US"/>
        </w:rPr>
        <w:t>has</w:t>
      </w:r>
      <w:r w:rsidR="000B2C89">
        <w:rPr>
          <w:lang w:val="en-US"/>
        </w:rPr>
        <w:t xml:space="preserve"> </w:t>
      </w:r>
      <w:r w:rsidRPr="00257C76">
        <w:rPr>
          <w:lang w:val="en-US"/>
        </w:rPr>
        <w:t>influence</w:t>
      </w:r>
      <w:r w:rsidR="000B2C89">
        <w:rPr>
          <w:lang w:val="en-US"/>
        </w:rPr>
        <w:t xml:space="preserve">d </w:t>
      </w:r>
      <w:r w:rsidRPr="00257C76">
        <w:rPr>
          <w:lang w:val="en-US"/>
        </w:rPr>
        <w:t xml:space="preserve">what sources are available. Digital archival literacy </w:t>
      </w:r>
      <w:r w:rsidR="009302F4">
        <w:rPr>
          <w:lang w:val="en-US"/>
        </w:rPr>
        <w:t>gives</w:t>
      </w:r>
      <w:r w:rsidRPr="00257C76">
        <w:rPr>
          <w:lang w:val="en-US"/>
        </w:rPr>
        <w:t xml:space="preserve"> historians</w:t>
      </w:r>
      <w:r w:rsidR="006B7586">
        <w:rPr>
          <w:lang w:val="en-US"/>
        </w:rPr>
        <w:t xml:space="preserve"> a way</w:t>
      </w:r>
      <w:r w:rsidRPr="00257C76">
        <w:rPr>
          <w:lang w:val="en-US"/>
        </w:rPr>
        <w:t xml:space="preserve"> to question the economic, technical, and institutional structures behind digital </w:t>
      </w:r>
      <w:r w:rsidR="00754B5D" w:rsidRPr="00257C76">
        <w:rPr>
          <w:lang w:val="en-US"/>
        </w:rPr>
        <w:t>archives.</w:t>
      </w:r>
      <w:r w:rsidR="00A5558D">
        <w:rPr>
          <w:rStyle w:val="Fodnotehenvisning"/>
          <w:lang w:val="en-US"/>
        </w:rPr>
        <w:footnoteReference w:id="1"/>
      </w:r>
    </w:p>
    <w:p w14:paraId="6F56D4BB" w14:textId="22FA309D" w:rsidR="00257C76" w:rsidRPr="00257C76" w:rsidRDefault="00257C76" w:rsidP="00257C76">
      <w:pPr>
        <w:rPr>
          <w:lang w:val="en-US"/>
        </w:rPr>
      </w:pPr>
      <w:r w:rsidRPr="00257C76">
        <w:rPr>
          <w:lang w:val="en-US"/>
        </w:rPr>
        <w:t>One</w:t>
      </w:r>
      <w:r w:rsidR="00122D29">
        <w:rPr>
          <w:lang w:val="en-US"/>
        </w:rPr>
        <w:t xml:space="preserve"> fascinating</w:t>
      </w:r>
      <w:r w:rsidRPr="00257C76">
        <w:rPr>
          <w:lang w:val="en-US"/>
        </w:rPr>
        <w:t xml:space="preserve"> aspect </w:t>
      </w:r>
      <w:r w:rsidR="003E5B76">
        <w:rPr>
          <w:lang w:val="en-US"/>
        </w:rPr>
        <w:t xml:space="preserve">of </w:t>
      </w:r>
      <w:r w:rsidR="00E20256">
        <w:rPr>
          <w:lang w:val="en-US"/>
        </w:rPr>
        <w:t>this</w:t>
      </w:r>
      <w:r w:rsidR="003E5B76">
        <w:rPr>
          <w:lang w:val="en-US"/>
        </w:rPr>
        <w:t xml:space="preserve"> </w:t>
      </w:r>
      <w:r w:rsidRPr="00257C76">
        <w:rPr>
          <w:lang w:val="en-US"/>
        </w:rPr>
        <w:t>is selective</w:t>
      </w:r>
      <w:r w:rsidRPr="00257C76">
        <w:rPr>
          <w:b/>
          <w:bCs/>
          <w:lang w:val="en-US"/>
        </w:rPr>
        <w:t xml:space="preserve"> </w:t>
      </w:r>
      <w:proofErr w:type="spellStart"/>
      <w:r w:rsidRPr="00257C76">
        <w:rPr>
          <w:lang w:val="en-US"/>
        </w:rPr>
        <w:t>digitisation</w:t>
      </w:r>
      <w:proofErr w:type="spellEnd"/>
      <w:r w:rsidRPr="00257C76">
        <w:rPr>
          <w:lang w:val="en-US"/>
        </w:rPr>
        <w:t xml:space="preserve">. Unlike analogue archives, where materials are broadly accessible, digital archives only contain a </w:t>
      </w:r>
      <w:r w:rsidR="00606CB4">
        <w:rPr>
          <w:lang w:val="en-US"/>
        </w:rPr>
        <w:t>specific</w:t>
      </w:r>
      <w:r w:rsidR="00B265C1">
        <w:rPr>
          <w:lang w:val="en-US"/>
        </w:rPr>
        <w:t xml:space="preserve"> </w:t>
      </w:r>
      <w:r w:rsidR="00493C07">
        <w:rPr>
          <w:lang w:val="en-US"/>
        </w:rPr>
        <w:t>number</w:t>
      </w:r>
      <w:r w:rsidRPr="00257C76">
        <w:rPr>
          <w:lang w:val="en-US"/>
        </w:rPr>
        <w:t xml:space="preserve"> of sources. These selections are </w:t>
      </w:r>
      <w:r w:rsidR="00393F9C">
        <w:rPr>
          <w:lang w:val="en-US"/>
        </w:rPr>
        <w:t>often</w:t>
      </w:r>
      <w:r w:rsidRPr="00257C76">
        <w:rPr>
          <w:lang w:val="en-US"/>
        </w:rPr>
        <w:t xml:space="preserve"> driven by funding</w:t>
      </w:r>
      <w:r w:rsidR="00393F9C">
        <w:rPr>
          <w:lang w:val="en-US"/>
        </w:rPr>
        <w:t xml:space="preserve"> from big</w:t>
      </w:r>
      <w:r w:rsidRPr="00257C76">
        <w:rPr>
          <w:lang w:val="en-US"/>
        </w:rPr>
        <w:t xml:space="preserve"> institutio</w:t>
      </w:r>
      <w:r w:rsidR="00BB781B">
        <w:rPr>
          <w:lang w:val="en-US"/>
        </w:rPr>
        <w:t>ns with their own</w:t>
      </w:r>
      <w:r w:rsidRPr="00257C76">
        <w:rPr>
          <w:lang w:val="en-US"/>
        </w:rPr>
        <w:t xml:space="preserve"> priorities, which can create biases</w:t>
      </w:r>
      <w:r w:rsidR="00912691" w:rsidRPr="00257C76">
        <w:rPr>
          <w:lang w:val="en-US"/>
        </w:rPr>
        <w:t>.</w:t>
      </w:r>
      <w:r w:rsidR="00912691">
        <w:rPr>
          <w:lang w:val="en-US"/>
        </w:rPr>
        <w:t xml:space="preserve"> Another reason for this is the use of metadata.</w:t>
      </w:r>
      <w:r w:rsidR="009C7E8D">
        <w:rPr>
          <w:lang w:val="en-US"/>
        </w:rPr>
        <w:t xml:space="preserve"> Jensen </w:t>
      </w:r>
      <w:r w:rsidR="0002086A">
        <w:rPr>
          <w:lang w:val="en-US"/>
        </w:rPr>
        <w:t>describes it as “data about data”</w:t>
      </w:r>
      <w:r w:rsidR="00A01421">
        <w:rPr>
          <w:lang w:val="en-US"/>
        </w:rPr>
        <w:t>,</w:t>
      </w:r>
      <w:r w:rsidR="009A26C8">
        <w:rPr>
          <w:lang w:val="en-US"/>
        </w:rPr>
        <w:t xml:space="preserve"> often</w:t>
      </w:r>
      <w:r w:rsidR="00A01421">
        <w:rPr>
          <w:lang w:val="en-US"/>
        </w:rPr>
        <w:t xml:space="preserve"> researchers </w:t>
      </w:r>
      <w:r w:rsidR="00DD5171">
        <w:rPr>
          <w:lang w:val="en-US"/>
        </w:rPr>
        <w:t>look</w:t>
      </w:r>
      <w:r w:rsidR="00485533">
        <w:rPr>
          <w:lang w:val="en-US"/>
        </w:rPr>
        <w:t xml:space="preserve"> for</w:t>
      </w:r>
      <w:r w:rsidR="00A01421">
        <w:rPr>
          <w:lang w:val="en-US"/>
        </w:rPr>
        <w:t xml:space="preserve"> </w:t>
      </w:r>
      <w:r w:rsidR="00FC3924">
        <w:rPr>
          <w:lang w:val="en-US"/>
        </w:rPr>
        <w:t xml:space="preserve">results in certain </w:t>
      </w:r>
      <w:r w:rsidR="00C8207D">
        <w:rPr>
          <w:lang w:val="en-US"/>
        </w:rPr>
        <w:t xml:space="preserve">collections </w:t>
      </w:r>
      <w:r w:rsidR="009C3684">
        <w:rPr>
          <w:lang w:val="en-US"/>
        </w:rPr>
        <w:t>or items to find what they are looking for.</w:t>
      </w:r>
      <w:r w:rsidRPr="00257C76">
        <w:rPr>
          <w:lang w:val="en-US"/>
        </w:rPr>
        <w:t xml:space="preserve"> As historians rel</w:t>
      </w:r>
      <w:r w:rsidR="00754B5D">
        <w:rPr>
          <w:lang w:val="en-US"/>
        </w:rPr>
        <w:t>y</w:t>
      </w:r>
      <w:r w:rsidR="00B06966">
        <w:rPr>
          <w:lang w:val="en-US"/>
        </w:rPr>
        <w:t xml:space="preserve"> more</w:t>
      </w:r>
      <w:r w:rsidRPr="00257C76">
        <w:rPr>
          <w:lang w:val="en-US"/>
        </w:rPr>
        <w:t xml:space="preserve"> on online materials, the</w:t>
      </w:r>
      <w:r w:rsidR="009E7E49">
        <w:rPr>
          <w:lang w:val="en-US"/>
        </w:rPr>
        <w:t>y</w:t>
      </w:r>
      <w:r w:rsidRPr="00257C76">
        <w:rPr>
          <w:lang w:val="en-US"/>
        </w:rPr>
        <w:t xml:space="preserve"> </w:t>
      </w:r>
      <w:r w:rsidR="00F57C11" w:rsidRPr="00257C76">
        <w:rPr>
          <w:lang w:val="en-US"/>
        </w:rPr>
        <w:t>risk</w:t>
      </w:r>
      <w:r w:rsidRPr="00257C76">
        <w:rPr>
          <w:lang w:val="en-US"/>
        </w:rPr>
        <w:t xml:space="preserve"> being shaped by what is easiest to access rather than what is most representative. This changes </w:t>
      </w:r>
      <w:r w:rsidR="00F57C11">
        <w:rPr>
          <w:lang w:val="en-US"/>
        </w:rPr>
        <w:t xml:space="preserve">how </w:t>
      </w:r>
      <w:r w:rsidR="00F57C11" w:rsidRPr="00257C76">
        <w:rPr>
          <w:lang w:val="en-US"/>
        </w:rPr>
        <w:t>historians</w:t>
      </w:r>
      <w:r w:rsidRPr="00257C76">
        <w:rPr>
          <w:lang w:val="en-US"/>
        </w:rPr>
        <w:t xml:space="preserve"> </w:t>
      </w:r>
      <w:r w:rsidR="00F57C11" w:rsidRPr="00257C76">
        <w:rPr>
          <w:lang w:val="en-US"/>
        </w:rPr>
        <w:t>interac</w:t>
      </w:r>
      <w:r w:rsidR="00F57C11">
        <w:rPr>
          <w:lang w:val="en-US"/>
        </w:rPr>
        <w:t>t</w:t>
      </w:r>
      <w:r w:rsidRPr="00257C76">
        <w:rPr>
          <w:lang w:val="en-US"/>
        </w:rPr>
        <w:t xml:space="preserve"> with sources</w:t>
      </w:r>
      <w:r w:rsidR="00F57C11">
        <w:rPr>
          <w:lang w:val="en-US"/>
        </w:rPr>
        <w:t>.</w:t>
      </w:r>
      <w:r w:rsidRPr="00257C76">
        <w:rPr>
          <w:lang w:val="en-US"/>
        </w:rPr>
        <w:t xml:space="preserve"> </w:t>
      </w:r>
      <w:r w:rsidR="00F57C11" w:rsidRPr="00257C76">
        <w:rPr>
          <w:lang w:val="en-US"/>
        </w:rPr>
        <w:t>Instead</w:t>
      </w:r>
      <w:r w:rsidRPr="00257C76">
        <w:rPr>
          <w:lang w:val="en-US"/>
        </w:rPr>
        <w:t xml:space="preserve"> of navigating entire collections, they engage with pre-selected materials, often without awareness of what has been excluded</w:t>
      </w:r>
      <w:r w:rsidR="004F550E">
        <w:rPr>
          <w:lang w:val="en-US"/>
        </w:rPr>
        <w:t>.</w:t>
      </w:r>
      <w:r w:rsidR="003128E0">
        <w:rPr>
          <w:lang w:val="en-US"/>
        </w:rPr>
        <w:t xml:space="preserve"> Historians can here choose to look for </w:t>
      </w:r>
      <w:r w:rsidR="006A5961">
        <w:rPr>
          <w:lang w:val="en-US"/>
        </w:rPr>
        <w:t xml:space="preserve">metadata registration </w:t>
      </w:r>
      <w:r w:rsidR="005B0605">
        <w:rPr>
          <w:lang w:val="en-US"/>
        </w:rPr>
        <w:t xml:space="preserve">and thereby question </w:t>
      </w:r>
      <w:r w:rsidR="00645F64">
        <w:rPr>
          <w:lang w:val="en-US"/>
        </w:rPr>
        <w:t xml:space="preserve">what the metadata tells us about </w:t>
      </w:r>
      <w:r w:rsidR="00413535">
        <w:rPr>
          <w:lang w:val="en-US"/>
        </w:rPr>
        <w:t>the data.</w:t>
      </w:r>
    </w:p>
    <w:p w14:paraId="3D901987" w14:textId="33873DF8" w:rsidR="00E233C9" w:rsidRDefault="00257C76" w:rsidP="007D7757">
      <w:pPr>
        <w:rPr>
          <w:lang w:val="en-US"/>
        </w:rPr>
      </w:pPr>
      <w:r w:rsidRPr="00257C76">
        <w:rPr>
          <w:lang w:val="en-US"/>
        </w:rPr>
        <w:t>A</w:t>
      </w:r>
      <w:r w:rsidR="000961D2">
        <w:rPr>
          <w:lang w:val="en-US"/>
        </w:rPr>
        <w:t>nother</w:t>
      </w:r>
      <w:r w:rsidRPr="00257C76">
        <w:rPr>
          <w:lang w:val="en-US"/>
        </w:rPr>
        <w:t xml:space="preserve"> </w:t>
      </w:r>
      <w:r w:rsidR="000961D2">
        <w:rPr>
          <w:lang w:val="en-US"/>
        </w:rPr>
        <w:t>aspect</w:t>
      </w:r>
      <w:r w:rsidRPr="00257C76">
        <w:rPr>
          <w:lang w:val="en-US"/>
        </w:rPr>
        <w:t xml:space="preserve"> is the role of search</w:t>
      </w:r>
      <w:r w:rsidRPr="00257C76">
        <w:rPr>
          <w:b/>
          <w:bCs/>
          <w:lang w:val="en-US"/>
        </w:rPr>
        <w:t xml:space="preserve"> </w:t>
      </w:r>
      <w:r w:rsidRPr="00257C76">
        <w:rPr>
          <w:lang w:val="en-US"/>
        </w:rPr>
        <w:t>systems</w:t>
      </w:r>
      <w:r w:rsidRPr="00257C76">
        <w:rPr>
          <w:b/>
          <w:bCs/>
          <w:lang w:val="en-US"/>
        </w:rPr>
        <w:t xml:space="preserve"> </w:t>
      </w:r>
      <w:r w:rsidRPr="00257C76">
        <w:rPr>
          <w:lang w:val="en-US"/>
        </w:rPr>
        <w:t>and</w:t>
      </w:r>
      <w:r w:rsidRPr="00257C76">
        <w:rPr>
          <w:b/>
          <w:bCs/>
          <w:lang w:val="en-US"/>
        </w:rPr>
        <w:t xml:space="preserve"> </w:t>
      </w:r>
      <w:r w:rsidRPr="00257C76">
        <w:rPr>
          <w:lang w:val="en-US"/>
        </w:rPr>
        <w:t xml:space="preserve">metadata. Digital archives are </w:t>
      </w:r>
      <w:r w:rsidR="00160B41">
        <w:rPr>
          <w:lang w:val="en-US"/>
        </w:rPr>
        <w:t>made</w:t>
      </w:r>
      <w:r w:rsidRPr="00257C76">
        <w:rPr>
          <w:lang w:val="en-US"/>
        </w:rPr>
        <w:t xml:space="preserve"> </w:t>
      </w:r>
      <w:r w:rsidR="000D5F53" w:rsidRPr="00257C76">
        <w:rPr>
          <w:lang w:val="en-US"/>
        </w:rPr>
        <w:t>through structures</w:t>
      </w:r>
      <w:r w:rsidRPr="00257C76">
        <w:rPr>
          <w:lang w:val="en-US"/>
        </w:rPr>
        <w:t xml:space="preserve"> </w:t>
      </w:r>
      <w:r w:rsidR="005F7A5C">
        <w:rPr>
          <w:lang w:val="en-US"/>
        </w:rPr>
        <w:t xml:space="preserve">that </w:t>
      </w:r>
      <w:r w:rsidR="000D5F53">
        <w:rPr>
          <w:lang w:val="en-US"/>
        </w:rPr>
        <w:t>are made of</w:t>
      </w:r>
      <w:r w:rsidRPr="00257C76">
        <w:rPr>
          <w:lang w:val="en-US"/>
        </w:rPr>
        <w:t xml:space="preserve"> algorithms, and metadata. These </w:t>
      </w:r>
      <w:r w:rsidR="00422816">
        <w:rPr>
          <w:lang w:val="en-US"/>
        </w:rPr>
        <w:t>structures</w:t>
      </w:r>
      <w:r w:rsidRPr="00257C76">
        <w:rPr>
          <w:lang w:val="en-US"/>
        </w:rPr>
        <w:t xml:space="preserve"> </w:t>
      </w:r>
      <w:r w:rsidR="001A7D69">
        <w:rPr>
          <w:lang w:val="en-US"/>
        </w:rPr>
        <w:t>define</w:t>
      </w:r>
      <w:r w:rsidRPr="00257C76">
        <w:rPr>
          <w:lang w:val="en-US"/>
        </w:rPr>
        <w:t xml:space="preserve"> </w:t>
      </w:r>
      <w:r w:rsidR="00422816">
        <w:rPr>
          <w:lang w:val="en-US"/>
        </w:rPr>
        <w:t>specific</w:t>
      </w:r>
      <w:r w:rsidRPr="00257C76">
        <w:rPr>
          <w:lang w:val="en-US"/>
        </w:rPr>
        <w:t xml:space="preserve"> interpretations of the material before historians encounter the sources themselves. As a result, research becomes influenced by how information is </w:t>
      </w:r>
      <w:proofErr w:type="spellStart"/>
      <w:r w:rsidRPr="00257C76">
        <w:rPr>
          <w:lang w:val="en-US"/>
        </w:rPr>
        <w:t>organised</w:t>
      </w:r>
      <w:proofErr w:type="spellEnd"/>
      <w:r w:rsidRPr="00257C76">
        <w:rPr>
          <w:lang w:val="en-US"/>
        </w:rPr>
        <w:t xml:space="preserve"> and retrieved, rather than by the historian’s questions. Jensen’s framework highlights that historians must critically assess these tools, as they actively shape historical knowledge. </w:t>
      </w:r>
    </w:p>
    <w:p w14:paraId="5FFB8B7E" w14:textId="77777777" w:rsidR="003F2608" w:rsidRDefault="003F2608" w:rsidP="007D7757">
      <w:pPr>
        <w:rPr>
          <w:lang w:val="en-US"/>
        </w:rPr>
      </w:pPr>
    </w:p>
    <w:p w14:paraId="59312C4D" w14:textId="77777777" w:rsidR="00ED4C46" w:rsidRDefault="00ED4C46" w:rsidP="007D7757">
      <w:pPr>
        <w:rPr>
          <w:b/>
          <w:bCs/>
          <w:i/>
          <w:iCs/>
          <w:lang w:val="en-US"/>
        </w:rPr>
      </w:pPr>
    </w:p>
    <w:p w14:paraId="4C21A083" w14:textId="751A8D67" w:rsidR="007D7757" w:rsidRPr="007D7757" w:rsidRDefault="007D7757" w:rsidP="007D7757">
      <w:pPr>
        <w:rPr>
          <w:lang w:val="en-US"/>
        </w:rPr>
      </w:pPr>
      <w:r w:rsidRPr="007D7757">
        <w:rPr>
          <w:b/>
          <w:bCs/>
          <w:i/>
          <w:iCs/>
          <w:lang w:val="en-US"/>
        </w:rPr>
        <w:t>Part 2</w:t>
      </w:r>
      <w:r w:rsidR="00A753C2">
        <w:rPr>
          <w:b/>
          <w:bCs/>
          <w:i/>
          <w:iCs/>
          <w:lang w:val="en-US"/>
        </w:rPr>
        <w:t>: Manuel</w:t>
      </w:r>
    </w:p>
    <w:p w14:paraId="6EA45DFC" w14:textId="5B2AFDD1" w:rsidR="00481E3C" w:rsidRDefault="00481E3C" w:rsidP="00481E3C">
      <w:pPr>
        <w:pStyle w:val="Overskrift2"/>
        <w:rPr>
          <w:lang w:val="en-US"/>
        </w:rPr>
      </w:pPr>
      <w:r>
        <w:rPr>
          <w:lang w:val="en-US"/>
        </w:rPr>
        <w:t>B</w:t>
      </w:r>
      <w:r w:rsidR="007D7757" w:rsidRPr="007D7757">
        <w:rPr>
          <w:lang w:val="en-US"/>
        </w:rPr>
        <w:t>iographical details of the interviewee. </w:t>
      </w:r>
    </w:p>
    <w:p w14:paraId="5B472296" w14:textId="4B01D931" w:rsidR="00481E3C" w:rsidRDefault="00481E3C" w:rsidP="00481E3C">
      <w:pPr>
        <w:rPr>
          <w:lang w:val="en-US"/>
        </w:rPr>
      </w:pPr>
      <w:r w:rsidRPr="00481E3C">
        <w:rPr>
          <w:lang w:val="en-US"/>
        </w:rPr>
        <w:t xml:space="preserve">David Boder interviewed Anna Braun, a 40-year-old Mennonite born in Zaporozhe, Ukraine. Her father was the proprietor of a </w:t>
      </w:r>
      <w:r w:rsidR="007E4724">
        <w:rPr>
          <w:lang w:val="en-US"/>
        </w:rPr>
        <w:t>steam-powered flour mill</w:t>
      </w:r>
      <w:r w:rsidRPr="00481E3C">
        <w:rPr>
          <w:lang w:val="en-US"/>
        </w:rPr>
        <w:t xml:space="preserve">, and her mother’s occupation is </w:t>
      </w:r>
      <w:r w:rsidRPr="00481E3C">
        <w:rPr>
          <w:lang w:val="en-US"/>
        </w:rPr>
        <w:lastRenderedPageBreak/>
        <w:t>not clear. When the war started, she worked as a technical draftsman at a steel plant. Because she lived in Ukraine, she experienced the tide of the front line moving</w:t>
      </w:r>
      <w:r w:rsidR="007E4724">
        <w:rPr>
          <w:lang w:val="en-US"/>
        </w:rPr>
        <w:t>; sometimes</w:t>
      </w:r>
      <w:r w:rsidRPr="00481E3C">
        <w:rPr>
          <w:lang w:val="en-US"/>
        </w:rPr>
        <w:t xml:space="preserve"> </w:t>
      </w:r>
      <w:r w:rsidR="00262A42">
        <w:rPr>
          <w:lang w:val="en-US"/>
        </w:rPr>
        <w:t xml:space="preserve">was </w:t>
      </w:r>
      <w:r w:rsidRPr="00481E3C">
        <w:rPr>
          <w:lang w:val="en-US"/>
        </w:rPr>
        <w:t xml:space="preserve">the </w:t>
      </w:r>
      <w:r w:rsidR="007E4724">
        <w:rPr>
          <w:lang w:val="en-US"/>
        </w:rPr>
        <w:t>front line</w:t>
      </w:r>
      <w:r w:rsidRPr="00481E3C">
        <w:rPr>
          <w:lang w:val="en-US"/>
        </w:rPr>
        <w:t xml:space="preserve"> just 20 kilometers from her home. Six months after </w:t>
      </w:r>
      <w:r w:rsidR="00F0537A">
        <w:rPr>
          <w:lang w:val="en-US"/>
        </w:rPr>
        <w:t>her</w:t>
      </w:r>
      <w:r w:rsidRPr="00481E3C">
        <w:rPr>
          <w:lang w:val="en-US"/>
        </w:rPr>
        <w:t xml:space="preserve"> </w:t>
      </w:r>
      <w:r w:rsidR="00F0537A" w:rsidRPr="00481E3C">
        <w:rPr>
          <w:lang w:val="en-US"/>
        </w:rPr>
        <w:t>ma</w:t>
      </w:r>
      <w:r w:rsidR="00F0537A">
        <w:rPr>
          <w:lang w:val="en-US"/>
        </w:rPr>
        <w:t>rriage</w:t>
      </w:r>
      <w:r w:rsidRPr="00481E3C">
        <w:rPr>
          <w:lang w:val="en-US"/>
        </w:rPr>
        <w:t>, her husband was arrested by the Russians.</w:t>
      </w:r>
      <w:r w:rsidRPr="00271556">
        <w:rPr>
          <w:rStyle w:val="Fodnotehenvisning"/>
          <w:lang w:val="en-US"/>
        </w:rPr>
        <w:footnoteReference w:id="2"/>
      </w:r>
    </w:p>
    <w:p w14:paraId="74BE636D" w14:textId="5AD5C348" w:rsidR="00481E3C" w:rsidRDefault="009959C6" w:rsidP="00481E3C">
      <w:pPr>
        <w:rPr>
          <w:lang w:val="en-US"/>
        </w:rPr>
      </w:pPr>
      <w:r>
        <w:rPr>
          <w:rStyle w:val="Overskrift2Tegn"/>
          <w:lang w:val="en-US"/>
        </w:rPr>
        <w:t>P</w:t>
      </w:r>
      <w:r w:rsidR="007D7757" w:rsidRPr="00481E3C">
        <w:rPr>
          <w:rStyle w:val="Overskrift2Tegn"/>
          <w:lang w:val="en-US"/>
        </w:rPr>
        <w:t>rovenance of the source</w:t>
      </w:r>
      <w:r w:rsidR="007D7757" w:rsidRPr="007D7757">
        <w:rPr>
          <w:lang w:val="en-US"/>
        </w:rPr>
        <w:t xml:space="preserve">. </w:t>
      </w:r>
    </w:p>
    <w:p w14:paraId="228FBE41" w14:textId="05F1E743" w:rsidR="008652D9" w:rsidRDefault="008652D9" w:rsidP="00481E3C">
      <w:pPr>
        <w:rPr>
          <w:lang w:val="en-US"/>
        </w:rPr>
      </w:pPr>
      <w:r>
        <w:rPr>
          <w:lang w:val="en-US"/>
        </w:rPr>
        <w:t xml:space="preserve">The author </w:t>
      </w:r>
      <w:r w:rsidR="00B85398">
        <w:rPr>
          <w:lang w:val="en-US"/>
        </w:rPr>
        <w:t xml:space="preserve">has </w:t>
      </w:r>
      <w:r w:rsidR="00D570D1">
        <w:rPr>
          <w:lang w:val="en-US"/>
        </w:rPr>
        <w:t>made the decision</w:t>
      </w:r>
      <w:r>
        <w:rPr>
          <w:lang w:val="en-US"/>
        </w:rPr>
        <w:t xml:space="preserve"> to go into detail by explaining what Mennonites are and why they were persecuted by the Soviet Union. This must have been a conscious decision, as it could have been left out, and the reader could have found that information elsewhere. The metadata’s description</w:t>
      </w:r>
      <w:r w:rsidR="00754B5D">
        <w:rPr>
          <w:lang w:val="en-US"/>
        </w:rPr>
        <w:t xml:space="preserve"> section</w:t>
      </w:r>
      <w:r>
        <w:rPr>
          <w:lang w:val="en-US"/>
        </w:rPr>
        <w:t xml:space="preserve"> also includes </w:t>
      </w:r>
      <w:r w:rsidR="00754B5D">
        <w:rPr>
          <w:lang w:val="en-US"/>
        </w:rPr>
        <w:t>information about events outside of the time period, the “Subject” section has given. It describes how the interviewee’s father was killed following the 1917 communist revolution.</w:t>
      </w:r>
    </w:p>
    <w:p w14:paraId="44374565" w14:textId="5339A947" w:rsidR="009F1461" w:rsidRDefault="008812A8" w:rsidP="00481E3C">
      <w:pPr>
        <w:rPr>
          <w:lang w:val="en-US"/>
        </w:rPr>
      </w:pPr>
      <w:r>
        <w:rPr>
          <w:lang w:val="en-US"/>
        </w:rPr>
        <w:t>Some of the metadata, provided by the archive</w:t>
      </w:r>
      <w:r w:rsidR="002E791C">
        <w:rPr>
          <w:lang w:val="en-US"/>
        </w:rPr>
        <w:t>,</w:t>
      </w:r>
      <w:r>
        <w:rPr>
          <w:lang w:val="en-US"/>
        </w:rPr>
        <w:t xml:space="preserve"> is also tags for what the subject of the interview is. </w:t>
      </w:r>
      <w:r w:rsidR="00C24AFF">
        <w:rPr>
          <w:lang w:val="en-US"/>
        </w:rPr>
        <w:t xml:space="preserve">It is marked as a couple of different things, but nowhere is it marked to be anything about the </w:t>
      </w:r>
      <w:r w:rsidR="00493C07">
        <w:rPr>
          <w:lang w:val="en-US"/>
        </w:rPr>
        <w:t>Soviet Union</w:t>
      </w:r>
      <w:r w:rsidR="00E65771">
        <w:rPr>
          <w:lang w:val="en-US"/>
        </w:rPr>
        <w:t xml:space="preserve">, although a lot of Anna </w:t>
      </w:r>
      <w:r w:rsidR="00185E6C">
        <w:rPr>
          <w:lang w:val="en-US"/>
        </w:rPr>
        <w:t>Braun's</w:t>
      </w:r>
      <w:r w:rsidR="00E65771">
        <w:rPr>
          <w:lang w:val="en-US"/>
        </w:rPr>
        <w:t xml:space="preserve"> trauma stemmed from </w:t>
      </w:r>
      <w:r w:rsidR="00E8178A">
        <w:rPr>
          <w:lang w:val="en-US"/>
        </w:rPr>
        <w:t>interaction with it. This shows that the archive</w:t>
      </w:r>
      <w:r w:rsidR="007727E1">
        <w:rPr>
          <w:lang w:val="en-US"/>
        </w:rPr>
        <w:t xml:space="preserve">, or rather the people behind the archive, have a narrative they are trying to </w:t>
      </w:r>
      <w:r w:rsidR="001F1F03">
        <w:rPr>
          <w:lang w:val="en-US"/>
        </w:rPr>
        <w:t>show. As it is a part of “Voices of the Holocaust</w:t>
      </w:r>
      <w:r w:rsidR="0010581A">
        <w:rPr>
          <w:lang w:val="en-US"/>
        </w:rPr>
        <w:t>,</w:t>
      </w:r>
      <w:r w:rsidR="001F1F03">
        <w:rPr>
          <w:lang w:val="en-US"/>
        </w:rPr>
        <w:t xml:space="preserve">” it makes sense that the tags are also focused </w:t>
      </w:r>
      <w:r w:rsidR="0010581A">
        <w:rPr>
          <w:lang w:val="en-US"/>
        </w:rPr>
        <w:t>on</w:t>
      </w:r>
      <w:r w:rsidR="001F1F03">
        <w:rPr>
          <w:lang w:val="en-US"/>
        </w:rPr>
        <w:t xml:space="preserve"> how it relates to the Holocaust.</w:t>
      </w:r>
    </w:p>
    <w:p w14:paraId="09091E19" w14:textId="3C72E6F8" w:rsidR="00366675" w:rsidRDefault="0040127F" w:rsidP="006B1193">
      <w:pPr>
        <w:rPr>
          <w:lang w:val="en-US"/>
        </w:rPr>
      </w:pPr>
      <w:r>
        <w:rPr>
          <w:lang w:val="en-US"/>
        </w:rPr>
        <w:t xml:space="preserve">While the transcripts can include </w:t>
      </w:r>
      <w:r w:rsidR="00C52D05">
        <w:rPr>
          <w:lang w:val="en-US"/>
        </w:rPr>
        <w:t xml:space="preserve">information about what can be heard other than words in a recording, each listener might interpret it differently. By </w:t>
      </w:r>
      <w:r w:rsidR="005F7543">
        <w:rPr>
          <w:lang w:val="en-US"/>
        </w:rPr>
        <w:t xml:space="preserve">directly listening to a recording, the listener won’t be affected by how someone else </w:t>
      </w:r>
      <w:r w:rsidR="00963F25">
        <w:rPr>
          <w:lang w:val="en-US"/>
        </w:rPr>
        <w:t>interprets</w:t>
      </w:r>
      <w:r w:rsidR="00003B6D">
        <w:rPr>
          <w:lang w:val="en-US"/>
        </w:rPr>
        <w:t xml:space="preserve"> how a voice might be </w:t>
      </w:r>
      <w:r w:rsidR="001A29E2">
        <w:rPr>
          <w:lang w:val="en-US"/>
        </w:rPr>
        <w:t>trembling.</w:t>
      </w:r>
      <w:r w:rsidR="00A02DFF">
        <w:rPr>
          <w:lang w:val="en-US"/>
        </w:rPr>
        <w:t xml:space="preserve"> The transcript can tell us that the interviewee holds a long pause, but it </w:t>
      </w:r>
      <w:r w:rsidR="002A7C77">
        <w:rPr>
          <w:lang w:val="en-US"/>
        </w:rPr>
        <w:t xml:space="preserve">might not tell us exactly how long. Even if it said the interviewee held her breath for </w:t>
      </w:r>
      <w:r w:rsidR="00C158ED">
        <w:rPr>
          <w:lang w:val="en-US"/>
        </w:rPr>
        <w:t xml:space="preserve">5 seconds, it </w:t>
      </w:r>
      <w:r w:rsidR="00455730">
        <w:rPr>
          <w:lang w:val="en-US"/>
        </w:rPr>
        <w:t xml:space="preserve">wouldn’t capture </w:t>
      </w:r>
      <w:r w:rsidR="00E44553">
        <w:rPr>
          <w:lang w:val="en-US"/>
        </w:rPr>
        <w:t xml:space="preserve">what that length of a pause means. People speak at different paces. If someone who speaks really fast, suddenly </w:t>
      </w:r>
      <w:r w:rsidR="001D7A57">
        <w:rPr>
          <w:lang w:val="en-US"/>
        </w:rPr>
        <w:t xml:space="preserve">stops up, it is way different than if someone who </w:t>
      </w:r>
      <w:r w:rsidR="00CB67AA">
        <w:rPr>
          <w:lang w:val="en-US"/>
        </w:rPr>
        <w:t>talks</w:t>
      </w:r>
      <w:r w:rsidR="001D7A57">
        <w:rPr>
          <w:lang w:val="en-US"/>
        </w:rPr>
        <w:t xml:space="preserve"> slowly and with many pauses </w:t>
      </w:r>
      <w:r w:rsidR="000E52F5">
        <w:rPr>
          <w:lang w:val="en-US"/>
        </w:rPr>
        <w:t xml:space="preserve">stops up for the same amount of time. The audio will be able to capture </w:t>
      </w:r>
      <w:r w:rsidR="00F625B5">
        <w:rPr>
          <w:lang w:val="en-US"/>
        </w:rPr>
        <w:t xml:space="preserve">a bigger picture and more context </w:t>
      </w:r>
      <w:r w:rsidR="001F5BEA">
        <w:rPr>
          <w:lang w:val="en-US"/>
        </w:rPr>
        <w:t>for</w:t>
      </w:r>
      <w:r w:rsidR="00F625B5">
        <w:rPr>
          <w:lang w:val="en-US"/>
        </w:rPr>
        <w:t xml:space="preserve"> everything in the interview.</w:t>
      </w:r>
      <w:r w:rsidR="001D7A57">
        <w:rPr>
          <w:lang w:val="en-US"/>
        </w:rPr>
        <w:t xml:space="preserve"> </w:t>
      </w:r>
    </w:p>
    <w:p w14:paraId="41102382" w14:textId="7DE62638" w:rsidR="007D7757" w:rsidRPr="00E26C68" w:rsidRDefault="007D7757" w:rsidP="00E26C68">
      <w:pPr>
        <w:pStyle w:val="Overskrift2"/>
        <w:rPr>
          <w:lang w:val="en-US"/>
        </w:rPr>
      </w:pPr>
      <w:r w:rsidRPr="007D7757">
        <w:rPr>
          <w:lang w:val="en-US"/>
        </w:rPr>
        <w:t xml:space="preserve">What are the implications of using interview recordings as a historical source? </w:t>
      </w:r>
    </w:p>
    <w:p w14:paraId="383060EA" w14:textId="73416D04" w:rsidR="007D7757" w:rsidRDefault="00697DCD" w:rsidP="007D7757">
      <w:pPr>
        <w:rPr>
          <w:lang w:val="en-US"/>
        </w:rPr>
      </w:pPr>
      <w:r>
        <w:rPr>
          <w:lang w:val="en-US"/>
        </w:rPr>
        <w:t xml:space="preserve">At first glance, interview recordings </w:t>
      </w:r>
      <w:r w:rsidR="00362A81">
        <w:rPr>
          <w:lang w:val="en-US"/>
        </w:rPr>
        <w:t xml:space="preserve">might not seem like a great historical source, as transcriptions would be </w:t>
      </w:r>
      <w:r w:rsidR="00D14793">
        <w:rPr>
          <w:lang w:val="en-US"/>
        </w:rPr>
        <w:t xml:space="preserve">an easier source to work </w:t>
      </w:r>
      <w:r w:rsidR="00661EF2">
        <w:rPr>
          <w:lang w:val="en-US"/>
        </w:rPr>
        <w:t xml:space="preserve">with </w:t>
      </w:r>
      <w:r w:rsidR="002C3B2C">
        <w:rPr>
          <w:lang w:val="en-US"/>
        </w:rPr>
        <w:t xml:space="preserve">because you can search for text. However, this issue is solved </w:t>
      </w:r>
      <w:r w:rsidR="000A4A61">
        <w:rPr>
          <w:lang w:val="en-US"/>
        </w:rPr>
        <w:t>on Illinois Institute of Technology’s platform</w:t>
      </w:r>
      <w:r w:rsidR="00657476">
        <w:rPr>
          <w:lang w:val="en-US"/>
        </w:rPr>
        <w:t xml:space="preserve">, because the transcripts directly link to timestamps in the recording. </w:t>
      </w:r>
    </w:p>
    <w:p w14:paraId="7E7CBC16" w14:textId="678AA4ED" w:rsidR="00263C1B" w:rsidRDefault="00EA6D3A" w:rsidP="007D7757">
      <w:pPr>
        <w:rPr>
          <w:lang w:val="en-US"/>
        </w:rPr>
      </w:pPr>
      <w:r>
        <w:rPr>
          <w:lang w:val="en-US"/>
        </w:rPr>
        <w:lastRenderedPageBreak/>
        <w:t xml:space="preserve">Interview recordings </w:t>
      </w:r>
      <w:r w:rsidR="006A21AB">
        <w:rPr>
          <w:lang w:val="en-US"/>
        </w:rPr>
        <w:t>have</w:t>
      </w:r>
      <w:r>
        <w:rPr>
          <w:lang w:val="en-US"/>
        </w:rPr>
        <w:t xml:space="preserve"> an unquantifiable character</w:t>
      </w:r>
      <w:r w:rsidR="00244B33">
        <w:rPr>
          <w:lang w:val="en-US"/>
        </w:rPr>
        <w:t xml:space="preserve">, which transcripts will never have. The sound of someone’s voice </w:t>
      </w:r>
      <w:r w:rsidR="001717A9">
        <w:rPr>
          <w:lang w:val="en-US"/>
        </w:rPr>
        <w:t xml:space="preserve">might be able to convey a message </w:t>
      </w:r>
      <w:r w:rsidR="004F39BA">
        <w:rPr>
          <w:lang w:val="en-US"/>
        </w:rPr>
        <w:t>by itself, which would take a lot of explanation to write down in a transcript.</w:t>
      </w:r>
      <w:r w:rsidR="00676A25">
        <w:rPr>
          <w:lang w:val="en-US"/>
        </w:rPr>
        <w:t xml:space="preserve"> Two listeners might interpret the interviewee’s voice differently from each other. </w:t>
      </w:r>
    </w:p>
    <w:p w14:paraId="0B1BD04E" w14:textId="6F8E3ACC" w:rsidR="007D7757" w:rsidRPr="00FB5B51" w:rsidRDefault="00C06799" w:rsidP="007D7757">
      <w:pPr>
        <w:rPr>
          <w:lang w:val="en-US"/>
        </w:rPr>
      </w:pPr>
      <w:r>
        <w:rPr>
          <w:lang w:val="en-US"/>
        </w:rPr>
        <w:t xml:space="preserve">David P. Boder’s </w:t>
      </w:r>
      <w:r w:rsidR="000B73B7">
        <w:rPr>
          <w:lang w:val="en-US"/>
        </w:rPr>
        <w:t>interviews carry a lot of emotions</w:t>
      </w:r>
      <w:r w:rsidR="00292B04">
        <w:rPr>
          <w:lang w:val="en-US"/>
        </w:rPr>
        <w:t>,</w:t>
      </w:r>
      <w:r w:rsidR="00EA19E6">
        <w:rPr>
          <w:lang w:val="en-US"/>
        </w:rPr>
        <w:t xml:space="preserve"> highlighted by the </w:t>
      </w:r>
      <w:r w:rsidR="003D6FF0">
        <w:rPr>
          <w:lang w:val="en-US"/>
        </w:rPr>
        <w:t>interviewees'</w:t>
      </w:r>
      <w:r w:rsidR="00EA19E6">
        <w:rPr>
          <w:lang w:val="en-US"/>
        </w:rPr>
        <w:t xml:space="preserve"> hesitati</w:t>
      </w:r>
      <w:r w:rsidR="003D6FF0">
        <w:rPr>
          <w:lang w:val="en-US"/>
        </w:rPr>
        <w:t>on</w:t>
      </w:r>
      <w:r w:rsidR="00EA19E6">
        <w:rPr>
          <w:lang w:val="en-US"/>
        </w:rPr>
        <w:t xml:space="preserve"> to answer certain questions and </w:t>
      </w:r>
      <w:r w:rsidR="00493C07">
        <w:rPr>
          <w:lang w:val="en-US"/>
        </w:rPr>
        <w:t>cry</w:t>
      </w:r>
      <w:r w:rsidR="00EA19E6">
        <w:rPr>
          <w:lang w:val="en-US"/>
        </w:rPr>
        <w:t xml:space="preserve"> when answering </w:t>
      </w:r>
      <w:r w:rsidR="00721AAE">
        <w:rPr>
          <w:lang w:val="en-US"/>
        </w:rPr>
        <w:t>some</w:t>
      </w:r>
      <w:r w:rsidR="00EA19E6">
        <w:rPr>
          <w:lang w:val="en-US"/>
        </w:rPr>
        <w:t xml:space="preserve"> questions.</w:t>
      </w:r>
      <w:r w:rsidR="005B23E4">
        <w:rPr>
          <w:lang w:val="en-US"/>
        </w:rPr>
        <w:t xml:space="preserve"> This, however, </w:t>
      </w:r>
      <w:r w:rsidR="00721AAE">
        <w:rPr>
          <w:lang w:val="en-US"/>
        </w:rPr>
        <w:t xml:space="preserve">does not </w:t>
      </w:r>
      <w:r w:rsidR="004C2AD2">
        <w:rPr>
          <w:lang w:val="en-US"/>
        </w:rPr>
        <w:t xml:space="preserve">make the recordings better at delivering cold facts than other historical sources. </w:t>
      </w:r>
      <w:r w:rsidR="0059455B">
        <w:rPr>
          <w:lang w:val="en-US"/>
        </w:rPr>
        <w:t xml:space="preserve">The recorded interviews </w:t>
      </w:r>
      <w:r w:rsidR="001A3AAD">
        <w:rPr>
          <w:lang w:val="en-US"/>
        </w:rPr>
        <w:t xml:space="preserve">will be a better historical source for </w:t>
      </w:r>
      <w:r w:rsidR="005A76C3">
        <w:rPr>
          <w:lang w:val="en-US"/>
        </w:rPr>
        <w:t xml:space="preserve">the people’s subjective </w:t>
      </w:r>
      <w:r w:rsidR="00ED7BFB">
        <w:rPr>
          <w:lang w:val="en-US"/>
        </w:rPr>
        <w:t>experience</w:t>
      </w:r>
      <w:r w:rsidR="00730C09">
        <w:rPr>
          <w:lang w:val="en-US"/>
        </w:rPr>
        <w:t xml:space="preserve">s. </w:t>
      </w:r>
      <w:r w:rsidR="00557C0A">
        <w:rPr>
          <w:lang w:val="en-US"/>
        </w:rPr>
        <w:br/>
        <w:t xml:space="preserve">To find an answer to whether a recorded interview is a good historical source, </w:t>
      </w:r>
      <w:r w:rsidR="006E7B3D">
        <w:rPr>
          <w:lang w:val="en-US"/>
        </w:rPr>
        <w:t>the historian</w:t>
      </w:r>
      <w:r w:rsidR="00557C0A">
        <w:rPr>
          <w:lang w:val="en-US"/>
        </w:rPr>
        <w:t xml:space="preserve"> must decide </w:t>
      </w:r>
      <w:r w:rsidR="006E7B3D">
        <w:rPr>
          <w:lang w:val="en-US"/>
        </w:rPr>
        <w:t xml:space="preserve">what part of the history they want to convey. </w:t>
      </w:r>
      <w:r w:rsidR="00291B25">
        <w:rPr>
          <w:lang w:val="en-US"/>
        </w:rPr>
        <w:t xml:space="preserve">Perhaps an audio recording is of no use to the </w:t>
      </w:r>
      <w:r w:rsidR="008B631A">
        <w:rPr>
          <w:lang w:val="en-US"/>
        </w:rPr>
        <w:t>historians</w:t>
      </w:r>
      <w:r w:rsidR="00291B25">
        <w:rPr>
          <w:lang w:val="en-US"/>
        </w:rPr>
        <w:t xml:space="preserve"> if they only want to convey </w:t>
      </w:r>
      <w:r w:rsidR="008E645E">
        <w:rPr>
          <w:lang w:val="en-US"/>
        </w:rPr>
        <w:t xml:space="preserve">the hard facts of what happened. </w:t>
      </w:r>
      <w:r w:rsidR="00FA160E">
        <w:rPr>
          <w:lang w:val="en-US"/>
        </w:rPr>
        <w:t xml:space="preserve">The risk of never using such sources is that the historian might become distanced from the </w:t>
      </w:r>
      <w:r w:rsidR="006A21AB">
        <w:rPr>
          <w:lang w:val="en-US"/>
        </w:rPr>
        <w:t>tragedies</w:t>
      </w:r>
      <w:r w:rsidR="00FA160E">
        <w:rPr>
          <w:lang w:val="en-US"/>
        </w:rPr>
        <w:t xml:space="preserve"> they are covering</w:t>
      </w:r>
      <w:r w:rsidR="00FB5B51">
        <w:rPr>
          <w:lang w:val="en-US"/>
        </w:rPr>
        <w:t>.</w:t>
      </w:r>
    </w:p>
    <w:p w14:paraId="61A42E06" w14:textId="77777777" w:rsidR="00551BF3" w:rsidRDefault="00551BF3" w:rsidP="007D7757">
      <w:pPr>
        <w:rPr>
          <w:b/>
          <w:bCs/>
          <w:i/>
          <w:iCs/>
          <w:lang w:val="en-US"/>
        </w:rPr>
      </w:pPr>
    </w:p>
    <w:p w14:paraId="2F2D642A" w14:textId="77777777" w:rsidR="00551BF3" w:rsidRDefault="00551BF3" w:rsidP="007D7757">
      <w:pPr>
        <w:rPr>
          <w:b/>
          <w:bCs/>
          <w:i/>
          <w:iCs/>
          <w:lang w:val="en-US"/>
        </w:rPr>
      </w:pPr>
    </w:p>
    <w:p w14:paraId="7200457E" w14:textId="77777777" w:rsidR="00551BF3" w:rsidRDefault="00551BF3" w:rsidP="007D7757">
      <w:pPr>
        <w:rPr>
          <w:b/>
          <w:bCs/>
          <w:i/>
          <w:iCs/>
          <w:lang w:val="en-US"/>
        </w:rPr>
      </w:pPr>
    </w:p>
    <w:p w14:paraId="6006C191" w14:textId="77777777" w:rsidR="00551BF3" w:rsidRDefault="00551BF3" w:rsidP="007D7757">
      <w:pPr>
        <w:rPr>
          <w:b/>
          <w:bCs/>
          <w:i/>
          <w:iCs/>
          <w:lang w:val="en-US"/>
        </w:rPr>
      </w:pPr>
    </w:p>
    <w:p w14:paraId="7D135CD9" w14:textId="77777777" w:rsidR="00551BF3" w:rsidRDefault="00551BF3" w:rsidP="007D7757">
      <w:pPr>
        <w:rPr>
          <w:b/>
          <w:bCs/>
          <w:i/>
          <w:iCs/>
          <w:lang w:val="en-US"/>
        </w:rPr>
      </w:pPr>
    </w:p>
    <w:p w14:paraId="6123E49E" w14:textId="77777777" w:rsidR="00551BF3" w:rsidRDefault="00551BF3" w:rsidP="007D7757">
      <w:pPr>
        <w:rPr>
          <w:b/>
          <w:bCs/>
          <w:i/>
          <w:iCs/>
          <w:lang w:val="en-US"/>
        </w:rPr>
      </w:pPr>
    </w:p>
    <w:p w14:paraId="443D40F4" w14:textId="77777777" w:rsidR="00551BF3" w:rsidRDefault="00551BF3" w:rsidP="007D7757">
      <w:pPr>
        <w:rPr>
          <w:b/>
          <w:bCs/>
          <w:i/>
          <w:iCs/>
          <w:lang w:val="en-US"/>
        </w:rPr>
      </w:pPr>
    </w:p>
    <w:p w14:paraId="5CCD11E0" w14:textId="77777777" w:rsidR="00551BF3" w:rsidRDefault="00551BF3" w:rsidP="007D7757">
      <w:pPr>
        <w:rPr>
          <w:b/>
          <w:bCs/>
          <w:i/>
          <w:iCs/>
          <w:lang w:val="en-US"/>
        </w:rPr>
      </w:pPr>
    </w:p>
    <w:p w14:paraId="4FB6CF69" w14:textId="77777777" w:rsidR="00551BF3" w:rsidRDefault="00551BF3" w:rsidP="007D7757">
      <w:pPr>
        <w:rPr>
          <w:b/>
          <w:bCs/>
          <w:i/>
          <w:iCs/>
          <w:lang w:val="en-US"/>
        </w:rPr>
      </w:pPr>
    </w:p>
    <w:p w14:paraId="338C6082" w14:textId="77777777" w:rsidR="00551BF3" w:rsidRDefault="00551BF3" w:rsidP="007D7757">
      <w:pPr>
        <w:rPr>
          <w:b/>
          <w:bCs/>
          <w:i/>
          <w:iCs/>
          <w:lang w:val="en-US"/>
        </w:rPr>
      </w:pPr>
    </w:p>
    <w:p w14:paraId="0F1590B4" w14:textId="3401BCC0" w:rsidR="77CC0691" w:rsidRDefault="77CC0691" w:rsidP="77CC0691">
      <w:pPr>
        <w:rPr>
          <w:b/>
          <w:bCs/>
          <w:i/>
          <w:iCs/>
          <w:lang w:val="en-US"/>
        </w:rPr>
      </w:pPr>
    </w:p>
    <w:p w14:paraId="232F09D2" w14:textId="61AEE014" w:rsidR="007D7757" w:rsidRPr="00C260ED" w:rsidRDefault="007D7757" w:rsidP="007D7757">
      <w:pPr>
        <w:rPr>
          <w:lang w:val="en-US"/>
        </w:rPr>
      </w:pPr>
      <w:r w:rsidRPr="007D7757">
        <w:rPr>
          <w:b/>
          <w:bCs/>
          <w:i/>
          <w:iCs/>
          <w:lang w:val="en-US"/>
        </w:rPr>
        <w:t>Part 3</w:t>
      </w:r>
      <w:r w:rsidRPr="00C260ED">
        <w:rPr>
          <w:b/>
          <w:bCs/>
          <w:i/>
          <w:iCs/>
          <w:lang w:val="en-US"/>
        </w:rPr>
        <w:t> </w:t>
      </w:r>
      <w:r w:rsidR="00563B14" w:rsidRPr="00C260ED">
        <w:rPr>
          <w:b/>
          <w:bCs/>
          <w:i/>
          <w:iCs/>
          <w:lang w:val="en-US"/>
        </w:rPr>
        <w:t>Manuel and Conrad</w:t>
      </w:r>
    </w:p>
    <w:p w14:paraId="487A99C6" w14:textId="54216CDC" w:rsidR="006F5F9C" w:rsidRDefault="00F645A2" w:rsidP="007D7757">
      <w:pPr>
        <w:rPr>
          <w:lang w:val="en-US"/>
        </w:rPr>
      </w:pPr>
      <w:r>
        <w:rPr>
          <w:lang w:val="en-US"/>
        </w:rPr>
        <w:t xml:space="preserve">Historical research </w:t>
      </w:r>
      <w:r w:rsidR="00F831D9">
        <w:rPr>
          <w:lang w:val="en-US"/>
        </w:rPr>
        <w:t xml:space="preserve">in the digital age requires an understanding of how the </w:t>
      </w:r>
      <w:r w:rsidR="00493C07">
        <w:rPr>
          <w:lang w:val="en-US"/>
        </w:rPr>
        <w:t>media</w:t>
      </w:r>
      <w:r w:rsidR="00F831D9">
        <w:rPr>
          <w:lang w:val="en-US"/>
        </w:rPr>
        <w:t xml:space="preserve"> shapes </w:t>
      </w:r>
      <w:r w:rsidR="00E355D8">
        <w:rPr>
          <w:lang w:val="en-US"/>
        </w:rPr>
        <w:t xml:space="preserve">the source’s message. To conduct </w:t>
      </w:r>
      <w:r w:rsidR="00223783">
        <w:rPr>
          <w:lang w:val="en-US"/>
        </w:rPr>
        <w:t>thorough research, historians must distinguish between digitized historical</w:t>
      </w:r>
      <w:r w:rsidR="00363CB9">
        <w:rPr>
          <w:lang w:val="en-US"/>
        </w:rPr>
        <w:t xml:space="preserve"> sources and reborn digital sources. Digitized historical sources are </w:t>
      </w:r>
      <w:r w:rsidR="004436A7">
        <w:rPr>
          <w:lang w:val="en-US"/>
        </w:rPr>
        <w:t xml:space="preserve">analogue sources converted to digital formats. Reborn digital sources are </w:t>
      </w:r>
      <w:r w:rsidR="00650547">
        <w:rPr>
          <w:lang w:val="en-US"/>
        </w:rPr>
        <w:t xml:space="preserve">created digitally </w:t>
      </w:r>
      <w:r w:rsidR="00650547">
        <w:rPr>
          <w:lang w:val="en-US"/>
        </w:rPr>
        <w:lastRenderedPageBreak/>
        <w:t xml:space="preserve">and preserved in digital archives. </w:t>
      </w:r>
      <w:r w:rsidR="00614BC9">
        <w:rPr>
          <w:lang w:val="en-US"/>
        </w:rPr>
        <w:t xml:space="preserve">While </w:t>
      </w:r>
      <w:r w:rsidR="00493C07">
        <w:rPr>
          <w:lang w:val="en-US"/>
        </w:rPr>
        <w:t>both</w:t>
      </w:r>
      <w:r w:rsidR="00614BC9">
        <w:rPr>
          <w:lang w:val="en-US"/>
        </w:rPr>
        <w:t xml:space="preserve"> require what </w:t>
      </w:r>
      <w:r w:rsidR="00205A1F">
        <w:rPr>
          <w:lang w:val="en-US"/>
        </w:rPr>
        <w:t xml:space="preserve">Helle Strandgaard Jensen calls </w:t>
      </w:r>
      <w:r w:rsidR="00D662F1">
        <w:rPr>
          <w:lang w:val="en-US"/>
        </w:rPr>
        <w:t xml:space="preserve">“digital archival literacy,” they </w:t>
      </w:r>
      <w:r w:rsidR="003C114A">
        <w:rPr>
          <w:lang w:val="en-US"/>
        </w:rPr>
        <w:t>present</w:t>
      </w:r>
      <w:r w:rsidR="002753BA">
        <w:rPr>
          <w:lang w:val="en-US"/>
        </w:rPr>
        <w:t xml:space="preserve"> their own,</w:t>
      </w:r>
      <w:r w:rsidR="003C114A">
        <w:rPr>
          <w:lang w:val="en-US"/>
        </w:rPr>
        <w:t xml:space="preserve"> </w:t>
      </w:r>
      <w:r w:rsidR="00D662F1">
        <w:rPr>
          <w:lang w:val="en-US"/>
        </w:rPr>
        <w:t>distinct challenges</w:t>
      </w:r>
      <w:r w:rsidR="003C114A">
        <w:rPr>
          <w:lang w:val="en-US"/>
        </w:rPr>
        <w:t>.</w:t>
      </w:r>
      <w:r w:rsidR="002753BA" w:rsidRPr="00271556">
        <w:rPr>
          <w:rStyle w:val="Fodnotehenvisning"/>
          <w:lang w:val="en-US"/>
        </w:rPr>
        <w:footnoteReference w:id="3"/>
      </w:r>
    </w:p>
    <w:p w14:paraId="5B3E6CFD" w14:textId="77777777" w:rsidR="006F5F9C" w:rsidRDefault="007D7757" w:rsidP="00973A0B">
      <w:pPr>
        <w:pStyle w:val="Overskrift2"/>
        <w:rPr>
          <w:lang w:val="en-US"/>
        </w:rPr>
      </w:pPr>
      <w:r w:rsidRPr="016C9B80">
        <w:rPr>
          <w:lang w:val="en-US"/>
        </w:rPr>
        <w:t>Should these sources be treated differently when conducting historical research?</w:t>
      </w:r>
    </w:p>
    <w:p w14:paraId="06E68E4E" w14:textId="688535CB" w:rsidR="144EA645" w:rsidRDefault="144EA645" w:rsidP="05B6732D">
      <w:pPr>
        <w:rPr>
          <w:lang w:val="en-US"/>
        </w:rPr>
      </w:pPr>
      <w:r w:rsidRPr="05B6732D">
        <w:rPr>
          <w:lang w:val="en-US"/>
        </w:rPr>
        <w:t>They shall indeed be treated differently</w:t>
      </w:r>
      <w:r w:rsidR="00E97EEA">
        <w:rPr>
          <w:lang w:val="en-US"/>
        </w:rPr>
        <w:t>,</w:t>
      </w:r>
      <w:r w:rsidRPr="05B6732D">
        <w:rPr>
          <w:lang w:val="en-US"/>
        </w:rPr>
        <w:t xml:space="preserve"> even though they</w:t>
      </w:r>
      <w:r w:rsidR="4492658D" w:rsidRPr="05B6732D">
        <w:rPr>
          <w:lang w:val="en-US"/>
        </w:rPr>
        <w:t xml:space="preserve"> both </w:t>
      </w:r>
      <w:r w:rsidR="00F05D57">
        <w:rPr>
          <w:lang w:val="en-US"/>
        </w:rPr>
        <w:t>demand what Jensen calls</w:t>
      </w:r>
      <w:r w:rsidR="4492658D" w:rsidRPr="05B6732D">
        <w:rPr>
          <w:lang w:val="en-US"/>
        </w:rPr>
        <w:t xml:space="preserve"> </w:t>
      </w:r>
      <w:r w:rsidR="70CB0E05" w:rsidRPr="05B6732D">
        <w:rPr>
          <w:lang w:val="en-US"/>
        </w:rPr>
        <w:t>“digital</w:t>
      </w:r>
      <w:r w:rsidR="4492658D" w:rsidRPr="05B6732D">
        <w:rPr>
          <w:lang w:val="en-US"/>
        </w:rPr>
        <w:t xml:space="preserve"> archival literacy</w:t>
      </w:r>
      <w:r w:rsidR="000E5B6E">
        <w:rPr>
          <w:lang w:val="en-US"/>
        </w:rPr>
        <w:t>.</w:t>
      </w:r>
      <w:r w:rsidR="4492658D" w:rsidRPr="05B6732D">
        <w:rPr>
          <w:lang w:val="en-US"/>
        </w:rPr>
        <w:t>”</w:t>
      </w:r>
      <w:r w:rsidR="00770460" w:rsidRPr="00271556">
        <w:rPr>
          <w:rStyle w:val="Fodnotehenvisning"/>
          <w:lang w:val="en-US"/>
        </w:rPr>
        <w:footnoteReference w:id="4"/>
      </w:r>
      <w:r w:rsidR="00770460">
        <w:rPr>
          <w:lang w:val="en-US"/>
        </w:rPr>
        <w:t xml:space="preserve"> </w:t>
      </w:r>
      <w:r w:rsidR="00333874">
        <w:rPr>
          <w:lang w:val="en-US"/>
        </w:rPr>
        <w:t xml:space="preserve">When using digitized historical sources, the historian </w:t>
      </w:r>
      <w:r w:rsidR="00120DA9">
        <w:rPr>
          <w:lang w:val="en-US"/>
        </w:rPr>
        <w:t>must be aware of the economics and politics behind the decisions about</w:t>
      </w:r>
      <w:r w:rsidR="00333874">
        <w:rPr>
          <w:lang w:val="en-US"/>
        </w:rPr>
        <w:t xml:space="preserve"> what </w:t>
      </w:r>
      <w:r w:rsidR="003D3B4B">
        <w:rPr>
          <w:lang w:val="en-US"/>
        </w:rPr>
        <w:t xml:space="preserve">should be digitized and how it was done. </w:t>
      </w:r>
      <w:r w:rsidR="00FD6090">
        <w:rPr>
          <w:lang w:val="en-US"/>
        </w:rPr>
        <w:t xml:space="preserve">For example, </w:t>
      </w:r>
      <w:r w:rsidR="00A87DF8">
        <w:rPr>
          <w:lang w:val="en-US"/>
        </w:rPr>
        <w:t xml:space="preserve">a company might choose to focus on digitizing </w:t>
      </w:r>
      <w:r w:rsidR="002917ED">
        <w:rPr>
          <w:lang w:val="en-US"/>
        </w:rPr>
        <w:t>positive</w:t>
      </w:r>
      <w:r w:rsidR="00A87DF8">
        <w:rPr>
          <w:lang w:val="en-US"/>
        </w:rPr>
        <w:t xml:space="preserve"> stories about them rather than their controversies. </w:t>
      </w:r>
      <w:r w:rsidR="00477AB1" w:rsidRPr="00477AB1">
        <w:rPr>
          <w:lang w:val="en-US"/>
        </w:rPr>
        <w:t>Jessica Marie Johnson</w:t>
      </w:r>
      <w:r w:rsidR="00477AB1">
        <w:rPr>
          <w:lang w:val="en-US"/>
        </w:rPr>
        <w:t xml:space="preserve"> critiques the “</w:t>
      </w:r>
      <w:proofErr w:type="spellStart"/>
      <w:r w:rsidR="00477AB1">
        <w:rPr>
          <w:lang w:val="en-US"/>
        </w:rPr>
        <w:t>thingification</w:t>
      </w:r>
      <w:proofErr w:type="spellEnd"/>
      <w:r w:rsidR="00477AB1">
        <w:rPr>
          <w:lang w:val="en-US"/>
        </w:rPr>
        <w:t xml:space="preserve">” happening when </w:t>
      </w:r>
      <w:r w:rsidR="007A4973">
        <w:rPr>
          <w:lang w:val="en-US"/>
        </w:rPr>
        <w:t xml:space="preserve">historical sources were digitized </w:t>
      </w:r>
      <w:r w:rsidR="00544741">
        <w:rPr>
          <w:lang w:val="en-US"/>
        </w:rPr>
        <w:t xml:space="preserve">and </w:t>
      </w:r>
      <w:r w:rsidR="00A0619E">
        <w:rPr>
          <w:lang w:val="en-US"/>
        </w:rPr>
        <w:t>made into data</w:t>
      </w:r>
      <w:r w:rsidR="00EB58AD">
        <w:rPr>
          <w:lang w:val="en-US"/>
        </w:rPr>
        <w:t>.</w:t>
      </w:r>
      <w:r w:rsidR="003973E2" w:rsidRPr="00271556">
        <w:rPr>
          <w:rStyle w:val="Fodnotehenvisning"/>
          <w:lang w:val="en-US"/>
        </w:rPr>
        <w:footnoteReference w:id="5"/>
      </w:r>
    </w:p>
    <w:p w14:paraId="384374ED" w14:textId="6A8401AF" w:rsidR="016C9B80" w:rsidRDefault="016C9B80" w:rsidP="016C9B80">
      <w:pPr>
        <w:rPr>
          <w:lang w:val="en-US"/>
        </w:rPr>
      </w:pPr>
    </w:p>
    <w:p w14:paraId="5CA106D4" w14:textId="77777777" w:rsidR="006F5F9C" w:rsidRDefault="007D7757" w:rsidP="00973A0B">
      <w:pPr>
        <w:pStyle w:val="Overskrift2"/>
        <w:rPr>
          <w:lang w:val="en-US"/>
        </w:rPr>
      </w:pPr>
      <w:r w:rsidRPr="007D7757">
        <w:rPr>
          <w:lang w:val="en-US"/>
        </w:rPr>
        <w:t>To complete this task, draw on your knowledge of at least two database collections discussed in class and/or your readings.</w:t>
      </w:r>
    </w:p>
    <w:p w14:paraId="60D72403" w14:textId="35F93CBB" w:rsidR="001935B6" w:rsidRPr="00A10E89" w:rsidRDefault="15B32F9C">
      <w:pPr>
        <w:rPr>
          <w:rFonts w:ascii="Aptos" w:eastAsia="Aptos" w:hAnsi="Aptos" w:cs="Aptos"/>
          <w:lang w:val="en-US"/>
        </w:rPr>
      </w:pPr>
      <w:r w:rsidRPr="0A7EBF05">
        <w:rPr>
          <w:lang w:val="en-US"/>
        </w:rPr>
        <w:t>Sean M. Kelley</w:t>
      </w:r>
      <w:r w:rsidR="1F64E618" w:rsidRPr="0A7EBF05">
        <w:rPr>
          <w:lang w:val="en-US"/>
        </w:rPr>
        <w:t xml:space="preserve"> argues that </w:t>
      </w:r>
      <w:r w:rsidR="4D5A5188" w:rsidRPr="0A7EBF05">
        <w:rPr>
          <w:lang w:val="en-US"/>
        </w:rPr>
        <w:t>“</w:t>
      </w:r>
      <w:r w:rsidR="4D5A5188" w:rsidRPr="0A7EBF05">
        <w:rPr>
          <w:rFonts w:ascii="Aptos" w:eastAsia="Aptos" w:hAnsi="Aptos" w:cs="Aptos"/>
          <w:lang w:val="en-US"/>
        </w:rPr>
        <w:t xml:space="preserve">Digitized historical databases” are a collection of analog </w:t>
      </w:r>
      <w:r w:rsidR="4CFEDEB7" w:rsidRPr="0A7EBF05">
        <w:rPr>
          <w:rFonts w:ascii="Aptos" w:eastAsia="Aptos" w:hAnsi="Aptos" w:cs="Aptos"/>
          <w:lang w:val="en-US"/>
        </w:rPr>
        <w:t xml:space="preserve">sources that </w:t>
      </w:r>
      <w:r w:rsidR="00D14128">
        <w:rPr>
          <w:rFonts w:ascii="Aptos" w:eastAsia="Aptos" w:hAnsi="Aptos" w:cs="Aptos"/>
          <w:lang w:val="en-US"/>
        </w:rPr>
        <w:t>have</w:t>
      </w:r>
      <w:r w:rsidR="4CFEDEB7" w:rsidRPr="0A7EBF05">
        <w:rPr>
          <w:rFonts w:ascii="Aptos" w:eastAsia="Aptos" w:hAnsi="Aptos" w:cs="Aptos"/>
          <w:lang w:val="en-US"/>
        </w:rPr>
        <w:t xml:space="preserve"> been transformed into</w:t>
      </w:r>
      <w:r w:rsidR="732C47F3" w:rsidRPr="0A7EBF05">
        <w:rPr>
          <w:rFonts w:ascii="Aptos" w:eastAsia="Aptos" w:hAnsi="Aptos" w:cs="Aptos"/>
          <w:lang w:val="en-US"/>
        </w:rPr>
        <w:t xml:space="preserve"> searchable</w:t>
      </w:r>
      <w:r w:rsidR="00D14128">
        <w:rPr>
          <w:rFonts w:ascii="Aptos" w:eastAsia="Aptos" w:hAnsi="Aptos" w:cs="Aptos"/>
          <w:lang w:val="en-US"/>
        </w:rPr>
        <w:t>,</w:t>
      </w:r>
      <w:r w:rsidR="732C47F3" w:rsidRPr="0A7EBF05">
        <w:rPr>
          <w:rFonts w:ascii="Aptos" w:eastAsia="Aptos" w:hAnsi="Aptos" w:cs="Aptos"/>
          <w:lang w:val="en-US"/>
        </w:rPr>
        <w:t xml:space="preserve"> structured </w:t>
      </w:r>
      <w:r w:rsidR="3BB5A03B" w:rsidRPr="0A7EBF05">
        <w:rPr>
          <w:rFonts w:ascii="Aptos" w:eastAsia="Aptos" w:hAnsi="Aptos" w:cs="Aptos"/>
          <w:lang w:val="en-US"/>
        </w:rPr>
        <w:t>datasets that allow historians to perform a larger</w:t>
      </w:r>
      <w:r w:rsidR="0B9B4DD2" w:rsidRPr="0A7EBF05">
        <w:rPr>
          <w:rFonts w:ascii="Aptos" w:eastAsia="Aptos" w:hAnsi="Aptos" w:cs="Aptos"/>
          <w:lang w:val="en-US"/>
        </w:rPr>
        <w:t xml:space="preserve"> amount of </w:t>
      </w:r>
      <w:r w:rsidR="1CB82EAA" w:rsidRPr="0A7EBF05">
        <w:rPr>
          <w:rFonts w:ascii="Aptos" w:eastAsia="Aptos" w:hAnsi="Aptos" w:cs="Aptos"/>
          <w:lang w:val="en-US"/>
        </w:rPr>
        <w:t xml:space="preserve">quantitative analysis </w:t>
      </w:r>
      <w:r w:rsidR="75490F3E" w:rsidRPr="0A7EBF05">
        <w:rPr>
          <w:rFonts w:ascii="Aptos" w:eastAsia="Aptos" w:hAnsi="Aptos" w:cs="Aptos"/>
          <w:lang w:val="en-US"/>
        </w:rPr>
        <w:t>because it lets us see patterns on a larger scale.</w:t>
      </w:r>
      <w:r w:rsidR="007D7757" w:rsidRPr="0A7EBF05">
        <w:rPr>
          <w:rStyle w:val="Fodnotehenvisning"/>
          <w:rFonts w:ascii="Aptos" w:eastAsia="Aptos" w:hAnsi="Aptos" w:cs="Aptos"/>
          <w:lang w:val="en-US"/>
        </w:rPr>
        <w:footnoteReference w:id="6"/>
      </w:r>
      <w:r w:rsidR="7E01EB59" w:rsidRPr="0A7EBF05">
        <w:rPr>
          <w:rFonts w:ascii="Aptos" w:eastAsia="Aptos" w:hAnsi="Aptos" w:cs="Aptos"/>
          <w:lang w:val="en-US"/>
        </w:rPr>
        <w:t xml:space="preserve"> </w:t>
      </w:r>
      <w:r w:rsidR="4F76481D" w:rsidRPr="0A7EBF05">
        <w:rPr>
          <w:rFonts w:ascii="Aptos" w:eastAsia="Aptos" w:hAnsi="Aptos" w:cs="Aptos"/>
          <w:lang w:val="en-US"/>
        </w:rPr>
        <w:t xml:space="preserve">Jessica Marie Johnson </w:t>
      </w:r>
      <w:r w:rsidR="00D14128">
        <w:rPr>
          <w:rFonts w:ascii="Aptos" w:eastAsia="Aptos" w:hAnsi="Aptos" w:cs="Aptos"/>
          <w:lang w:val="en-US"/>
        </w:rPr>
        <w:t>agrees</w:t>
      </w:r>
      <w:r w:rsidR="4F76481D" w:rsidRPr="0A7EBF05">
        <w:rPr>
          <w:rFonts w:ascii="Aptos" w:eastAsia="Aptos" w:hAnsi="Aptos" w:cs="Aptos"/>
          <w:lang w:val="en-US"/>
        </w:rPr>
        <w:t xml:space="preserve"> with Kelley</w:t>
      </w:r>
      <w:r w:rsidR="041F2E00" w:rsidRPr="0A7EBF05">
        <w:rPr>
          <w:rFonts w:ascii="Aptos" w:eastAsia="Aptos" w:hAnsi="Aptos" w:cs="Aptos"/>
          <w:lang w:val="en-US"/>
        </w:rPr>
        <w:t xml:space="preserve"> and argues that digital databases risk becoming </w:t>
      </w:r>
      <w:r w:rsidR="2207D382" w:rsidRPr="0A7EBF05">
        <w:rPr>
          <w:rFonts w:ascii="Aptos" w:eastAsia="Aptos" w:hAnsi="Aptos" w:cs="Aptos"/>
          <w:lang w:val="en-US"/>
        </w:rPr>
        <w:t xml:space="preserve">a reflection of the creator's biases </w:t>
      </w:r>
      <w:r w:rsidR="300C05C1" w:rsidRPr="0A7EBF05">
        <w:rPr>
          <w:rFonts w:ascii="Aptos" w:eastAsia="Aptos" w:hAnsi="Aptos" w:cs="Aptos"/>
          <w:lang w:val="en-US"/>
        </w:rPr>
        <w:t>and can create a blurry image of reality.</w:t>
      </w:r>
      <w:r w:rsidR="007D7757" w:rsidRPr="0A7EBF05">
        <w:rPr>
          <w:rStyle w:val="Fodnotehenvisning"/>
          <w:rFonts w:ascii="Aptos" w:eastAsia="Aptos" w:hAnsi="Aptos" w:cs="Aptos"/>
          <w:lang w:val="en-US"/>
        </w:rPr>
        <w:footnoteReference w:id="7"/>
      </w:r>
      <w:r w:rsidR="009957B0">
        <w:rPr>
          <w:rFonts w:ascii="Aptos" w:eastAsia="Aptos" w:hAnsi="Aptos" w:cs="Aptos"/>
          <w:lang w:val="en-US"/>
        </w:rPr>
        <w:t xml:space="preserve"> </w:t>
      </w:r>
    </w:p>
    <w:sectPr w:rsidR="001935B6" w:rsidRPr="00A10E89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FF47B2" w14:textId="77777777" w:rsidR="004A3E1F" w:rsidRDefault="004A3E1F" w:rsidP="00481E3C">
      <w:pPr>
        <w:spacing w:after="0" w:line="240" w:lineRule="auto"/>
      </w:pPr>
      <w:r>
        <w:separator/>
      </w:r>
    </w:p>
  </w:endnote>
  <w:endnote w:type="continuationSeparator" w:id="0">
    <w:p w14:paraId="717C3317" w14:textId="77777777" w:rsidR="004A3E1F" w:rsidRDefault="004A3E1F" w:rsidP="00481E3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53F78E" w14:textId="77777777" w:rsidR="004A3E1F" w:rsidRDefault="004A3E1F" w:rsidP="00481E3C">
      <w:pPr>
        <w:spacing w:after="0" w:line="240" w:lineRule="auto"/>
      </w:pPr>
      <w:r>
        <w:separator/>
      </w:r>
    </w:p>
  </w:footnote>
  <w:footnote w:type="continuationSeparator" w:id="0">
    <w:p w14:paraId="5D23B726" w14:textId="77777777" w:rsidR="004A3E1F" w:rsidRDefault="004A3E1F" w:rsidP="00481E3C">
      <w:pPr>
        <w:spacing w:after="0" w:line="240" w:lineRule="auto"/>
      </w:pPr>
      <w:r>
        <w:continuationSeparator/>
      </w:r>
    </w:p>
  </w:footnote>
  <w:footnote w:id="1">
    <w:p w14:paraId="4DD2BF0B" w14:textId="458EE998" w:rsidR="00A5558D" w:rsidRPr="00A5558D" w:rsidRDefault="00A5558D">
      <w:pPr>
        <w:pStyle w:val="Fodnotetekst"/>
        <w:rPr>
          <w:lang w:val="en-US"/>
        </w:rPr>
      </w:pPr>
      <w:r>
        <w:rPr>
          <w:rStyle w:val="Fodnotehenvisning"/>
        </w:rPr>
        <w:footnoteRef/>
      </w:r>
      <w:r w:rsidRPr="00A5558D">
        <w:rPr>
          <w:lang w:val="en-US"/>
        </w:rPr>
        <w:t xml:space="preserve"> </w:t>
      </w:r>
      <w:r w:rsidRPr="002753BA">
        <w:rPr>
          <w:rFonts w:ascii="Aptos" w:hAnsi="Aptos" w:cs="Times New Roman"/>
          <w:kern w:val="0"/>
          <w:lang w:val="en-US"/>
        </w:rPr>
        <w:t xml:space="preserve">Helle Strandgaard Jensen, ‘Digital Archival Literacy for (All) Historians’, </w:t>
      </w:r>
      <w:r w:rsidRPr="002753BA">
        <w:rPr>
          <w:rFonts w:ascii="Aptos" w:hAnsi="Aptos" w:cs="Times New Roman"/>
          <w:i/>
          <w:iCs/>
          <w:kern w:val="0"/>
          <w:lang w:val="en-US"/>
        </w:rPr>
        <w:t>Media History</w:t>
      </w:r>
      <w:r w:rsidRPr="002753BA">
        <w:rPr>
          <w:rFonts w:ascii="Aptos" w:hAnsi="Aptos" w:cs="Times New Roman"/>
          <w:kern w:val="0"/>
          <w:lang w:val="en-US"/>
        </w:rPr>
        <w:t xml:space="preserve"> 27, no. 2 (2021): 251–65, https://doi.org/10.1080/13688804.2020.1779047</w:t>
      </w:r>
    </w:p>
  </w:footnote>
  <w:footnote w:id="2">
    <w:p w14:paraId="566099CF" w14:textId="674835DC" w:rsidR="00481E3C" w:rsidRPr="00481E3C" w:rsidRDefault="00481E3C">
      <w:pPr>
        <w:pStyle w:val="Fodnotetekst"/>
        <w:rPr>
          <w:lang w:val="en-US"/>
        </w:rPr>
      </w:pPr>
      <w:r w:rsidRPr="00271556">
        <w:rPr>
          <w:rStyle w:val="Fodnotehenvisning"/>
        </w:rPr>
        <w:footnoteRef/>
      </w:r>
      <w:r w:rsidRPr="00481E3C">
        <w:rPr>
          <w:lang w:val="en-US"/>
        </w:rPr>
        <w:t xml:space="preserve"> </w:t>
      </w:r>
      <w:r>
        <w:fldChar w:fldCharType="begin"/>
      </w:r>
      <w:r>
        <w:rPr>
          <w:lang w:val="en-US"/>
        </w:rPr>
        <w:instrText xml:space="preserve"> ADDIN ZOTERO_ITEM CSL_CITATION {"citationID":"PzFN25Fr","properties":{"formattedCitation":"\\uc0\\u8216{}David P. Boder Interviews Anna Braun, September 20, 1946, Munich, Germany\\uc0\\u8217{}, accessed 23 April 2026, https://iit.aviaryplatform.com/collections/231/collection_resources/17593/transcript.","plainCitation":"‘David P. Boder Interviews Anna Braun, September 20, 1946, Munich, Germany’, accessed 23 April 2026, https://iit.aviaryplatform.com/collections/231/collection_resources/17593/transcript.","noteIndex":1},"citationItems":[{"id":118,"uris":["http://zotero.org/users/18770560/items/A545SLJY"],"itemData":{"id":118,"type":"webpage","abstract":"Interview with Anna Braun conducted by David P. Boder on September 20, 1946 at the Funkkaserne displaced-person's camp in Munich, Germany.","language":"en-US","title":"David P. Boder Interviews Anna Braun, September 20, 1946, Munich, Germany","URL":"https://iit.aviaryplatform.com/collections/231/collection_resources/17593/transcript","accessed":{"date-parts":[["2026",4,23]]}}}],"schema":"https://github.com/citation-style-language/schema/raw/master/csl-citation.json"} </w:instrText>
      </w:r>
      <w:r>
        <w:fldChar w:fldCharType="separate"/>
      </w:r>
      <w:r w:rsidRPr="00481E3C">
        <w:rPr>
          <w:rFonts w:ascii="Aptos" w:hAnsi="Aptos" w:cs="Times New Roman"/>
          <w:kern w:val="0"/>
          <w:lang w:val="en-US"/>
        </w:rPr>
        <w:t>‘David P. Boder Interviews Anna Braun, September 20, 1946, Munich, Germany’, accessed 23 April 2026, https://iit.aviaryplatform.com/collections/231/collection_resources/17593/transcript.</w:t>
      </w:r>
      <w:r>
        <w:fldChar w:fldCharType="end"/>
      </w:r>
    </w:p>
  </w:footnote>
  <w:footnote w:id="3">
    <w:p w14:paraId="0799410A" w14:textId="601BD90E" w:rsidR="002753BA" w:rsidRPr="002753BA" w:rsidRDefault="002753BA">
      <w:pPr>
        <w:pStyle w:val="Fodnotetekst"/>
        <w:rPr>
          <w:lang w:val="en-US"/>
        </w:rPr>
      </w:pPr>
      <w:r w:rsidRPr="00271556">
        <w:rPr>
          <w:rStyle w:val="Fodnotehenvisning"/>
        </w:rPr>
        <w:footnoteRef/>
      </w:r>
      <w:r w:rsidRPr="002753BA">
        <w:rPr>
          <w:lang w:val="en-US"/>
        </w:rPr>
        <w:t xml:space="preserve"> </w:t>
      </w:r>
      <w:r>
        <w:fldChar w:fldCharType="begin"/>
      </w:r>
      <w:r w:rsidRPr="002753BA">
        <w:rPr>
          <w:lang w:val="en-US"/>
        </w:rPr>
        <w:instrText xml:space="preserve"> ADDIN ZOTERO_ITEM CSL_CITATION {"citationID":"TMZSHHKK","properties":{"formattedCitation":"Helle Strandgaard Jensen, \\uc0\\u8216{}Digital Archival Literacy for (All) Historians\\uc0\\u8217{}, {\\i{}Media History} 27, no. 2 (2021): 251\\uc0\\u8211{}65, https://doi.org/10.1080/13688804.2020.1779047.","plainCitation":"Helle Strandgaard Jensen, ‘Digital Archival Literacy for (All) Historians’, Media History 27, no. 2 (2021): 251–65, https://doi.org/10.1080/13688804.2020.1779047.","noteIndex":2},"citationItems":[{"id":120,"uris":["http://zotero.org/users/18770560/items/YVNKERVM"],"itemData":{"id":120,"type":"article-journal","container-title":"Media History","DOI":"10.1080/13688804.2020.1779047","ISSN":"1368-8804, 1469-9729","issue":"2","journalAbbreviation":"Media History","language":"en","page":"251-265","source":"DOI.org (Crossref)","title":"Digital Archival Literacy for (All) Historians","volume":"27","author":[{"family":"Jensen","given":"Helle Strandgaard"}],"issued":{"date-parts":[["2021",4,3]]}}}],"schema":"https://github.com/citation-style-language/schema/raw/master/csl-citation.json"} </w:instrText>
      </w:r>
      <w:r>
        <w:fldChar w:fldCharType="separate"/>
      </w:r>
      <w:r w:rsidRPr="002753BA">
        <w:rPr>
          <w:rFonts w:ascii="Aptos" w:hAnsi="Aptos" w:cs="Times New Roman"/>
          <w:kern w:val="0"/>
          <w:lang w:val="en-US"/>
        </w:rPr>
        <w:t xml:space="preserve">Helle Strandgaard Jensen, ‘Digital Archival Literacy for (All) Historians’, </w:t>
      </w:r>
      <w:r w:rsidRPr="002753BA">
        <w:rPr>
          <w:rFonts w:ascii="Aptos" w:hAnsi="Aptos" w:cs="Times New Roman"/>
          <w:i/>
          <w:iCs/>
          <w:kern w:val="0"/>
          <w:lang w:val="en-US"/>
        </w:rPr>
        <w:t>Media History</w:t>
      </w:r>
      <w:r w:rsidRPr="002753BA">
        <w:rPr>
          <w:rFonts w:ascii="Aptos" w:hAnsi="Aptos" w:cs="Times New Roman"/>
          <w:kern w:val="0"/>
          <w:lang w:val="en-US"/>
        </w:rPr>
        <w:t xml:space="preserve"> 27, no. 2 (2021): 251–65, https://doi.org/10.1080/13688804.2020.1779047.</w:t>
      </w:r>
      <w:r>
        <w:fldChar w:fldCharType="end"/>
      </w:r>
    </w:p>
  </w:footnote>
  <w:footnote w:id="4">
    <w:p w14:paraId="669EA532" w14:textId="46797CC4" w:rsidR="00770460" w:rsidRPr="00770460" w:rsidRDefault="00770460">
      <w:pPr>
        <w:pStyle w:val="Fodnotetekst"/>
        <w:rPr>
          <w:lang w:val="en-US"/>
        </w:rPr>
      </w:pPr>
      <w:r w:rsidRPr="00271556">
        <w:rPr>
          <w:rStyle w:val="Fodnotehenvisning"/>
        </w:rPr>
        <w:footnoteRef/>
      </w:r>
      <w:r w:rsidRPr="00770460">
        <w:rPr>
          <w:lang w:val="en-US"/>
        </w:rPr>
        <w:t xml:space="preserve"> </w:t>
      </w:r>
      <w:r>
        <w:fldChar w:fldCharType="begin"/>
      </w:r>
      <w:r w:rsidRPr="00770460">
        <w:rPr>
          <w:lang w:val="en-US"/>
        </w:rPr>
        <w:instrText xml:space="preserve"> ADDIN ZOTERO_ITEM CSL_CITATION {"citationID":"BMD8Si3D","properties":{"formattedCitation":"Jensen, \\uc0\\u8216{}Digital Archival Literacy for (All) Historians\\uc0\\u8217{}.","plainCitation":"Jensen, ‘Digital Archival Literacy for (All) Historians’.","noteIndex":3},"citationItems":[{"id":120,"uris":["http://zotero.org/users/18770560/items/YVNKERVM"],"itemData":{"id":120,"type":"article-journal","container-title":"Media History","DOI":"10.1080/13688804.2020.1779047","ISSN":"1368-8804, 1469-9729","issue":"2","journalAbbreviation":"Media History","language":"en","page":"251-265","source":"DOI.org (Crossref)","title":"Digital Archival Literacy for (All) Historians","volume":"27","author":[{"family":"Jensen","given":"Helle Strandgaard"}],"issued":{"date-parts":[["2021",4,3]]}}}],"schema":"https://github.com/citation-style-language/schema/raw/master/csl-citation.json"} </w:instrText>
      </w:r>
      <w:r>
        <w:fldChar w:fldCharType="separate"/>
      </w:r>
      <w:r w:rsidRPr="00770460">
        <w:rPr>
          <w:rFonts w:ascii="Aptos" w:hAnsi="Aptos" w:cs="Times New Roman"/>
          <w:kern w:val="0"/>
          <w:lang w:val="en-US"/>
        </w:rPr>
        <w:t>Jensen, ‘Digital Archival Literacy for (All) Historians’.</w:t>
      </w:r>
      <w:r>
        <w:fldChar w:fldCharType="end"/>
      </w:r>
    </w:p>
  </w:footnote>
  <w:footnote w:id="5">
    <w:p w14:paraId="56A26FC0" w14:textId="41710001" w:rsidR="003973E2" w:rsidRPr="003973E2" w:rsidRDefault="003973E2">
      <w:pPr>
        <w:pStyle w:val="Fodnotetekst"/>
        <w:rPr>
          <w:lang w:val="en-US"/>
        </w:rPr>
      </w:pPr>
      <w:r w:rsidRPr="00271556">
        <w:rPr>
          <w:rStyle w:val="Fodnotehenvisning"/>
        </w:rPr>
        <w:footnoteRef/>
      </w:r>
      <w:r w:rsidRPr="003973E2">
        <w:rPr>
          <w:lang w:val="en-US"/>
        </w:rPr>
        <w:t xml:space="preserve"> </w:t>
      </w:r>
      <w:r>
        <w:fldChar w:fldCharType="begin"/>
      </w:r>
      <w:r w:rsidRPr="003973E2">
        <w:rPr>
          <w:lang w:val="en-US"/>
        </w:rPr>
        <w:instrText xml:space="preserve"> ADDIN ZOTERO_ITEM CSL_CITATION {"citationID":"69pnXcfk","properties":{"formattedCitation":"Jessica Marie Johnson, \\uc0\\u8216{}Markup Bodies\\uc0\\u8217{}, {\\i{}Social Text} 36, no. 4 (2018): 57\\uc0\\u8211{}79, https://doi.org/10.1215/01642472-7145658.","plainCitation":"Jessica Marie Johnson, ‘Markup Bodies’, Social Text 36, no. 4 (2018): 57–79, https://doi.org/10.1215/01642472-7145658.","noteIndex":4},"citationItems":[{"id":123,"uris":["http://zotero.org/users/18770560/items/IAT2XD7W"],"itemData":{"id":123,"type":"article-journal","container-title":"Social Text","DOI":"10.1215/01642472-7145658","ISSN":"0164-2472, 1527-1951","issue":"4","language":"en","page":"57-79","source":"DOI.org (Crossref)","title":"Markup Bodies","volume":"36","author":[{"family":"Johnson","given":"Jessica Marie"}],"issued":{"date-parts":[["2018",12,1]]}}}],"schema":"https://github.com/citation-style-language/schema/raw/master/csl-citation.json"} </w:instrText>
      </w:r>
      <w:r>
        <w:fldChar w:fldCharType="separate"/>
      </w:r>
      <w:r w:rsidRPr="003973E2">
        <w:rPr>
          <w:rFonts w:ascii="Aptos" w:hAnsi="Aptos" w:cs="Times New Roman"/>
          <w:kern w:val="0"/>
          <w:lang w:val="en-US"/>
        </w:rPr>
        <w:t xml:space="preserve">Jessica Marie Johnson, ‘Markup Bodies’, </w:t>
      </w:r>
      <w:r w:rsidRPr="003973E2">
        <w:rPr>
          <w:rFonts w:ascii="Aptos" w:hAnsi="Aptos" w:cs="Times New Roman"/>
          <w:i/>
          <w:iCs/>
          <w:kern w:val="0"/>
          <w:lang w:val="en-US"/>
        </w:rPr>
        <w:t>Social Text</w:t>
      </w:r>
      <w:r w:rsidRPr="003973E2">
        <w:rPr>
          <w:rFonts w:ascii="Aptos" w:hAnsi="Aptos" w:cs="Times New Roman"/>
          <w:kern w:val="0"/>
          <w:lang w:val="en-US"/>
        </w:rPr>
        <w:t xml:space="preserve"> 36, no. 4 (2018): 57–79, https://doi.org/10.1215/01642472-7145658.</w:t>
      </w:r>
      <w:r>
        <w:fldChar w:fldCharType="end"/>
      </w:r>
    </w:p>
  </w:footnote>
  <w:footnote w:id="6">
    <w:p w14:paraId="6BDD460B" w14:textId="0F3FAEC6" w:rsidR="0A7EBF05" w:rsidRPr="00D14128" w:rsidRDefault="0A7EBF05" w:rsidP="0A7EBF05">
      <w:pPr>
        <w:pStyle w:val="Fodnotetekst"/>
        <w:rPr>
          <w:lang w:val="en-US"/>
        </w:rPr>
      </w:pPr>
      <w:r w:rsidRPr="0A7EBF05">
        <w:rPr>
          <w:rStyle w:val="Fodnotehenvisning"/>
        </w:rPr>
        <w:footnoteRef/>
      </w:r>
      <w:r w:rsidRPr="00D14128">
        <w:rPr>
          <w:lang w:val="en-US"/>
        </w:rPr>
        <w:t xml:space="preserve"> Sean M. Kelley, “DB or Not DB: Writing the History of the Slave Trade to North America in the Era of the Database,” </w:t>
      </w:r>
      <w:r w:rsidRPr="00D14128">
        <w:rPr>
          <w:i/>
          <w:iCs/>
          <w:lang w:val="en-US"/>
        </w:rPr>
        <w:t>History Compass</w:t>
      </w:r>
      <w:r w:rsidRPr="00D14128">
        <w:rPr>
          <w:lang w:val="en-US"/>
        </w:rPr>
        <w:t xml:space="preserve"> 17, no. 5 (2019): e12530, </w:t>
      </w:r>
      <w:hyperlink r:id="rId1">
        <w:r w:rsidRPr="00D14128">
          <w:rPr>
            <w:rStyle w:val="Hyperlink"/>
            <w:lang w:val="en-US"/>
          </w:rPr>
          <w:t>https://doi.org/10.1111/hic3.12530</w:t>
        </w:r>
      </w:hyperlink>
      <w:r w:rsidRPr="00D14128">
        <w:rPr>
          <w:lang w:val="en-US"/>
        </w:rPr>
        <w:t>.</w:t>
      </w:r>
    </w:p>
  </w:footnote>
  <w:footnote w:id="7">
    <w:p w14:paraId="69A838EE" w14:textId="7D2CF79C" w:rsidR="0A7EBF05" w:rsidRDefault="0A7EBF05" w:rsidP="0A7EBF05">
      <w:pPr>
        <w:pStyle w:val="Fodnotetekst"/>
        <w:rPr>
          <w:lang w:val="en-US"/>
        </w:rPr>
      </w:pPr>
      <w:r w:rsidRPr="0A7EBF05">
        <w:rPr>
          <w:rStyle w:val="Fodnotehenvisning"/>
        </w:rPr>
        <w:footnoteRef/>
      </w:r>
      <w:r w:rsidRPr="00D14128">
        <w:rPr>
          <w:lang w:val="en-US"/>
        </w:rPr>
        <w:t xml:space="preserve"> </w:t>
      </w:r>
      <w:r>
        <w:fldChar w:fldCharType="begin"/>
      </w:r>
      <w:r w:rsidRPr="0A7EBF05">
        <w:rPr>
          <w:lang w:val="en-US"/>
        </w:rPr>
        <w:instrText xml:space="preserve"> ADDIN ZOTERO_ITEM CSL_CITATION {"citationID":"69pnXcfk","properties":{"formattedCitation":"Jessica Marie Johnson, \\uc0\\u8216{}Markup Bodies\\uc0\\u8217{}, {\\i{}Social Text} 36, no. 4 (2018): 57\\uc0\\u8211{}79, https://doi.org/10.1215/01642472-7145658.","plainCitation":"Jessica Marie Johnson, ‘Markup Bodies’, Social Text 36, no. 4 (2018): 57–79, https://doi.org/10.1215/01642472-7145658.","noteIndex":4},"citationItems":[{"id":123,"uris":["http://zotero.org/users/18770560/items/IAT2XD7W"],"itemData":{"id":123,"type":"article-journal","container-title":"Social Text","DOI":"10.1215/01642472-7145658","ISSN":"0164-2472, 1527-1951","issue":"4","language":"en","page":"57-79","source":"DOI.org (Crossref)","title":"Markup Bodies","volume":"36","author":[{"family":"Johnson","given":"Jessica Marie"}],"issued":{"date-parts":[["2018",12,1]]}}}],"schema":"https://github.com/citation-style-language/schema/raw/master/csl-citation.json"} </w:instrText>
      </w:r>
      <w:r>
        <w:fldChar w:fldCharType="separate"/>
      </w:r>
      <w:r w:rsidRPr="0A7EBF05">
        <w:rPr>
          <w:rFonts w:ascii="Aptos" w:hAnsi="Aptos" w:cs="Times New Roman"/>
          <w:lang w:val="en-US"/>
        </w:rPr>
        <w:t xml:space="preserve">Jessica Marie Johnson, ‘Markup Bodies’, </w:t>
      </w:r>
      <w:r w:rsidRPr="0A7EBF05">
        <w:rPr>
          <w:rFonts w:ascii="Aptos" w:hAnsi="Aptos" w:cs="Times New Roman"/>
          <w:i/>
          <w:iCs/>
          <w:lang w:val="en-US"/>
        </w:rPr>
        <w:t>Social Text</w:t>
      </w:r>
      <w:r w:rsidRPr="0A7EBF05">
        <w:rPr>
          <w:rFonts w:ascii="Aptos" w:hAnsi="Aptos" w:cs="Times New Roman"/>
          <w:lang w:val="en-US"/>
        </w:rPr>
        <w:t xml:space="preserve"> 36, no. 4 (2018): 57–79, https://doi.org/10.1215/01642472-7145658.</w:t>
      </w:r>
      <w:r>
        <w:fldChar w:fldCharType="end"/>
      </w:r>
    </w:p>
    <w:p w14:paraId="2C02CAA0" w14:textId="33695B7A" w:rsidR="0A7EBF05" w:rsidRPr="00D14128" w:rsidRDefault="0A7EBF05" w:rsidP="0A7EBF05">
      <w:pPr>
        <w:pStyle w:val="Fodnotetekst"/>
        <w:rPr>
          <w:lang w:val="en-US"/>
        </w:rPr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D344F"/>
    <w:multiLevelType w:val="multilevel"/>
    <w:tmpl w:val="CB984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F45B0E"/>
    <w:multiLevelType w:val="multilevel"/>
    <w:tmpl w:val="F2843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8D2A2C"/>
    <w:multiLevelType w:val="multilevel"/>
    <w:tmpl w:val="39EEB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880894"/>
    <w:multiLevelType w:val="multilevel"/>
    <w:tmpl w:val="8F309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343DC6"/>
    <w:multiLevelType w:val="multilevel"/>
    <w:tmpl w:val="2398D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C40C47"/>
    <w:multiLevelType w:val="multilevel"/>
    <w:tmpl w:val="683C5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C67379"/>
    <w:multiLevelType w:val="multilevel"/>
    <w:tmpl w:val="8B1C3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95465D"/>
    <w:multiLevelType w:val="multilevel"/>
    <w:tmpl w:val="50449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F40998"/>
    <w:multiLevelType w:val="multilevel"/>
    <w:tmpl w:val="702A9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2C485D"/>
    <w:multiLevelType w:val="multilevel"/>
    <w:tmpl w:val="AF165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FB4694"/>
    <w:multiLevelType w:val="multilevel"/>
    <w:tmpl w:val="DBE8E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8D072AA"/>
    <w:multiLevelType w:val="multilevel"/>
    <w:tmpl w:val="7BEEE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B81743"/>
    <w:multiLevelType w:val="multilevel"/>
    <w:tmpl w:val="5A12E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2D01343"/>
    <w:multiLevelType w:val="multilevel"/>
    <w:tmpl w:val="40E6148C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80F5E17"/>
    <w:multiLevelType w:val="multilevel"/>
    <w:tmpl w:val="AD260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90C3A37"/>
    <w:multiLevelType w:val="multilevel"/>
    <w:tmpl w:val="30626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CDC7FE5"/>
    <w:multiLevelType w:val="multilevel"/>
    <w:tmpl w:val="A1720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1CE3C3C"/>
    <w:multiLevelType w:val="multilevel"/>
    <w:tmpl w:val="EF400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46C1420"/>
    <w:multiLevelType w:val="multilevel"/>
    <w:tmpl w:val="AB789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56323A2"/>
    <w:multiLevelType w:val="multilevel"/>
    <w:tmpl w:val="8E025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7DA3387"/>
    <w:multiLevelType w:val="multilevel"/>
    <w:tmpl w:val="F2CAE27E"/>
    <w:lvl w:ilvl="0">
      <w:start w:val="2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AB7064D"/>
    <w:multiLevelType w:val="multilevel"/>
    <w:tmpl w:val="EBE69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4BA2A7F"/>
    <w:multiLevelType w:val="multilevel"/>
    <w:tmpl w:val="11705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70C2A8D"/>
    <w:multiLevelType w:val="multilevel"/>
    <w:tmpl w:val="50623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A3F7303"/>
    <w:multiLevelType w:val="multilevel"/>
    <w:tmpl w:val="12221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A6925AB"/>
    <w:multiLevelType w:val="multilevel"/>
    <w:tmpl w:val="76E4A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A776109"/>
    <w:multiLevelType w:val="multilevel"/>
    <w:tmpl w:val="CA243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ECB6E08"/>
    <w:multiLevelType w:val="multilevel"/>
    <w:tmpl w:val="E38C1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1CD36A1"/>
    <w:multiLevelType w:val="multilevel"/>
    <w:tmpl w:val="15CCB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3661959"/>
    <w:multiLevelType w:val="multilevel"/>
    <w:tmpl w:val="2940F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4E03CFF"/>
    <w:multiLevelType w:val="multilevel"/>
    <w:tmpl w:val="729A1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8A37A97"/>
    <w:multiLevelType w:val="multilevel"/>
    <w:tmpl w:val="86003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90B2B18"/>
    <w:multiLevelType w:val="multilevel"/>
    <w:tmpl w:val="BF78D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6510C1"/>
    <w:multiLevelType w:val="multilevel"/>
    <w:tmpl w:val="DECA9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7F01021"/>
    <w:multiLevelType w:val="multilevel"/>
    <w:tmpl w:val="E0B4E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853625B"/>
    <w:multiLevelType w:val="multilevel"/>
    <w:tmpl w:val="040C7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9533B12"/>
    <w:multiLevelType w:val="multilevel"/>
    <w:tmpl w:val="A0427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C354626"/>
    <w:multiLevelType w:val="multilevel"/>
    <w:tmpl w:val="D15EB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C68687E"/>
    <w:multiLevelType w:val="multilevel"/>
    <w:tmpl w:val="DFCC2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E414590"/>
    <w:multiLevelType w:val="multilevel"/>
    <w:tmpl w:val="B4BC3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7F6DA0"/>
    <w:multiLevelType w:val="multilevel"/>
    <w:tmpl w:val="A0A67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FB50EAB"/>
    <w:multiLevelType w:val="multilevel"/>
    <w:tmpl w:val="C9683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5148263">
    <w:abstractNumId w:val="2"/>
  </w:num>
  <w:num w:numId="2" w16cid:durableId="1698502704">
    <w:abstractNumId w:val="22"/>
  </w:num>
  <w:num w:numId="3" w16cid:durableId="1224677863">
    <w:abstractNumId w:val="3"/>
  </w:num>
  <w:num w:numId="4" w16cid:durableId="133380017">
    <w:abstractNumId w:val="33"/>
  </w:num>
  <w:num w:numId="5" w16cid:durableId="229535650">
    <w:abstractNumId w:val="14"/>
  </w:num>
  <w:num w:numId="6" w16cid:durableId="1637568874">
    <w:abstractNumId w:val="35"/>
  </w:num>
  <w:num w:numId="7" w16cid:durableId="554046963">
    <w:abstractNumId w:val="8"/>
  </w:num>
  <w:num w:numId="8" w16cid:durableId="164246656">
    <w:abstractNumId w:val="15"/>
  </w:num>
  <w:num w:numId="9" w16cid:durableId="162749048">
    <w:abstractNumId w:val="19"/>
  </w:num>
  <w:num w:numId="10" w16cid:durableId="1253276222">
    <w:abstractNumId w:val="39"/>
  </w:num>
  <w:num w:numId="11" w16cid:durableId="1567227908">
    <w:abstractNumId w:val="29"/>
  </w:num>
  <w:num w:numId="12" w16cid:durableId="1678993931">
    <w:abstractNumId w:val="25"/>
  </w:num>
  <w:num w:numId="13" w16cid:durableId="1005788601">
    <w:abstractNumId w:val="36"/>
  </w:num>
  <w:num w:numId="14" w16cid:durableId="1735934616">
    <w:abstractNumId w:val="31"/>
  </w:num>
  <w:num w:numId="15" w16cid:durableId="1400440953">
    <w:abstractNumId w:val="34"/>
  </w:num>
  <w:num w:numId="16" w16cid:durableId="393818544">
    <w:abstractNumId w:val="21"/>
  </w:num>
  <w:num w:numId="17" w16cid:durableId="1598976363">
    <w:abstractNumId w:val="37"/>
  </w:num>
  <w:num w:numId="18" w16cid:durableId="463815936">
    <w:abstractNumId w:val="23"/>
  </w:num>
  <w:num w:numId="19" w16cid:durableId="1297486506">
    <w:abstractNumId w:val="17"/>
  </w:num>
  <w:num w:numId="20" w16cid:durableId="1922788466">
    <w:abstractNumId w:val="9"/>
  </w:num>
  <w:num w:numId="21" w16cid:durableId="1511263535">
    <w:abstractNumId w:val="5"/>
  </w:num>
  <w:num w:numId="22" w16cid:durableId="1733891519">
    <w:abstractNumId w:val="40"/>
  </w:num>
  <w:num w:numId="23" w16cid:durableId="2000691365">
    <w:abstractNumId w:val="38"/>
  </w:num>
  <w:num w:numId="24" w16cid:durableId="1537965622">
    <w:abstractNumId w:val="41"/>
  </w:num>
  <w:num w:numId="25" w16cid:durableId="1871407209">
    <w:abstractNumId w:val="12"/>
  </w:num>
  <w:num w:numId="26" w16cid:durableId="637534791">
    <w:abstractNumId w:val="24"/>
  </w:num>
  <w:num w:numId="27" w16cid:durableId="821583744">
    <w:abstractNumId w:val="1"/>
  </w:num>
  <w:num w:numId="28" w16cid:durableId="1905219905">
    <w:abstractNumId w:val="0"/>
  </w:num>
  <w:num w:numId="29" w16cid:durableId="595865717">
    <w:abstractNumId w:val="26"/>
  </w:num>
  <w:num w:numId="30" w16cid:durableId="62799552">
    <w:abstractNumId w:val="16"/>
  </w:num>
  <w:num w:numId="31" w16cid:durableId="1794666537">
    <w:abstractNumId w:val="4"/>
  </w:num>
  <w:num w:numId="32" w16cid:durableId="1215042107">
    <w:abstractNumId w:val="7"/>
  </w:num>
  <w:num w:numId="33" w16cid:durableId="1615944625">
    <w:abstractNumId w:val="6"/>
  </w:num>
  <w:num w:numId="34" w16cid:durableId="1263027679">
    <w:abstractNumId w:val="27"/>
  </w:num>
  <w:num w:numId="35" w16cid:durableId="1755736385">
    <w:abstractNumId w:val="18"/>
  </w:num>
  <w:num w:numId="36" w16cid:durableId="273833660">
    <w:abstractNumId w:val="11"/>
  </w:num>
  <w:num w:numId="37" w16cid:durableId="464853262">
    <w:abstractNumId w:val="10"/>
  </w:num>
  <w:num w:numId="38" w16cid:durableId="1437674521">
    <w:abstractNumId w:val="30"/>
  </w:num>
  <w:num w:numId="39" w16cid:durableId="236866777">
    <w:abstractNumId w:val="32"/>
  </w:num>
  <w:num w:numId="40" w16cid:durableId="1533152738">
    <w:abstractNumId w:val="28"/>
  </w:num>
  <w:num w:numId="41" w16cid:durableId="1143278667">
    <w:abstractNumId w:val="13"/>
  </w:num>
  <w:num w:numId="42" w16cid:durableId="1521777482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63C4"/>
    <w:rsid w:val="00003B6D"/>
    <w:rsid w:val="0002086A"/>
    <w:rsid w:val="0007120A"/>
    <w:rsid w:val="000731F5"/>
    <w:rsid w:val="00082C67"/>
    <w:rsid w:val="00092FCC"/>
    <w:rsid w:val="00095CD1"/>
    <w:rsid w:val="000961D2"/>
    <w:rsid w:val="000A4A61"/>
    <w:rsid w:val="000A7425"/>
    <w:rsid w:val="000B2C89"/>
    <w:rsid w:val="000B73B7"/>
    <w:rsid w:val="000C57DA"/>
    <w:rsid w:val="000D5F53"/>
    <w:rsid w:val="000E52F5"/>
    <w:rsid w:val="000E5B6E"/>
    <w:rsid w:val="0010581A"/>
    <w:rsid w:val="00106DD2"/>
    <w:rsid w:val="00120DA9"/>
    <w:rsid w:val="00122D29"/>
    <w:rsid w:val="00123507"/>
    <w:rsid w:val="0013398F"/>
    <w:rsid w:val="00134C02"/>
    <w:rsid w:val="00136D5F"/>
    <w:rsid w:val="001373E2"/>
    <w:rsid w:val="00146991"/>
    <w:rsid w:val="00160B41"/>
    <w:rsid w:val="001717A9"/>
    <w:rsid w:val="001736B4"/>
    <w:rsid w:val="00185E6C"/>
    <w:rsid w:val="001935B6"/>
    <w:rsid w:val="001A29E2"/>
    <w:rsid w:val="001A3AAD"/>
    <w:rsid w:val="001A7D69"/>
    <w:rsid w:val="001D2FF3"/>
    <w:rsid w:val="001D5497"/>
    <w:rsid w:val="001D7A57"/>
    <w:rsid w:val="001F1F03"/>
    <w:rsid w:val="001F5BEA"/>
    <w:rsid w:val="00205A1F"/>
    <w:rsid w:val="00211BCA"/>
    <w:rsid w:val="00223339"/>
    <w:rsid w:val="00223783"/>
    <w:rsid w:val="00224355"/>
    <w:rsid w:val="002442AB"/>
    <w:rsid w:val="00244B33"/>
    <w:rsid w:val="00257C76"/>
    <w:rsid w:val="00262A42"/>
    <w:rsid w:val="00263C1B"/>
    <w:rsid w:val="00271556"/>
    <w:rsid w:val="00275341"/>
    <w:rsid w:val="002753BA"/>
    <w:rsid w:val="00275416"/>
    <w:rsid w:val="00276367"/>
    <w:rsid w:val="00287EBB"/>
    <w:rsid w:val="002917ED"/>
    <w:rsid w:val="00291B25"/>
    <w:rsid w:val="00292B04"/>
    <w:rsid w:val="0029438A"/>
    <w:rsid w:val="002A7C77"/>
    <w:rsid w:val="002B0F34"/>
    <w:rsid w:val="002B7658"/>
    <w:rsid w:val="002C3B2C"/>
    <w:rsid w:val="002E791C"/>
    <w:rsid w:val="002F6CAB"/>
    <w:rsid w:val="00304C56"/>
    <w:rsid w:val="003128E0"/>
    <w:rsid w:val="00324B55"/>
    <w:rsid w:val="00330D52"/>
    <w:rsid w:val="003310AC"/>
    <w:rsid w:val="00333874"/>
    <w:rsid w:val="00334704"/>
    <w:rsid w:val="00334F68"/>
    <w:rsid w:val="00350114"/>
    <w:rsid w:val="0035059F"/>
    <w:rsid w:val="00362A81"/>
    <w:rsid w:val="00363CB9"/>
    <w:rsid w:val="00366675"/>
    <w:rsid w:val="00366B37"/>
    <w:rsid w:val="00384FAE"/>
    <w:rsid w:val="00385BFB"/>
    <w:rsid w:val="00393F9C"/>
    <w:rsid w:val="003973E2"/>
    <w:rsid w:val="003C0744"/>
    <w:rsid w:val="003C114A"/>
    <w:rsid w:val="003D3B4B"/>
    <w:rsid w:val="003D6FF0"/>
    <w:rsid w:val="003E5B76"/>
    <w:rsid w:val="003F2608"/>
    <w:rsid w:val="003F4BFC"/>
    <w:rsid w:val="00400B03"/>
    <w:rsid w:val="0040127F"/>
    <w:rsid w:val="00401552"/>
    <w:rsid w:val="0040358A"/>
    <w:rsid w:val="00406279"/>
    <w:rsid w:val="00406939"/>
    <w:rsid w:val="00413535"/>
    <w:rsid w:val="004142A7"/>
    <w:rsid w:val="00422816"/>
    <w:rsid w:val="004436A7"/>
    <w:rsid w:val="00443D74"/>
    <w:rsid w:val="0045480D"/>
    <w:rsid w:val="00455730"/>
    <w:rsid w:val="0046144A"/>
    <w:rsid w:val="004665A4"/>
    <w:rsid w:val="004677CB"/>
    <w:rsid w:val="00470130"/>
    <w:rsid w:val="004747BA"/>
    <w:rsid w:val="00477AB1"/>
    <w:rsid w:val="00481E3C"/>
    <w:rsid w:val="00485533"/>
    <w:rsid w:val="00493C07"/>
    <w:rsid w:val="004A3E1F"/>
    <w:rsid w:val="004C2AD2"/>
    <w:rsid w:val="004C509A"/>
    <w:rsid w:val="004D024C"/>
    <w:rsid w:val="004D4967"/>
    <w:rsid w:val="004E7FAF"/>
    <w:rsid w:val="004F352A"/>
    <w:rsid w:val="004F39BA"/>
    <w:rsid w:val="004F550E"/>
    <w:rsid w:val="005004C9"/>
    <w:rsid w:val="00500E81"/>
    <w:rsid w:val="00506321"/>
    <w:rsid w:val="00507688"/>
    <w:rsid w:val="00520710"/>
    <w:rsid w:val="005263BE"/>
    <w:rsid w:val="005276BD"/>
    <w:rsid w:val="00544741"/>
    <w:rsid w:val="00551BF3"/>
    <w:rsid w:val="00557A38"/>
    <w:rsid w:val="00557C0A"/>
    <w:rsid w:val="00563B14"/>
    <w:rsid w:val="0056599C"/>
    <w:rsid w:val="00584258"/>
    <w:rsid w:val="005869D0"/>
    <w:rsid w:val="005923A8"/>
    <w:rsid w:val="00592B56"/>
    <w:rsid w:val="0059455B"/>
    <w:rsid w:val="005A0959"/>
    <w:rsid w:val="005A6B90"/>
    <w:rsid w:val="005A76C3"/>
    <w:rsid w:val="005B0605"/>
    <w:rsid w:val="005B23E4"/>
    <w:rsid w:val="005B2D9E"/>
    <w:rsid w:val="005B4448"/>
    <w:rsid w:val="005B66E6"/>
    <w:rsid w:val="005D1707"/>
    <w:rsid w:val="005D5D07"/>
    <w:rsid w:val="005E1D3E"/>
    <w:rsid w:val="005F63E3"/>
    <w:rsid w:val="005F7543"/>
    <w:rsid w:val="005F7A5C"/>
    <w:rsid w:val="00606CB4"/>
    <w:rsid w:val="00614BC9"/>
    <w:rsid w:val="0062502C"/>
    <w:rsid w:val="006272CA"/>
    <w:rsid w:val="00631048"/>
    <w:rsid w:val="00633F94"/>
    <w:rsid w:val="00635143"/>
    <w:rsid w:val="00644EC3"/>
    <w:rsid w:val="00644ED0"/>
    <w:rsid w:val="00645F64"/>
    <w:rsid w:val="00650547"/>
    <w:rsid w:val="00651F84"/>
    <w:rsid w:val="00657476"/>
    <w:rsid w:val="00661269"/>
    <w:rsid w:val="00661EF2"/>
    <w:rsid w:val="006703E4"/>
    <w:rsid w:val="00676A25"/>
    <w:rsid w:val="00697DCD"/>
    <w:rsid w:val="006A21AB"/>
    <w:rsid w:val="006A2423"/>
    <w:rsid w:val="006A5961"/>
    <w:rsid w:val="006B1193"/>
    <w:rsid w:val="006B7586"/>
    <w:rsid w:val="006C054C"/>
    <w:rsid w:val="006C766A"/>
    <w:rsid w:val="006E0A71"/>
    <w:rsid w:val="006E766C"/>
    <w:rsid w:val="006E7B3D"/>
    <w:rsid w:val="006F2AE1"/>
    <w:rsid w:val="006F5F9C"/>
    <w:rsid w:val="00714385"/>
    <w:rsid w:val="00721AAE"/>
    <w:rsid w:val="00725B33"/>
    <w:rsid w:val="00730C09"/>
    <w:rsid w:val="00734481"/>
    <w:rsid w:val="0073739B"/>
    <w:rsid w:val="00754B5D"/>
    <w:rsid w:val="007640AE"/>
    <w:rsid w:val="00770460"/>
    <w:rsid w:val="00771038"/>
    <w:rsid w:val="0077183C"/>
    <w:rsid w:val="007727E1"/>
    <w:rsid w:val="007830C0"/>
    <w:rsid w:val="00791DCE"/>
    <w:rsid w:val="0079255B"/>
    <w:rsid w:val="0079626F"/>
    <w:rsid w:val="00797444"/>
    <w:rsid w:val="007A08C7"/>
    <w:rsid w:val="007A4973"/>
    <w:rsid w:val="007B31DF"/>
    <w:rsid w:val="007C6D95"/>
    <w:rsid w:val="007D7757"/>
    <w:rsid w:val="007E4724"/>
    <w:rsid w:val="008226E2"/>
    <w:rsid w:val="0084587B"/>
    <w:rsid w:val="00850BDD"/>
    <w:rsid w:val="008652D9"/>
    <w:rsid w:val="00866B99"/>
    <w:rsid w:val="00871517"/>
    <w:rsid w:val="008738F0"/>
    <w:rsid w:val="008755BC"/>
    <w:rsid w:val="008812A8"/>
    <w:rsid w:val="00894165"/>
    <w:rsid w:val="008964AE"/>
    <w:rsid w:val="008B0934"/>
    <w:rsid w:val="008B631A"/>
    <w:rsid w:val="008C07A8"/>
    <w:rsid w:val="008C4AC7"/>
    <w:rsid w:val="008D11A7"/>
    <w:rsid w:val="008D37A9"/>
    <w:rsid w:val="008D6466"/>
    <w:rsid w:val="008E14B4"/>
    <w:rsid w:val="008E645E"/>
    <w:rsid w:val="008E76CF"/>
    <w:rsid w:val="008F2B35"/>
    <w:rsid w:val="008F59F5"/>
    <w:rsid w:val="008F5E10"/>
    <w:rsid w:val="0090126C"/>
    <w:rsid w:val="00912691"/>
    <w:rsid w:val="009302F4"/>
    <w:rsid w:val="00940E38"/>
    <w:rsid w:val="00952493"/>
    <w:rsid w:val="009559D3"/>
    <w:rsid w:val="009631CC"/>
    <w:rsid w:val="00963F25"/>
    <w:rsid w:val="00966694"/>
    <w:rsid w:val="00973A0B"/>
    <w:rsid w:val="009901BC"/>
    <w:rsid w:val="009957B0"/>
    <w:rsid w:val="009959C6"/>
    <w:rsid w:val="009A26C8"/>
    <w:rsid w:val="009A5D13"/>
    <w:rsid w:val="009C0C6F"/>
    <w:rsid w:val="009C3684"/>
    <w:rsid w:val="009C73D8"/>
    <w:rsid w:val="009C7CD3"/>
    <w:rsid w:val="009C7E8D"/>
    <w:rsid w:val="009D0FF6"/>
    <w:rsid w:val="009E7E49"/>
    <w:rsid w:val="009F1461"/>
    <w:rsid w:val="009F3AB4"/>
    <w:rsid w:val="00A01421"/>
    <w:rsid w:val="00A02DFF"/>
    <w:rsid w:val="00A039BC"/>
    <w:rsid w:val="00A042B9"/>
    <w:rsid w:val="00A0619E"/>
    <w:rsid w:val="00A10E89"/>
    <w:rsid w:val="00A3533D"/>
    <w:rsid w:val="00A532F1"/>
    <w:rsid w:val="00A5558D"/>
    <w:rsid w:val="00A72643"/>
    <w:rsid w:val="00A753C2"/>
    <w:rsid w:val="00A76B8E"/>
    <w:rsid w:val="00A87DF8"/>
    <w:rsid w:val="00A94DD6"/>
    <w:rsid w:val="00AB5016"/>
    <w:rsid w:val="00AB7107"/>
    <w:rsid w:val="00AD588B"/>
    <w:rsid w:val="00AD6EE9"/>
    <w:rsid w:val="00AF4CAB"/>
    <w:rsid w:val="00B04F40"/>
    <w:rsid w:val="00B06966"/>
    <w:rsid w:val="00B265C1"/>
    <w:rsid w:val="00B35AF6"/>
    <w:rsid w:val="00B40E38"/>
    <w:rsid w:val="00B454AE"/>
    <w:rsid w:val="00B531AE"/>
    <w:rsid w:val="00B75DB2"/>
    <w:rsid w:val="00B83370"/>
    <w:rsid w:val="00B85398"/>
    <w:rsid w:val="00B8552B"/>
    <w:rsid w:val="00B8574E"/>
    <w:rsid w:val="00B938D2"/>
    <w:rsid w:val="00B95103"/>
    <w:rsid w:val="00BA5735"/>
    <w:rsid w:val="00BB4306"/>
    <w:rsid w:val="00BB781B"/>
    <w:rsid w:val="00BC6F24"/>
    <w:rsid w:val="00BE1D20"/>
    <w:rsid w:val="00BF7576"/>
    <w:rsid w:val="00C05339"/>
    <w:rsid w:val="00C05626"/>
    <w:rsid w:val="00C06799"/>
    <w:rsid w:val="00C11034"/>
    <w:rsid w:val="00C158ED"/>
    <w:rsid w:val="00C24AFF"/>
    <w:rsid w:val="00C260ED"/>
    <w:rsid w:val="00C33F30"/>
    <w:rsid w:val="00C41B90"/>
    <w:rsid w:val="00C52D05"/>
    <w:rsid w:val="00C567C8"/>
    <w:rsid w:val="00C763C4"/>
    <w:rsid w:val="00C809FD"/>
    <w:rsid w:val="00C8207D"/>
    <w:rsid w:val="00CA7EEF"/>
    <w:rsid w:val="00CB67AA"/>
    <w:rsid w:val="00CC61AD"/>
    <w:rsid w:val="00CC7BEB"/>
    <w:rsid w:val="00CD53AB"/>
    <w:rsid w:val="00CD694E"/>
    <w:rsid w:val="00CD7861"/>
    <w:rsid w:val="00CE0F44"/>
    <w:rsid w:val="00CF005C"/>
    <w:rsid w:val="00D14128"/>
    <w:rsid w:val="00D14793"/>
    <w:rsid w:val="00D17498"/>
    <w:rsid w:val="00D45F1A"/>
    <w:rsid w:val="00D570D1"/>
    <w:rsid w:val="00D662F1"/>
    <w:rsid w:val="00DA6B98"/>
    <w:rsid w:val="00DC20BB"/>
    <w:rsid w:val="00DC2274"/>
    <w:rsid w:val="00DD04B5"/>
    <w:rsid w:val="00DD5171"/>
    <w:rsid w:val="00DE5E81"/>
    <w:rsid w:val="00DF0781"/>
    <w:rsid w:val="00E02781"/>
    <w:rsid w:val="00E16A18"/>
    <w:rsid w:val="00E20256"/>
    <w:rsid w:val="00E233C9"/>
    <w:rsid w:val="00E26C68"/>
    <w:rsid w:val="00E31515"/>
    <w:rsid w:val="00E355D8"/>
    <w:rsid w:val="00E37254"/>
    <w:rsid w:val="00E41E37"/>
    <w:rsid w:val="00E43EFC"/>
    <w:rsid w:val="00E44553"/>
    <w:rsid w:val="00E65771"/>
    <w:rsid w:val="00E72CC3"/>
    <w:rsid w:val="00E8178A"/>
    <w:rsid w:val="00E93FE9"/>
    <w:rsid w:val="00E9429A"/>
    <w:rsid w:val="00E97EEA"/>
    <w:rsid w:val="00EA19E6"/>
    <w:rsid w:val="00EA47B9"/>
    <w:rsid w:val="00EA6D3A"/>
    <w:rsid w:val="00EB58AD"/>
    <w:rsid w:val="00EC0633"/>
    <w:rsid w:val="00ED4C46"/>
    <w:rsid w:val="00ED7BFB"/>
    <w:rsid w:val="00F0537A"/>
    <w:rsid w:val="00F05D57"/>
    <w:rsid w:val="00F06763"/>
    <w:rsid w:val="00F13D96"/>
    <w:rsid w:val="00F33BF3"/>
    <w:rsid w:val="00F444B7"/>
    <w:rsid w:val="00F5607F"/>
    <w:rsid w:val="00F57C11"/>
    <w:rsid w:val="00F625B5"/>
    <w:rsid w:val="00F6330E"/>
    <w:rsid w:val="00F645A2"/>
    <w:rsid w:val="00F6462D"/>
    <w:rsid w:val="00F74BEE"/>
    <w:rsid w:val="00F831D9"/>
    <w:rsid w:val="00F92AE5"/>
    <w:rsid w:val="00F94518"/>
    <w:rsid w:val="00FA160E"/>
    <w:rsid w:val="00FB0E38"/>
    <w:rsid w:val="00FB5B51"/>
    <w:rsid w:val="00FC03E3"/>
    <w:rsid w:val="00FC3924"/>
    <w:rsid w:val="00FD3860"/>
    <w:rsid w:val="00FD6090"/>
    <w:rsid w:val="00FE4DAE"/>
    <w:rsid w:val="00FF390E"/>
    <w:rsid w:val="016C9B80"/>
    <w:rsid w:val="041F2E00"/>
    <w:rsid w:val="05B6732D"/>
    <w:rsid w:val="06F92B37"/>
    <w:rsid w:val="07CF4A21"/>
    <w:rsid w:val="08586530"/>
    <w:rsid w:val="08FAAA0B"/>
    <w:rsid w:val="0A07A295"/>
    <w:rsid w:val="0A14EFE4"/>
    <w:rsid w:val="0A7EBF05"/>
    <w:rsid w:val="0B9B4DD2"/>
    <w:rsid w:val="144EA645"/>
    <w:rsid w:val="15B32F9C"/>
    <w:rsid w:val="15D9E491"/>
    <w:rsid w:val="188CB917"/>
    <w:rsid w:val="1CB82EAA"/>
    <w:rsid w:val="1D4CB9EE"/>
    <w:rsid w:val="1F64E618"/>
    <w:rsid w:val="2207D382"/>
    <w:rsid w:val="289BAE71"/>
    <w:rsid w:val="2BB3BEE8"/>
    <w:rsid w:val="2D64AF0F"/>
    <w:rsid w:val="300C05C1"/>
    <w:rsid w:val="345DA50B"/>
    <w:rsid w:val="3BB5A03B"/>
    <w:rsid w:val="4492658D"/>
    <w:rsid w:val="450FCA77"/>
    <w:rsid w:val="4C080ED8"/>
    <w:rsid w:val="4CFEDEB7"/>
    <w:rsid w:val="4D5A5188"/>
    <w:rsid w:val="4F76481D"/>
    <w:rsid w:val="4F85D9CE"/>
    <w:rsid w:val="50FC5E70"/>
    <w:rsid w:val="576613AD"/>
    <w:rsid w:val="60E51AA7"/>
    <w:rsid w:val="6780A56E"/>
    <w:rsid w:val="68E4C4E6"/>
    <w:rsid w:val="6B14E369"/>
    <w:rsid w:val="6E9C2D08"/>
    <w:rsid w:val="70CB0E05"/>
    <w:rsid w:val="714E67FC"/>
    <w:rsid w:val="732C47F3"/>
    <w:rsid w:val="75490F3E"/>
    <w:rsid w:val="77CC0691"/>
    <w:rsid w:val="7E01EB59"/>
    <w:rsid w:val="7F90AF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6F5811"/>
  <w15:chartTrackingRefBased/>
  <w15:docId w15:val="{12D5B4CD-4FEB-451A-884F-6E802F8ED9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a-D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C763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unhideWhenUsed/>
    <w:qFormat/>
    <w:rsid w:val="00C763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C763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C763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C763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C763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C763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C763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C763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Overskrift1Tegn">
    <w:name w:val="Overskrift 1 Tegn"/>
    <w:basedOn w:val="Standardskrifttypeiafsnit"/>
    <w:link w:val="Overskrift1"/>
    <w:uiPriority w:val="9"/>
    <w:rsid w:val="00C763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typeiafsnit"/>
    <w:link w:val="Overskrift2"/>
    <w:uiPriority w:val="9"/>
    <w:rsid w:val="00C763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typeiafsnit"/>
    <w:link w:val="Overskrift3"/>
    <w:uiPriority w:val="9"/>
    <w:semiHidden/>
    <w:rsid w:val="00C763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typeiafsnit"/>
    <w:link w:val="Overskrift4"/>
    <w:uiPriority w:val="9"/>
    <w:semiHidden/>
    <w:rsid w:val="00C763C4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typeiafsnit"/>
    <w:link w:val="Overskrift5"/>
    <w:uiPriority w:val="9"/>
    <w:semiHidden/>
    <w:rsid w:val="00C763C4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typeiafsnit"/>
    <w:link w:val="Overskrift6"/>
    <w:uiPriority w:val="9"/>
    <w:semiHidden/>
    <w:rsid w:val="00C763C4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typeiafsnit"/>
    <w:link w:val="Overskrift7"/>
    <w:uiPriority w:val="9"/>
    <w:semiHidden/>
    <w:rsid w:val="00C763C4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typeiafsnit"/>
    <w:link w:val="Overskrift8"/>
    <w:uiPriority w:val="9"/>
    <w:semiHidden/>
    <w:rsid w:val="00C763C4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typeiafsnit"/>
    <w:link w:val="Overskrift9"/>
    <w:uiPriority w:val="9"/>
    <w:semiHidden/>
    <w:rsid w:val="00C763C4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Normal"/>
    <w:next w:val="Normal"/>
    <w:link w:val="TitelTegn"/>
    <w:uiPriority w:val="10"/>
    <w:qFormat/>
    <w:rsid w:val="00C763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Tegn">
    <w:name w:val="Titel Tegn"/>
    <w:basedOn w:val="Standardskrifttypeiafsnit"/>
    <w:link w:val="Titel"/>
    <w:uiPriority w:val="10"/>
    <w:rsid w:val="00C763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el">
    <w:name w:val="Subtitle"/>
    <w:basedOn w:val="Normal"/>
    <w:next w:val="Normal"/>
    <w:link w:val="UndertitelTegn"/>
    <w:uiPriority w:val="11"/>
    <w:qFormat/>
    <w:rsid w:val="00C763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elTegn">
    <w:name w:val="Undertitel Tegn"/>
    <w:basedOn w:val="Standardskrifttypeiafsnit"/>
    <w:link w:val="Undertitel"/>
    <w:uiPriority w:val="11"/>
    <w:rsid w:val="00C763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Tegn"/>
    <w:uiPriority w:val="29"/>
    <w:qFormat/>
    <w:rsid w:val="00C763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Tegn">
    <w:name w:val="Citat Tegn"/>
    <w:basedOn w:val="Standardskrifttypeiafsnit"/>
    <w:link w:val="Citat"/>
    <w:uiPriority w:val="29"/>
    <w:rsid w:val="00C763C4"/>
    <w:rPr>
      <w:i/>
      <w:iCs/>
      <w:color w:val="404040" w:themeColor="text1" w:themeTint="BF"/>
    </w:rPr>
  </w:style>
  <w:style w:type="paragraph" w:styleId="Listeafsnit">
    <w:name w:val="List Paragraph"/>
    <w:basedOn w:val="Normal"/>
    <w:uiPriority w:val="34"/>
    <w:qFormat/>
    <w:rsid w:val="00C763C4"/>
    <w:pPr>
      <w:ind w:left="720"/>
      <w:contextualSpacing/>
    </w:pPr>
  </w:style>
  <w:style w:type="character" w:styleId="Kraftigfremhvning">
    <w:name w:val="Intense Emphasis"/>
    <w:basedOn w:val="Standardskrifttypeiafsnit"/>
    <w:uiPriority w:val="21"/>
    <w:qFormat/>
    <w:rsid w:val="00C763C4"/>
    <w:rPr>
      <w:i/>
      <w:iCs/>
      <w:color w:val="0F4761" w:themeColor="accent1" w:themeShade="BF"/>
    </w:rPr>
  </w:style>
  <w:style w:type="paragraph" w:styleId="Strktcitat">
    <w:name w:val="Intense Quote"/>
    <w:basedOn w:val="Normal"/>
    <w:next w:val="Normal"/>
    <w:link w:val="StrktcitatTegn"/>
    <w:uiPriority w:val="30"/>
    <w:qFormat/>
    <w:rsid w:val="00C763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rktcitatTegn">
    <w:name w:val="Stærkt citat Tegn"/>
    <w:basedOn w:val="Standardskrifttypeiafsnit"/>
    <w:link w:val="Strktcitat"/>
    <w:uiPriority w:val="30"/>
    <w:rsid w:val="00C763C4"/>
    <w:rPr>
      <w:i/>
      <w:iCs/>
      <w:color w:val="0F4761" w:themeColor="accent1" w:themeShade="BF"/>
    </w:rPr>
  </w:style>
  <w:style w:type="character" w:styleId="Kraftighenvisning">
    <w:name w:val="Intense Reference"/>
    <w:basedOn w:val="Standardskrifttypeiafsnit"/>
    <w:uiPriority w:val="32"/>
    <w:qFormat/>
    <w:rsid w:val="00C763C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Standardskrifttypeiafsnit"/>
    <w:uiPriority w:val="99"/>
    <w:unhideWhenUsed/>
    <w:rsid w:val="007D7757"/>
    <w:rPr>
      <w:color w:val="467886" w:themeColor="hyperlink"/>
      <w:u w:val="single"/>
    </w:rPr>
  </w:style>
  <w:style w:type="character" w:styleId="Ulstomtale">
    <w:name w:val="Unresolved Mention"/>
    <w:basedOn w:val="Standardskrifttypeiafsnit"/>
    <w:uiPriority w:val="99"/>
    <w:semiHidden/>
    <w:unhideWhenUsed/>
    <w:rsid w:val="007D7757"/>
    <w:rPr>
      <w:color w:val="605E5C"/>
      <w:shd w:val="clear" w:color="auto" w:fill="E1DFDD"/>
    </w:rPr>
  </w:style>
  <w:style w:type="character" w:styleId="BesgtLink">
    <w:name w:val="FollowedHyperlink"/>
    <w:basedOn w:val="Standardskrifttypeiafsnit"/>
    <w:uiPriority w:val="99"/>
    <w:semiHidden/>
    <w:unhideWhenUsed/>
    <w:rsid w:val="00F33BF3"/>
    <w:rPr>
      <w:color w:val="96607D" w:themeColor="followedHyperlink"/>
      <w:u w:val="single"/>
    </w:rPr>
  </w:style>
  <w:style w:type="paragraph" w:styleId="Korrektur">
    <w:name w:val="Revision"/>
    <w:hidden/>
    <w:uiPriority w:val="99"/>
    <w:semiHidden/>
    <w:rsid w:val="00481E3C"/>
    <w:pPr>
      <w:spacing w:after="0" w:line="240" w:lineRule="auto"/>
    </w:pPr>
  </w:style>
  <w:style w:type="paragraph" w:styleId="Fodnotetekst">
    <w:name w:val="footnote text"/>
    <w:basedOn w:val="Normal"/>
    <w:link w:val="FodnotetekstTegn"/>
    <w:uiPriority w:val="99"/>
    <w:semiHidden/>
    <w:unhideWhenUsed/>
    <w:rsid w:val="00481E3C"/>
    <w:pPr>
      <w:spacing w:after="0" w:line="240" w:lineRule="auto"/>
    </w:pPr>
    <w:rPr>
      <w:sz w:val="20"/>
      <w:szCs w:val="20"/>
    </w:rPr>
  </w:style>
  <w:style w:type="character" w:customStyle="1" w:styleId="FodnotetekstTegn">
    <w:name w:val="Fodnotetekst Tegn"/>
    <w:basedOn w:val="Standardskrifttypeiafsnit"/>
    <w:link w:val="Fodnotetekst"/>
    <w:uiPriority w:val="99"/>
    <w:semiHidden/>
    <w:rsid w:val="00481E3C"/>
    <w:rPr>
      <w:sz w:val="20"/>
      <w:szCs w:val="20"/>
    </w:rPr>
  </w:style>
  <w:style w:type="character" w:styleId="Fodnotehenvisning">
    <w:name w:val="footnote reference"/>
    <w:basedOn w:val="Standardskrifttypeiafsnit"/>
    <w:uiPriority w:val="99"/>
    <w:semiHidden/>
    <w:unhideWhenUsed/>
    <w:rsid w:val="00481E3C"/>
    <w:rPr>
      <w:vertAlign w:val="superscript"/>
    </w:rPr>
  </w:style>
  <w:style w:type="paragraph" w:styleId="Sidehoved">
    <w:name w:val="header"/>
    <w:basedOn w:val="Normal"/>
    <w:link w:val="SidehovedTegn"/>
    <w:uiPriority w:val="99"/>
    <w:semiHidden/>
    <w:unhideWhenUsed/>
    <w:rsid w:val="00B35AF6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SidehovedTegn">
    <w:name w:val="Sidehoved Tegn"/>
    <w:basedOn w:val="Standardskrifttypeiafsnit"/>
    <w:link w:val="Sidehoved"/>
    <w:uiPriority w:val="99"/>
    <w:semiHidden/>
    <w:rsid w:val="00B35AF6"/>
  </w:style>
  <w:style w:type="paragraph" w:styleId="Sidefod">
    <w:name w:val="footer"/>
    <w:basedOn w:val="Normal"/>
    <w:link w:val="SidefodTegn"/>
    <w:uiPriority w:val="99"/>
    <w:semiHidden/>
    <w:unhideWhenUsed/>
    <w:rsid w:val="00B35AF6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SidefodTegn">
    <w:name w:val="Sidefod Tegn"/>
    <w:basedOn w:val="Standardskrifttypeiafsnit"/>
    <w:link w:val="Sidefod"/>
    <w:uiPriority w:val="99"/>
    <w:semiHidden/>
    <w:rsid w:val="00B35AF6"/>
  </w:style>
  <w:style w:type="character" w:styleId="Slutnotehenvisning">
    <w:name w:val="endnote reference"/>
    <w:basedOn w:val="Standardskrifttypeiafsnit"/>
    <w:uiPriority w:val="99"/>
    <w:semiHidden/>
    <w:unhideWhenUsed/>
    <w:rsid w:val="00271556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footnotes.xml.rels><?xml version="1.0" encoding="UTF-8" standalone="yes"?>
<Relationships xmlns="http://schemas.openxmlformats.org/package/2006/relationships"><Relationship Id="rId1" Type="http://schemas.openxmlformats.org/officeDocument/2006/relationships/hyperlink" Target="https://doi.org/10.1111/hic3.12530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b9d24f27-df9e-4bb2-b407-443439d313ec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E8E6746424E1934CBE3F536F31989882" ma:contentTypeVersion="5" ma:contentTypeDescription="Opret et nyt dokument." ma:contentTypeScope="" ma:versionID="26ff9db5842dcb6c575e2fcd49116ad2">
  <xsd:schema xmlns:xsd="http://www.w3.org/2001/XMLSchema" xmlns:xs="http://www.w3.org/2001/XMLSchema" xmlns:p="http://schemas.microsoft.com/office/2006/metadata/properties" xmlns:ns3="b9d24f27-df9e-4bb2-b407-443439d313ec" targetNamespace="http://schemas.microsoft.com/office/2006/metadata/properties" ma:root="true" ma:fieldsID="6c92312199131e221362ead87b4a9a7e" ns3:_="">
    <xsd:import namespace="b9d24f27-df9e-4bb2-b407-443439d313ec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9d24f27-df9e-4bb2-b407-443439d313ec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dhol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4B7C4D6-5EDB-4118-AC26-5450F5CD9CD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AF4FED6-B776-4F67-BB6C-6B85E70B53B6}">
  <ds:schemaRefs>
    <ds:schemaRef ds:uri="http://schemas.microsoft.com/office/2006/metadata/properties"/>
    <ds:schemaRef ds:uri="http://schemas.microsoft.com/office/infopath/2007/PartnerControls"/>
    <ds:schemaRef ds:uri="b9d24f27-df9e-4bb2-b407-443439d313ec"/>
  </ds:schemaRefs>
</ds:datastoreItem>
</file>

<file path=customXml/itemProps3.xml><?xml version="1.0" encoding="utf-8"?>
<ds:datastoreItem xmlns:ds="http://schemas.openxmlformats.org/officeDocument/2006/customXml" ds:itemID="{86579CBC-84C4-4B00-A4F8-9E9885EA5CD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9d24f27-df9e-4bb2-b407-443439d313e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2809BB27-94B8-4525-AC7D-40C64968795C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61fd1d36-fecb-47ca-b7d7-d0df0370a198}" enabled="0" method="" siteId="{61fd1d36-fecb-47ca-b7d7-d0df0370a198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12009</TotalTime>
  <Pages>4</Pages>
  <Words>1092</Words>
  <Characters>6665</Characters>
  <Application>Microsoft Office Word</Application>
  <DocSecurity>0</DocSecurity>
  <Lines>55</Lines>
  <Paragraphs>15</Paragraphs>
  <ScaleCrop>false</ScaleCrop>
  <Company/>
  <LinksUpToDate>false</LinksUpToDate>
  <CharactersWithSpaces>7742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Conrad Bagger Isvik;Manuel Østrem Mørch</dc:creator>
  <cp:keywords/>
  <dc:description/>
  <cp:lastModifiedBy>Conrad Bagger Isvik</cp:lastModifiedBy>
  <cp:revision>241</cp:revision>
  <dcterms:created xsi:type="dcterms:W3CDTF">2026-04-23T16:17:00Z</dcterms:created>
  <dcterms:modified xsi:type="dcterms:W3CDTF">2026-05-20T10:51:00Z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0x010100E8E6746424E1934CBE3F536F31989882</vt:lpwstr>
  </property>
  <property fmtid="{D5CDD505-2E9C-101B-9397-08002B2CF9AE}" pid="3" name="ZOTERO_PREF_1">
    <vt:lpwstr>&lt;data data-version="3" zotero-version="7.0.32"&gt;&lt;session id="acxCtdY2"/&gt;&lt;style id="http://www.zotero.org/styles/chicago-notes-bibliography" locale="en-GB" hasBibliography="1" bibliographyStyleHasBeenSet="0"/&gt;&lt;prefs&gt;&lt;pref name="fieldType" value="Field"/&gt;&lt;pr</vt:lpwstr>
  </property>
  <property fmtid="{D5CDD505-2E9C-101B-9397-08002B2CF9AE}" pid="4" name="ZOTERO_PREF_2">
    <vt:lpwstr>ef name="automaticJournalAbbreviations" value="true"/&gt;&lt;pref name="noteType" value="1"/&gt;&lt;/prefs&gt;&lt;/data&gt;</vt:lpwstr>
  </property>
  <property fmtid="{D5CDD505-2E9C-101B-9397-08002B2CF9AE}" pid="5" name="GrammarlyDocumentId">
    <vt:lpwstr>476ef1bd-4746-49c3-a09c-b7d903bc0a22</vt:lpwstr>
  </property>
</Properties>
</file>