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ANEXO 1</w:t>
      </w:r>
    </w:p>
    <w:p>
      <w:pPr>
        <w:spacing w:after="60"/>
        <w:jc w:val="center"/>
      </w:pPr>
      <w:r>
        <w:rPr>
          <w:b/>
          <w:bCs/>
          <w:sz w:val="24"/>
          <w:szCs w:val="24"/>
        </w:rPr>
        <w:t xml:space="preserve">FORMATO DE ENTREGA FINAL</w:t>
      </w:r>
    </w:p>
    <w:p>
      <w:pPr>
        <w:spacing w:after="320"/>
        <w:jc w:val="center"/>
      </w:pPr>
      <w:r>
        <w:rPr>
          <w:i/>
          <w:iCs/>
          <w:sz w:val="18"/>
          <w:szCs w:val="18"/>
        </w:rPr>
        <w:t xml:space="preserve">Hackatón Niño San Borja 2026 — Instituto Nacional de Salud del Niño San Borja</w:t>
      </w:r>
    </w:p>
    <w:p>
      <w:pPr>
        <w:pStyle w:val="Heading2"/>
        <w:spacing w:after="160" w:before="320"/>
      </w:pPr>
      <w:r>
        <w:rPr>
          <w:b/>
          <w:bCs/>
          <w:color w:val="000000"/>
          <w:sz w:val="24"/>
          <w:szCs w:val="24"/>
        </w:rPr>
        <w:t xml:space="preserve">1. Datos generales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A8D5E2" w:color="auto" w:val="clear"/>
            <w:tcMar>
              <w:top w:type="dxa" w:w="80"/>
              <w:left w:type="dxa" w:w="120"/>
              <w:bottom w:type="dxa" w:w="80"/>
              <w:right w:type="dxa" w:w="120"/>
            </w:tcMar>
            <w:vAlign w:val="top"/>
          </w:tcPr>
          <w:p>
            <w:pPr>
              <w:jc w:val="center"/>
            </w:pPr>
            <w:r>
              <w:rPr>
                <w:b/>
                <w:bCs/>
                <w:sz w:val="20"/>
                <w:szCs w:val="20"/>
              </w:rPr>
              <w:t xml:space="preserve">Campo</w:t>
            </w:r>
          </w:p>
        </w:tc>
        <w:tc>
          <w:tcPr>
            <w:tcW w:type="dxa" w:w="6300"/>
            <w:shd w:fill="A8D5E2" w:color="auto" w:val="clear"/>
            <w:tcMar>
              <w:top w:type="dxa" w:w="80"/>
              <w:left w:type="dxa" w:w="120"/>
              <w:bottom w:type="dxa" w:w="80"/>
              <w:right w:type="dxa" w:w="120"/>
            </w:tcMar>
            <w:vAlign w:val="top"/>
          </w:tcPr>
          <w:p>
            <w:pPr>
              <w:jc w:val="center"/>
            </w:pPr>
            <w:r>
              <w:rPr>
                <w:b/>
                <w:bCs/>
                <w:sz w:val="20"/>
                <w:szCs w:val="20"/>
              </w:rPr>
              <w:t xml:space="preserve">Información</w:t>
            </w:r>
          </w:p>
        </w:tc>
      </w:tr>
      <w:tr>
        <w:tc>
          <w:tcPr>
            <w:tcW w:type="dxa" w:w="2700"/>
            <w:tcMar>
              <w:top w:type="dxa" w:w="80"/>
              <w:left w:type="dxa" w:w="120"/>
              <w:bottom w:type="dxa" w:w="80"/>
              <w:right w:type="dxa" w:w="120"/>
            </w:tcMar>
            <w:vAlign w:val="top"/>
          </w:tcPr>
          <w:p>
            <w:r>
              <w:rPr>
                <w:b/>
                <w:bCs/>
                <w:sz w:val="20"/>
                <w:szCs w:val="20"/>
              </w:rPr>
              <w:t xml:space="preserve">Nombre del equipo</w:t>
            </w:r>
          </w:p>
        </w:tc>
        <w:tc>
          <w:tcPr>
            <w:tcW w:type="dxa" w:w="6300"/>
            <w:tcMar>
              <w:top w:type="dxa" w:w="80"/>
              <w:left w:type="dxa" w:w="120"/>
              <w:bottom w:type="dxa" w:w="80"/>
              <w:right w:type="dxa" w:w="120"/>
            </w:tcMar>
            <w:vAlign w:val="top"/>
          </w:tcPr>
          <w:p>
            <w:pPr>
              <w:spacing w:after="80" w:line="276"/>
            </w:pPr>
            <w:r>
              <w:rPr>
                <w:b/>
                <w:bCs/>
                <w:color w:val="C00000"/>
                <w:sz w:val="20"/>
                <w:szCs w:val="20"/>
              </w:rPr>
              <w:t xml:space="preserve">[COMPLETAR: nombre del equipo tal como figura en el Anexo 3]</w:t>
            </w:r>
          </w:p>
        </w:tc>
      </w:tr>
      <w:tr>
        <w:tc>
          <w:tcPr>
            <w:tcW w:type="dxa" w:w="2700"/>
            <w:tcMar>
              <w:top w:type="dxa" w:w="80"/>
              <w:left w:type="dxa" w:w="120"/>
              <w:bottom w:type="dxa" w:w="80"/>
              <w:right w:type="dxa" w:w="120"/>
            </w:tcMar>
            <w:vAlign w:val="top"/>
          </w:tcPr>
          <w:p>
            <w:r>
              <w:rPr>
                <w:b/>
                <w:bCs/>
                <w:sz w:val="20"/>
                <w:szCs w:val="20"/>
              </w:rPr>
              <w:t xml:space="preserve">Nombre de la solución</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Cardio Alerta Perú</w:t>
            </w:r>
          </w:p>
        </w:tc>
      </w:tr>
      <w:tr>
        <w:tc>
          <w:tcPr>
            <w:tcW w:type="dxa" w:w="2700"/>
            <w:tcMar>
              <w:top w:type="dxa" w:w="80"/>
              <w:left w:type="dxa" w:w="120"/>
              <w:bottom w:type="dxa" w:w="80"/>
              <w:right w:type="dxa" w:w="120"/>
            </w:tcMar>
            <w:vAlign w:val="top"/>
          </w:tcPr>
          <w:p>
            <w:r>
              <w:rPr>
                <w:b/>
                <w:bCs/>
                <w:sz w:val="20"/>
                <w:szCs w:val="20"/>
              </w:rPr>
              <w:t xml:space="preserve">Desafío seleccionado</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Desafío 2 — Cardio Alerta Perú: cuidando corazones desde el primer latido</w:t>
            </w:r>
          </w:p>
        </w:tc>
      </w:tr>
    </w:tbl>
    <w:p>
      <w:pPr>
        <w:pStyle w:val="Heading2"/>
        <w:spacing w:after="160" w:before="320"/>
      </w:pPr>
      <w:r>
        <w:rPr>
          <w:b/>
          <w:bCs/>
          <w:color w:val="000000"/>
          <w:sz w:val="24"/>
          <w:szCs w:val="24"/>
        </w:rPr>
        <w:t xml:space="preserve">2. Descripción de la solución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A8D5E2" w:color="auto" w:val="clear"/>
            <w:tcMar>
              <w:top w:type="dxa" w:w="80"/>
              <w:left w:type="dxa" w:w="120"/>
              <w:bottom w:type="dxa" w:w="80"/>
              <w:right w:type="dxa" w:w="120"/>
            </w:tcMar>
            <w:vAlign w:val="top"/>
          </w:tcPr>
          <w:p>
            <w:pPr>
              <w:jc w:val="center"/>
            </w:pPr>
            <w:r>
              <w:rPr>
                <w:b/>
                <w:bCs/>
                <w:sz w:val="20"/>
                <w:szCs w:val="20"/>
              </w:rPr>
              <w:t xml:space="preserve">Aspecto</w:t>
            </w:r>
          </w:p>
        </w:tc>
        <w:tc>
          <w:tcPr>
            <w:tcW w:type="dxa" w:w="6300"/>
            <w:shd w:fill="A8D5E2" w:color="auto" w:val="clear"/>
            <w:tcMar>
              <w:top w:type="dxa" w:w="80"/>
              <w:left w:type="dxa" w:w="120"/>
              <w:bottom w:type="dxa" w:w="80"/>
              <w:right w:type="dxa" w:w="120"/>
            </w:tcMar>
            <w:vAlign w:val="top"/>
          </w:tcPr>
          <w:p>
            <w:pPr>
              <w:jc w:val="center"/>
            </w:pPr>
            <w:r>
              <w:rPr>
                <w:b/>
                <w:bCs/>
                <w:sz w:val="20"/>
                <w:szCs w:val="20"/>
              </w:rPr>
              <w:t xml:space="preserve">Descripción</w:t>
            </w:r>
          </w:p>
        </w:tc>
      </w:tr>
      <w:tr>
        <w:tc>
          <w:tcPr>
            <w:tcW w:type="dxa" w:w="2700"/>
            <w:tcMar>
              <w:top w:type="dxa" w:w="80"/>
              <w:left w:type="dxa" w:w="120"/>
              <w:bottom w:type="dxa" w:w="80"/>
              <w:right w:type="dxa" w:w="120"/>
            </w:tcMar>
            <w:vAlign w:val="top"/>
          </w:tcPr>
          <w:p>
            <w:r>
              <w:rPr>
                <w:b/>
                <w:bCs/>
                <w:sz w:val="20"/>
                <w:szCs w:val="20"/>
              </w:rPr>
              <w:t xml:space="preserve">Descripción del desafío</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El tamizaje neonatal de cardiopatía congénita crítica por oximetría de pulso emplea internacionalmente un corte de 95 % de saturación, valor establecido a nivel del mar. El Perú concentra una proporción alta de nacimientos por encima de los 2 500 msnm, donde ese corte no es aplicable: un recién nacido sano en Juliaca (3 825 msnm) satura alrededor de 88 %, de modo que el umbral internacional lo clasifica como positivo y desencadena una derivación de cientos de kilómetros para un paciente sin patología.</w:t>
            </w:r>
          </w:p>
          <w:p>
            <w:pPr>
              <w:spacing w:after="80" w:line="276"/>
              <w:jc w:val="both"/>
            </w:pPr>
            <w:r>
              <w:rPr>
                <w:b w:val="false"/>
                <w:bCs w:val="false"/>
                <w:i w:val="false"/>
                <w:iCs w:val="false"/>
                <w:sz w:val="20"/>
                <w:szCs w:val="20"/>
              </w:rPr>
              <w:t xml:space="preserve">Existen por tanto dos brechas simultáneas. La brecha de acceso: en el establecimiento de altura no hay cardiólogo pediatra, ecocardiógrafo ni personal capacitado para operarlo, por lo que el diagnóstico especializado no está disponible en el punto donde nace el niño. Y la brecha de umbral: un tamizaje que ignora la altitud genera falsos positivos que agotan la confianza del personal y el presupuesto de traslados. La cardiopatía congénita crítica es una de las principales causas de muerte neonatal evitable en el país.</w:t>
            </w:r>
          </w:p>
          <w:p>
            <w:pPr>
              <w:spacing w:after="80" w:line="276"/>
              <w:jc w:val="both"/>
            </w:pPr>
            <w:r>
              <w:rPr>
                <w:b w:val="false"/>
                <w:bCs w:val="false"/>
                <w:i w:val="false"/>
                <w:iCs w:val="false"/>
                <w:sz w:val="20"/>
                <w:szCs w:val="20"/>
              </w:rPr>
              <w:t xml:space="preserve">El contexto normativo hace el problema urgente: la ley que modifica la Ley 29885, publicada en enero de 2024, incorporó la cardiopatía congénita al Programa de Tamizaje Neonatal Universal como condición de descarte obligatorio en todo nacido vivo durante los primeros 28 días de vida. Su implementación nacional está en curso y requiere un instrumento aplicable en todo el territorio.</w:t>
            </w:r>
          </w:p>
        </w:tc>
      </w:tr>
      <w:tr>
        <w:tc>
          <w:tcPr>
            <w:tcW w:type="dxa" w:w="2700"/>
            <w:tcMar>
              <w:top w:type="dxa" w:w="80"/>
              <w:left w:type="dxa" w:w="120"/>
              <w:bottom w:type="dxa" w:w="80"/>
              <w:right w:type="dxa" w:w="120"/>
            </w:tcMar>
            <w:vAlign w:val="top"/>
          </w:tcPr>
          <w:p>
            <w:r>
              <w:rPr>
                <w:b/>
                <w:bCs/>
                <w:sz w:val="20"/>
                <w:szCs w:val="20"/>
              </w:rPr>
              <w:t xml:space="preserve">Usuario o beneficiario principal</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Usuario directo: el profesional de enfermería sin especialización en cardiología neonatal, que es quien realiza la evaluación inicial del recién nacido en la mayoría de establecimientos del país, particularmente en el primer nivel de atención y en zonas de altura.</w:t>
            </w:r>
          </w:p>
          <w:p>
            <w:pPr>
              <w:spacing w:after="80" w:line="276"/>
              <w:jc w:val="both"/>
            </w:pPr>
            <w:r>
              <w:rPr>
                <w:b w:val="false"/>
                <w:bCs w:val="false"/>
                <w:i w:val="false"/>
                <w:iCs w:val="false"/>
                <w:sz w:val="20"/>
                <w:szCs w:val="20"/>
              </w:rPr>
              <w:t xml:space="preserve">Beneficiario final: el recién nacido tamizado y su familia. En zonas de altura, por la reducción de derivaciones innecesarias que implican traslados prolongados y costosos; en todo el territorio, por la detección oportuna de los casos que sí requieren evaluación especializada.</w:t>
            </w:r>
          </w:p>
          <w:p>
            <w:pPr>
              <w:spacing w:after="80" w:line="276"/>
              <w:jc w:val="both"/>
            </w:pPr>
            <w:r>
              <w:rPr>
                <w:b w:val="false"/>
                <w:bCs w:val="false"/>
                <w:i w:val="false"/>
                <w:iCs w:val="false"/>
                <w:sz w:val="20"/>
                <w:szCs w:val="20"/>
              </w:rPr>
              <w:t xml:space="preserve">Beneficiario institucional: los establecimientos de salud y las redes de referencia, que reciben derivaciones mejor filtradas, y el INSN San Borja como centro de referencia nacional.</w:t>
            </w:r>
          </w:p>
          <w:p>
            <w:pPr>
              <w:spacing w:after="80" w:line="276"/>
              <w:jc w:val="both"/>
            </w:pPr>
            <w:r>
              <w:rPr>
                <w:b w:val="false"/>
                <w:bCs w:val="false"/>
                <w:i w:val="false"/>
                <w:iCs w:val="false"/>
                <w:sz w:val="20"/>
                <w:szCs w:val="20"/>
              </w:rPr>
              <w:t xml:space="preserve">La solución se diseñó desde las condiciones reales de ese usuario: sin cardiólogo disponible, con un oxímetro de pulso —dispositivo que sí existe en el primer nivel— y con conectividad intermitente o ausente.</w:t>
            </w:r>
          </w:p>
        </w:tc>
      </w:tr>
      <w:tr>
        <w:tc>
          <w:tcPr>
            <w:tcW w:type="dxa" w:w="2700"/>
            <w:tcMar>
              <w:top w:type="dxa" w:w="80"/>
              <w:left w:type="dxa" w:w="120"/>
              <w:bottom w:type="dxa" w:w="80"/>
              <w:right w:type="dxa" w:w="120"/>
            </w:tcMar>
            <w:vAlign w:val="top"/>
          </w:tcPr>
          <w:p>
            <w:r>
              <w:rPr>
                <w:b/>
                <w:bCs/>
                <w:sz w:val="20"/>
                <w:szCs w:val="20"/>
              </w:rPr>
              <w:t xml:space="preserve">Solución propuesta</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Herramienta de apoyo al tamizaje neonatal que evalúa la saturación de oxígeno contra el umbral correspondiente a la altitud del establecimiento, y no contra un umbral genérico.</w:t>
            </w:r>
          </w:p>
          <w:p>
            <w:pPr>
              <w:spacing w:after="80" w:line="276"/>
              <w:jc w:val="both"/>
            </w:pPr>
            <w:r>
              <w:rPr>
                <w:b w:val="false"/>
                <w:bCs w:val="false"/>
                <w:i w:val="false"/>
                <w:iCs w:val="false"/>
                <w:sz w:val="20"/>
                <w:szCs w:val="20"/>
              </w:rPr>
              <w:t xml:space="preserve">Umbrales por banda de altitud. El corte de saturación no es un número único sino una tabla de tres bandas: B1 (0–2 499 msnm), B2 (2 500–3 499 msnm) y B3 (3 500–5 100 msnm), cada una con su valor crítico y su valor de aprobación. La misma medición produce resultados distintos —y clínicamente correctos— según dónde se tome.</w:t>
            </w:r>
          </w:p>
          <w:p>
            <w:pPr>
              <w:spacing w:after="80" w:line="276"/>
              <w:jc w:val="both"/>
            </w:pPr>
            <w:r>
              <w:rPr>
                <w:b w:val="false"/>
                <w:bCs w:val="false"/>
                <w:i w:val="false"/>
                <w:iCs w:val="false"/>
                <w:sz w:val="20"/>
                <w:szCs w:val="20"/>
              </w:rPr>
              <w:t xml:space="preserve">Puerta de elegibilidad previa al cálculo. Si el recién nacido presenta cianosis central, dificultad respiratoria, bradicardia, hipotensión, mala perfusión o hepatomegalia, el resultado es "no elegible" con conducta de evaluación clínica inmediata, nunca "negativo". El tamizaje por oximetría está diseñado para neonatos asintomáticos; devolver "tamizaje superado" a un bebé con cianosis central sería el peor error posible del sistema, y por eso la puerta corre antes que el algoritmo. Quedan también fuera del tamizaje el oxígeno suplementario, el diagnóstico prenatal ya establecido y las primeras 24 horas de vida.</w:t>
            </w:r>
          </w:p>
          <w:p>
            <w:pPr>
              <w:spacing w:after="80" w:line="276"/>
              <w:jc w:val="both"/>
            </w:pPr>
            <w:r>
              <w:rPr>
                <w:b w:val="false"/>
                <w:bCs w:val="false"/>
                <w:i w:val="false"/>
                <w:iCs w:val="false"/>
                <w:sz w:val="20"/>
                <w:szCs w:val="20"/>
              </w:rPr>
              <w:t xml:space="preserve">Cinco resultados con conducta explícita: no elegible, positivo, negativo, repetir (zona gris, hasta tres rondas separadas por 60 minutos) e incompleto. No existe puntaje compuesto: peso, frecuencia cardíaca, frecuencia respiratoria, prematuridad y soplo se muestran como avisos y no entran al algoritmo, porque combinarlos en un score sería fabricar una regla clínica que nadie validó. La herramienta muestra el contexto; la interpretación es del profesional.</w:t>
            </w:r>
          </w:p>
          <w:p>
            <w:pPr>
              <w:spacing w:after="80" w:line="276"/>
              <w:jc w:val="both"/>
            </w:pPr>
            <w:r>
              <w:rPr>
                <w:b w:val="false"/>
                <w:bCs w:val="false"/>
                <w:i w:val="false"/>
                <w:iCs w:val="false"/>
                <w:sz w:val="20"/>
                <w:szCs w:val="20"/>
              </w:rPr>
              <w:t xml:space="preserve">Derivación asistida. Cuando el tamizaje no se supera, la herramienta muestra los centros con capacidad de evaluación cardiológica neonatal más cercanos, filtrables por red de aseguramiento (MINSA/SIS, EsSalud, otras), con distancia calculada desde el establecimiento.</w:t>
            </w:r>
          </w:p>
          <w:p>
            <w:pPr>
              <w:spacing w:after="80" w:line="276"/>
              <w:jc w:val="both"/>
            </w:pPr>
            <w:r>
              <w:rPr>
                <w:b w:val="false"/>
                <w:bCs w:val="false"/>
                <w:i w:val="false"/>
                <w:iCs w:val="false"/>
                <w:sz w:val="20"/>
                <w:szCs w:val="20"/>
              </w:rPr>
              <w:t xml:space="preserve">Operación sin conexión. El motor corre íntegro en el dispositivo, de modo que el cálculo no depende del servidor. La lista de centros se almacena localmente tras la primera sincronización y la pantalla declara la fecha de esos datos. Los casos en estado "repetir" se guardan con la hora de la siguiente ronda: es la pieza que evita el modo de falla más frecuente del tamizaje real, que no es el error de cálculo sino el caso pendiente que se pierde en el cambio de turno.</w:t>
            </w:r>
          </w:p>
          <w:p>
            <w:pPr>
              <w:spacing w:after="80" w:line="276"/>
              <w:jc w:val="both"/>
            </w:pPr>
            <w:r>
              <w:rPr>
                <w:b w:val="false"/>
                <w:bCs w:val="false"/>
                <w:i w:val="false"/>
                <w:iCs w:val="false"/>
                <w:sz w:val="20"/>
                <w:szCs w:val="20"/>
              </w:rPr>
              <w:t xml:space="preserve">El núcleo es un motor de reglas determinista, no un clasificador entrenado, y es una decisión deliberada: un cardiólogo o un regulador puede leer la regla completa y verificarla, no requiere dataset ni validación de un modelo estadístico, y corre completo en el dispositivo.</w:t>
            </w:r>
          </w:p>
        </w:tc>
      </w:tr>
      <w:tr>
        <w:tc>
          <w:tcPr>
            <w:tcW w:type="dxa" w:w="2700"/>
            <w:tcMar>
              <w:top w:type="dxa" w:w="80"/>
              <w:left w:type="dxa" w:w="120"/>
              <w:bottom w:type="dxa" w:w="80"/>
              <w:right w:type="dxa" w:w="120"/>
            </w:tcMar>
            <w:vAlign w:val="top"/>
          </w:tcPr>
          <w:p>
            <w:r>
              <w:rPr>
                <w:b/>
                <w:bCs/>
                <w:sz w:val="20"/>
                <w:szCs w:val="20"/>
              </w:rPr>
              <w:t xml:space="preserve">Valor público esperado</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Reducción de derivaciones innecesarias desde establecimientos de altura. Cada falso positivo evitado supone un traslado de cientos de kilómetros que no se realiza, con el costo directo, el riesgo del traslado y la carga familiar que implica.</w:t>
            </w:r>
          </w:p>
          <w:p>
            <w:pPr>
              <w:spacing w:after="80" w:line="276"/>
              <w:jc w:val="both"/>
            </w:pPr>
            <w:r>
              <w:rPr>
                <w:b w:val="false"/>
                <w:bCs w:val="false"/>
                <w:i w:val="false"/>
                <w:iCs w:val="false"/>
                <w:sz w:val="20"/>
                <w:szCs w:val="20"/>
              </w:rPr>
              <w:t xml:space="preserve">Detección más oportuna de los casos reales. Al aplicar el umbral correcto para la banda de altitud, los positivos que la herramienta señala son clínicamente significativos, lo que preserva la confianza del personal en el tamizaje y sostiene su uso continuado.</w:t>
            </w:r>
          </w:p>
          <w:p>
            <w:pPr>
              <w:spacing w:after="80" w:line="276"/>
              <w:jc w:val="both"/>
            </w:pPr>
            <w:r>
              <w:rPr>
                <w:b w:val="false"/>
                <w:bCs w:val="false"/>
                <w:i w:val="false"/>
                <w:iCs w:val="false"/>
                <w:sz w:val="20"/>
                <w:szCs w:val="20"/>
              </w:rPr>
              <w:t xml:space="preserve">Continuidad del seguimiento. El registro local de casos en estado "repetir" reduce la pérdida de pacientes en la zona gris entre turnos.</w:t>
            </w:r>
          </w:p>
          <w:p>
            <w:pPr>
              <w:spacing w:after="80" w:line="276"/>
              <w:jc w:val="both"/>
            </w:pPr>
            <w:r>
              <w:rPr>
                <w:b w:val="false"/>
                <w:bCs w:val="false"/>
                <w:i w:val="false"/>
                <w:iCs w:val="false"/>
                <w:sz w:val="20"/>
                <w:szCs w:val="20"/>
              </w:rPr>
              <w:t xml:space="preserve">Apoyo a la implementación de la Ley 29885 modificada. La herramienta ofrece un instrumento operativo, verificable y sin costo de licencia para el descarte obligatorio de cardiopatía congénita en el nacido vivo.</w:t>
            </w:r>
          </w:p>
          <w:p>
            <w:pPr>
              <w:spacing w:after="80" w:line="276"/>
              <w:jc w:val="both"/>
            </w:pPr>
            <w:r>
              <w:rPr>
                <w:b w:val="false"/>
                <w:bCs w:val="false"/>
                <w:i w:val="false"/>
                <w:iCs w:val="false"/>
                <w:sz w:val="20"/>
                <w:szCs w:val="20"/>
              </w:rPr>
              <w:t xml:space="preserve">Reutilización pública. Todos los componentes se publican bajo licencia MIT, de modo que el MINSA, otras instituciones o equipos pueden auditar, adaptar e integrar el motor de tamizaje, la tabla de umbrales y el catálogo de centros de referencia sin dependencia del equipo autor.</w:t>
            </w:r>
          </w:p>
        </w:tc>
      </w:tr>
      <w:tr>
        <w:tc>
          <w:tcPr>
            <w:tcW w:type="dxa" w:w="2700"/>
            <w:tcMar>
              <w:top w:type="dxa" w:w="80"/>
              <w:left w:type="dxa" w:w="120"/>
              <w:bottom w:type="dxa" w:w="80"/>
              <w:right w:type="dxa" w:w="120"/>
            </w:tcMar>
            <w:vAlign w:val="top"/>
          </w:tcPr>
          <w:p>
            <w:r>
              <w:rPr>
                <w:b/>
                <w:bCs/>
                <w:sz w:val="20"/>
                <w:szCs w:val="20"/>
              </w:rPr>
              <w:t xml:space="preserve">Funcionamiento del prototipo</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El prototipo está desplegado y operativo. La web/PWA en React + Vite está publicada en Netlify y la API en FastAPI en Render; la aplicación Android en Kotlin permanece en el roadmap.</w:t>
            </w:r>
          </w:p>
          <w:p>
            <w:pPr>
              <w:spacing w:after="80" w:line="276"/>
              <w:jc w:val="both"/>
            </w:pPr>
            <w:r>
              <w:rPr>
                <w:b w:val="false"/>
                <w:bCs w:val="false"/>
                <w:i w:val="false"/>
                <w:iCs w:val="false"/>
                <w:sz w:val="20"/>
                <w:szCs w:val="20"/>
              </w:rPr>
              <w:t xml:space="preserve">Flujo de uso: el personal configura una vez la altitud del establecimiento (no se ingresa por paciente), registra la SpO₂ preductal en mano derecha y la postductal en pie, y opcionalmente horas de vida, edad gestacional, peso, frecuencias y signos clínicos. La herramienta corre la puerta de elegibilidad, aplica la banda de altitud y devuelve el resultado con su conducta y, si corresponde, el panel de derivación.</w:t>
            </w:r>
          </w:p>
          <w:p>
            <w:pPr>
              <w:spacing w:after="80" w:line="276"/>
              <w:jc w:val="both"/>
            </w:pPr>
            <w:r>
              <w:rPr>
                <w:b w:val="false"/>
                <w:bCs w:val="false"/>
                <w:i w:val="false"/>
                <w:iCs w:val="false"/>
                <w:sz w:val="20"/>
                <w:szCs w:val="20"/>
              </w:rPr>
              <w:t xml:space="preserve">El motor de tamizaje está implementado tres veces —JavaScript en la web, Kotlin en la app y Python en el backend— porque el stack no permite compartir código entre los tres lenguajes. Para impedir que las implementaciones diverjan, el archivo compartido/vectores_conformidad.json define 24 casos clínicos que los tres motores deben resolver de forma idéntica, y el equipo aplica la regla de que quien modifique un umbral corre las tres suites o no integra. Es el único mecanismo que garantiza que la app y el servidor no entreguen resultados distintos para el mismo paciente.</w:t>
            </w:r>
          </w:p>
          <w:p>
            <w:pPr>
              <w:spacing w:after="80" w:line="276"/>
              <w:jc w:val="both"/>
            </w:pPr>
            <w:r>
              <w:rPr>
                <w:b w:val="false"/>
                <w:bCs w:val="false"/>
                <w:i w:val="false"/>
                <w:iCs w:val="false"/>
                <w:sz w:val="20"/>
                <w:szCs w:val="20"/>
              </w:rPr>
              <w:t xml:space="preserve">Verificación ejecutada: 174 comprobaciones en total entre las tres implementaciones (114 en JavaScript, 17 en Kotlin y 43 en Python), incluidos los 24 vectores de conformidad. El contraste Lima–Juliaca está fijado como caso de prueba en los tres motores, de modo que no puede romperse por accidente.</w:t>
            </w:r>
          </w:p>
          <w:p>
            <w:pPr>
              <w:spacing w:after="80" w:line="276"/>
              <w:jc w:val="both"/>
            </w:pPr>
            <w:r>
              <w:rPr>
                <w:b w:val="false"/>
                <w:bCs w:val="false"/>
                <w:i w:val="false"/>
                <w:iCs w:val="false"/>
                <w:sz w:val="20"/>
                <w:szCs w:val="20"/>
              </w:rPr>
              <w:t xml:space="preserve">Los umbrales de las bandas 2 y 3 están marcados como provisionales en el sistema y pendientes de verificación contra la fuente peruana. Mientras lo estén, cada resultado muestra un aviso visible en pantalla que lo declara: se optó por que la limitación sea visible para el usuario y no quede escondida en un comentario del código.</w:t>
            </w:r>
          </w:p>
        </w:tc>
      </w:tr>
      <w:tr>
        <w:tc>
          <w:tcPr>
            <w:tcW w:type="dxa" w:w="2700"/>
            <w:tcMar>
              <w:top w:type="dxa" w:w="80"/>
              <w:left w:type="dxa" w:w="120"/>
              <w:bottom w:type="dxa" w:w="80"/>
              <w:right w:type="dxa" w:w="120"/>
            </w:tcMar>
            <w:vAlign w:val="top"/>
          </w:tcPr>
          <w:p>
            <w:r>
              <w:rPr>
                <w:b/>
                <w:bCs/>
                <w:sz w:val="20"/>
                <w:szCs w:val="20"/>
              </w:rPr>
              <w:t xml:space="preserve">Componentes abiertos y reutilizables</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Todo el proyecto se publica bajo licencia MIT, que permite consulta, uso, adaptación y redistribución reconociendo la autoría. No depende de software propietario restrictivo ni de infraestructura privada no replicable.</w:t>
            </w:r>
          </w:p>
          <w:p>
            <w:pPr>
              <w:pStyle w:val="ListParagraph"/>
              <w:numPr>
                <w:ilvl w:val="0"/>
                <w:numId w:val="1"/>
              </w:numPr>
              <w:spacing w:after="60" w:line="276"/>
              <w:jc w:val="both"/>
            </w:pPr>
            <w:r>
              <w:rPr>
                <w:sz w:val="20"/>
                <w:szCs w:val="20"/>
              </w:rPr>
              <w:t xml:space="preserve">Motor de tamizaje en tres lenguajes: backend/app/tamizaje/motor_reglas.py, web-react/src/tamizaje/motorTamizaje.js y app-kotlin/tamizaje/MotorTamizaje.kt.</w:t>
            </w:r>
          </w:p>
          <w:p>
            <w:pPr>
              <w:pStyle w:val="ListParagraph"/>
              <w:numPr>
                <w:ilvl w:val="0"/>
                <w:numId w:val="1"/>
              </w:numPr>
              <w:spacing w:after="60" w:line="276"/>
              <w:jc w:val="both"/>
            </w:pPr>
            <w:r>
              <w:rPr>
                <w:sz w:val="20"/>
                <w:szCs w:val="20"/>
              </w:rPr>
              <w:t xml:space="preserve">Fuente de verdad clínica en compartido/: umbrales.json (tabla de bandas de altitud) y vectores_conformidad.json (24 casos clínicos de conformidad), reutilizables por cualquier implementación independiente.</w:t>
            </w:r>
          </w:p>
          <w:p>
            <w:pPr>
              <w:pStyle w:val="ListParagraph"/>
              <w:numPr>
                <w:ilvl w:val="0"/>
                <w:numId w:val="1"/>
              </w:numPr>
              <w:spacing w:after="60" w:line="276"/>
              <w:jc w:val="both"/>
            </w:pPr>
            <w:r>
              <w:rPr>
                <w:sz w:val="20"/>
                <w:szCs w:val="20"/>
              </w:rPr>
              <w:t xml:space="preserve">Catálogo de derivación: 25 centros de referencia con coordenadas, nivel de complejidad y red de aseguramiento (backend/data/centros_referencia.json y compartido/establecimientos.json).</w:t>
            </w:r>
          </w:p>
          <w:p>
            <w:pPr>
              <w:pStyle w:val="ListParagraph"/>
              <w:numPr>
                <w:ilvl w:val="0"/>
                <w:numId w:val="1"/>
              </w:numPr>
              <w:spacing w:after="60" w:line="276"/>
              <w:jc w:val="both"/>
            </w:pPr>
            <w:r>
              <w:rPr>
                <w:sz w:val="20"/>
                <w:szCs w:val="20"/>
              </w:rPr>
              <w:t xml:space="preserve">API en FastAPI con sus esquemas y el contrato documentado en docs/Contrato_API.md, más el esquema de base de datos en backend/data/esquema.sql.</w:t>
            </w:r>
          </w:p>
          <w:p>
            <w:pPr>
              <w:pStyle w:val="ListParagraph"/>
              <w:numPr>
                <w:ilvl w:val="0"/>
                <w:numId w:val="1"/>
              </w:numPr>
              <w:spacing w:after="60" w:line="276"/>
              <w:jc w:val="both"/>
            </w:pPr>
            <w:r>
              <w:rPr>
                <w:sz w:val="20"/>
                <w:szCs w:val="20"/>
              </w:rPr>
              <w:t xml:space="preserve">Interfaz web/PWA en React con soporte de operación sin conexión, calculadoras de apoyo y panel de derivación.</w:t>
            </w:r>
          </w:p>
          <w:p>
            <w:pPr>
              <w:pStyle w:val="ListParagraph"/>
              <w:numPr>
                <w:ilvl w:val="0"/>
                <w:numId w:val="1"/>
              </w:numPr>
              <w:spacing w:after="60" w:line="276"/>
              <w:jc w:val="both"/>
            </w:pPr>
            <w:r>
              <w:rPr>
                <w:sz w:val="20"/>
                <w:szCs w:val="20"/>
              </w:rPr>
              <w:t xml:space="preserve">Suites de prueba completas y generador de vectores a Kotlin (compartido/generar_vectores_kotlin.py).</w:t>
            </w:r>
          </w:p>
          <w:p>
            <w:pPr>
              <w:pStyle w:val="ListParagraph"/>
              <w:numPr>
                <w:ilvl w:val="0"/>
                <w:numId w:val="1"/>
              </w:numPr>
              <w:spacing w:after="60" w:line="276"/>
              <w:jc w:val="both"/>
            </w:pPr>
            <w:r>
              <w:rPr>
                <w:sz w:val="20"/>
                <w:szCs w:val="20"/>
              </w:rPr>
              <w:t xml:space="preserve">Documentación técnica y clínica en docs/, con README de ejecución por carpeta y guía de despliegue reproducible.</w:t>
            </w:r>
          </w:p>
        </w:tc>
      </w:tr>
      <w:tr>
        <w:tc>
          <w:tcPr>
            <w:tcW w:type="dxa" w:w="2700"/>
            <w:tcMar>
              <w:top w:type="dxa" w:w="80"/>
              <w:left w:type="dxa" w:w="120"/>
              <w:bottom w:type="dxa" w:w="80"/>
              <w:right w:type="dxa" w:w="120"/>
            </w:tcMar>
            <w:vAlign w:val="top"/>
          </w:tcPr>
          <w:p>
            <w:r>
              <w:rPr>
                <w:b/>
                <w:bCs/>
                <w:sz w:val="20"/>
                <w:szCs w:val="20"/>
              </w:rPr>
              <w:t xml:space="preserve">Próximos pasos sugeridos</w:t>
            </w:r>
          </w:p>
        </w:tc>
        <w:tc>
          <w:tcPr>
            <w:tcW w:type="dxa" w:w="63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Verificación clínica de los umbrales de las bandas 2 y 3 contra la fuente peruana primaria (estudio ANDES-CHD y valores de referencia de saturación por altitud), a cargo del responsable clínico del equipo, con retiro del marcador "provisional" una vez confirmados.</w:t>
            </w:r>
          </w:p>
          <w:p>
            <w:pPr>
              <w:spacing w:after="80" w:line="276"/>
              <w:jc w:val="both"/>
            </w:pPr>
            <w:r>
              <w:rPr>
                <w:b w:val="false"/>
                <w:bCs w:val="false"/>
                <w:i w:val="false"/>
                <w:iCs w:val="false"/>
                <w:sz w:val="20"/>
                <w:szCs w:val="20"/>
              </w:rPr>
              <w:t xml:space="preserve">Validación prospectiva en población peruana, en establecimientos de las tres bandas de altitud, con medición de sensibilidad, especificidad y tasa de derivación evitada frente al procedimiento actual.</w:t>
            </w:r>
          </w:p>
          <w:p>
            <w:pPr>
              <w:spacing w:after="80" w:line="276"/>
              <w:jc w:val="both"/>
            </w:pPr>
            <w:r>
              <w:rPr>
                <w:b w:val="false"/>
                <w:bCs w:val="false"/>
                <w:i w:val="false"/>
                <w:iCs w:val="false"/>
                <w:sz w:val="20"/>
                <w:szCs w:val="20"/>
              </w:rPr>
              <w:t xml:space="preserve">Aprobación de comité de ética institucional y registro del software como dispositivo médico ante DIGEMID, requisitos previos a cualquier uso clínico real.</w:t>
            </w:r>
          </w:p>
          <w:p>
            <w:pPr>
              <w:spacing w:after="80" w:line="276"/>
              <w:jc w:val="both"/>
            </w:pPr>
            <w:r>
              <w:rPr>
                <w:b w:val="false"/>
                <w:bCs w:val="false"/>
                <w:i w:val="false"/>
                <w:iCs w:val="false"/>
                <w:sz w:val="20"/>
                <w:szCs w:val="20"/>
              </w:rPr>
              <w:t xml:space="preserve">Piloto operativo en establecimientos de altura con acompañamiento y capacitación al personal de enfermería, para validar la usabilidad en condiciones reales de turno y conectividad.</w:t>
            </w:r>
          </w:p>
          <w:p>
            <w:pPr>
              <w:spacing w:after="80" w:line="276"/>
              <w:jc w:val="both"/>
            </w:pPr>
            <w:r>
              <w:rPr>
                <w:b w:val="false"/>
                <w:bCs w:val="false"/>
                <w:i w:val="false"/>
                <w:iCs w:val="false"/>
                <w:sz w:val="20"/>
                <w:szCs w:val="20"/>
              </w:rPr>
              <w:t xml:space="preserve">Completar la aplicación Android en Kotlin, cuyo motor ya está implementado y verificado, para los contextos donde el navegador no es la vía práctica.</w:t>
            </w:r>
          </w:p>
          <w:p>
            <w:pPr>
              <w:spacing w:after="80" w:line="276"/>
              <w:jc w:val="both"/>
            </w:pPr>
            <w:r>
              <w:rPr>
                <w:b w:val="false"/>
                <w:bCs w:val="false"/>
                <w:i w:val="false"/>
                <w:iCs w:val="false"/>
                <w:sz w:val="20"/>
                <w:szCs w:val="20"/>
              </w:rPr>
              <w:t xml:space="preserve">Ampliación del catálogo de centros de referencia y evaluación de integración con los sistemas de información del MINSA para el registro del tamizaje conforme a la Ley 29885 modificada.</w:t>
            </w:r>
          </w:p>
        </w:tc>
      </w:tr>
    </w:tbl>
    <w:p>
      <w:pPr>
        <w:pStyle w:val="Heading2"/>
        <w:spacing w:after="160" w:before="320"/>
      </w:pPr>
      <w:r>
        <w:rPr>
          <w:b/>
          <w:bCs/>
          <w:color w:val="000000"/>
          <w:sz w:val="24"/>
          <w:szCs w:val="24"/>
        </w:rPr>
        <w:t xml:space="preserve">3. Enlaces o archivos entregados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00"/>
      </w:tblGrid>
      <w:tr>
        <w:trPr>
          <w:tblHeader/>
        </w:trPr>
        <w:tc>
          <w:tcPr>
            <w:tcW w:type="dxa" w:w="2500"/>
            <w:shd w:fill="A8D5E2" w:color="auto" w:val="clear"/>
            <w:tcMar>
              <w:top w:type="dxa" w:w="80"/>
              <w:left w:type="dxa" w:w="120"/>
              <w:bottom w:type="dxa" w:w="80"/>
              <w:right w:type="dxa" w:w="120"/>
            </w:tcMar>
            <w:vAlign w:val="top"/>
          </w:tcPr>
          <w:p>
            <w:pPr>
              <w:jc w:val="center"/>
            </w:pPr>
            <w:r>
              <w:rPr>
                <w:b/>
                <w:bCs/>
                <w:sz w:val="20"/>
                <w:szCs w:val="20"/>
              </w:rPr>
              <w:t xml:space="preserve">Entregable</w:t>
            </w:r>
          </w:p>
        </w:tc>
        <w:tc>
          <w:tcPr>
            <w:tcW w:type="dxa" w:w="3900"/>
            <w:shd w:fill="A8D5E2" w:color="auto" w:val="clear"/>
            <w:tcMar>
              <w:top w:type="dxa" w:w="80"/>
              <w:left w:type="dxa" w:w="120"/>
              <w:bottom w:type="dxa" w:w="80"/>
              <w:right w:type="dxa" w:w="120"/>
            </w:tcMar>
            <w:vAlign w:val="top"/>
          </w:tcPr>
          <w:p>
            <w:pPr>
              <w:jc w:val="center"/>
            </w:pPr>
            <w:r>
              <w:rPr>
                <w:b/>
                <w:bCs/>
                <w:sz w:val="20"/>
                <w:szCs w:val="20"/>
              </w:rPr>
              <w:t xml:space="preserve">Enlace de acceso público (verificar)</w:t>
            </w:r>
          </w:p>
        </w:tc>
        <w:tc>
          <w:tcPr>
            <w:tcW w:type="dxa" w:w="2600"/>
            <w:shd w:fill="A8D5E2" w:color="auto" w:val="clear"/>
            <w:tcMar>
              <w:top w:type="dxa" w:w="80"/>
              <w:left w:type="dxa" w:w="120"/>
              <w:bottom w:type="dxa" w:w="80"/>
              <w:right w:type="dxa" w:w="120"/>
            </w:tcMar>
            <w:vAlign w:val="top"/>
          </w:tcPr>
          <w:p>
            <w:pPr>
              <w:jc w:val="center"/>
            </w:pPr>
            <w:r>
              <w:rPr>
                <w:b/>
                <w:bCs/>
                <w:sz w:val="20"/>
                <w:szCs w:val="20"/>
              </w:rPr>
              <w:t xml:space="preserve">Observaciones</w:t>
            </w:r>
          </w:p>
        </w:tc>
      </w:tr>
      <w:tr>
        <w:tc>
          <w:tcPr>
            <w:tcW w:type="dxa" w:w="2500"/>
            <w:tcMar>
              <w:top w:type="dxa" w:w="80"/>
              <w:left w:type="dxa" w:w="120"/>
              <w:bottom w:type="dxa" w:w="80"/>
              <w:right w:type="dxa" w:w="120"/>
            </w:tcMar>
            <w:vAlign w:val="top"/>
          </w:tcPr>
          <w:p>
            <w:r>
              <w:rPr>
                <w:b/>
                <w:bCs/>
                <w:sz w:val="20"/>
                <w:szCs w:val="20"/>
              </w:rPr>
              <w:t xml:space="preserve">Presentación en PDF</w:t>
            </w:r>
          </w:p>
        </w:tc>
        <w:tc>
          <w:tcPr>
            <w:tcW w:type="dxa" w:w="3900"/>
            <w:tcMar>
              <w:top w:type="dxa" w:w="80"/>
              <w:left w:type="dxa" w:w="120"/>
              <w:bottom w:type="dxa" w:w="80"/>
              <w:right w:type="dxa" w:w="120"/>
            </w:tcMar>
            <w:vAlign w:val="top"/>
          </w:tcPr>
          <w:p>
            <w:pPr>
              <w:spacing w:after="80" w:line="276"/>
            </w:pPr>
            <w:r>
              <w:rPr>
                <w:b/>
                <w:bCs/>
                <w:color w:val="C00000"/>
                <w:sz w:val="20"/>
                <w:szCs w:val="20"/>
              </w:rPr>
              <w:t xml:space="preserve">[COMPLETAR: enlace público al PDF del pitch]</w:t>
            </w:r>
          </w:p>
        </w:tc>
        <w:tc>
          <w:tcPr>
            <w:tcW w:type="dxa" w:w="26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Verificar que el enlace sea de acceso público antes de enviar.</w:t>
            </w:r>
          </w:p>
        </w:tc>
      </w:tr>
      <w:tr>
        <w:tc>
          <w:tcPr>
            <w:tcW w:type="dxa" w:w="2500"/>
            <w:tcMar>
              <w:top w:type="dxa" w:w="80"/>
              <w:left w:type="dxa" w:w="120"/>
              <w:bottom w:type="dxa" w:w="80"/>
              <w:right w:type="dxa" w:w="120"/>
            </w:tcMar>
            <w:vAlign w:val="top"/>
          </w:tcPr>
          <w:p>
            <w:r>
              <w:rPr>
                <w:b/>
                <w:bCs/>
                <w:sz w:val="20"/>
                <w:szCs w:val="20"/>
              </w:rPr>
              <w:t xml:space="preserve">Demo o prototipo funcional</w:t>
            </w:r>
          </w:p>
        </w:tc>
        <w:tc>
          <w:tcPr>
            <w:tcW w:type="dxa" w:w="39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Web / PWA: https://chimerical-medovik-10895c.netlify.app</w:t>
            </w:r>
          </w:p>
          <w:p>
            <w:pPr>
              <w:spacing w:after="80" w:line="276"/>
              <w:jc w:val="both"/>
            </w:pPr>
            <w:r>
              <w:rPr>
                <w:b w:val="false"/>
                <w:bCs w:val="false"/>
                <w:i w:val="false"/>
                <w:iCs w:val="false"/>
                <w:sz w:val="20"/>
                <w:szCs w:val="20"/>
              </w:rPr>
              <w:t xml:space="preserve">API: https://cardio-alerta-peru.onrender.com</w:t>
            </w:r>
          </w:p>
        </w:tc>
        <w:tc>
          <w:tcPr>
            <w:tcW w:type="dxa" w:w="26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La web opera sin conexión tras la primera carga. La API en Render puede tardar unos segundos en el primer acceso.</w:t>
            </w:r>
          </w:p>
        </w:tc>
      </w:tr>
      <w:tr>
        <w:tc>
          <w:tcPr>
            <w:tcW w:type="dxa" w:w="2500"/>
            <w:tcMar>
              <w:top w:type="dxa" w:w="80"/>
              <w:left w:type="dxa" w:w="120"/>
              <w:bottom w:type="dxa" w:w="80"/>
              <w:right w:type="dxa" w:w="120"/>
            </w:tcMar>
            <w:vAlign w:val="top"/>
          </w:tcPr>
          <w:p>
            <w:r>
              <w:rPr>
                <w:b/>
                <w:bCs/>
                <w:sz w:val="20"/>
                <w:szCs w:val="20"/>
              </w:rPr>
              <w:t xml:space="preserve">Repositorio de código o componentes reutilizables</w:t>
            </w:r>
          </w:p>
        </w:tc>
        <w:tc>
          <w:tcPr>
            <w:tcW w:type="dxa" w:w="3900"/>
            <w:tcMar>
              <w:top w:type="dxa" w:w="80"/>
              <w:left w:type="dxa" w:w="120"/>
              <w:bottom w:type="dxa" w:w="80"/>
              <w:right w:type="dxa" w:w="120"/>
            </w:tcMar>
            <w:vAlign w:val="top"/>
          </w:tcPr>
          <w:p>
            <w:pPr>
              <w:spacing w:after="80" w:line="276"/>
            </w:pPr>
            <w:r>
              <w:rPr>
                <w:b/>
                <w:bCs/>
                <w:color w:val="C00000"/>
                <w:sz w:val="20"/>
                <w:szCs w:val="20"/>
              </w:rPr>
              <w:t xml:space="preserve">[COMPLETAR: URL pública del repositorio GitHub]</w:t>
            </w:r>
          </w:p>
        </w:tc>
        <w:tc>
          <w:tcPr>
            <w:tcW w:type="dxa" w:w="26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Licencia MIT (archivo LICENSE en la raíz). Incluye README por carpeta con instrucciones de ejecución.</w:t>
            </w:r>
          </w:p>
        </w:tc>
      </w:tr>
      <w:tr>
        <w:tc>
          <w:tcPr>
            <w:tcW w:type="dxa" w:w="2500"/>
            <w:tcMar>
              <w:top w:type="dxa" w:w="80"/>
              <w:left w:type="dxa" w:w="120"/>
              <w:bottom w:type="dxa" w:w="80"/>
              <w:right w:type="dxa" w:w="120"/>
            </w:tcMar>
            <w:vAlign w:val="top"/>
          </w:tcPr>
          <w:p>
            <w:r>
              <w:rPr>
                <w:b/>
                <w:bCs/>
                <w:sz w:val="20"/>
                <w:szCs w:val="20"/>
              </w:rPr>
              <w:t xml:space="preserve">Declaración de uso de IA generativa</w:t>
            </w:r>
          </w:p>
        </w:tc>
        <w:tc>
          <w:tcPr>
            <w:tcW w:type="dxa" w:w="3900"/>
            <w:tcMar>
              <w:top w:type="dxa" w:w="80"/>
              <w:left w:type="dxa" w:w="120"/>
              <w:bottom w:type="dxa" w:w="80"/>
              <w:right w:type="dxa" w:w="120"/>
            </w:tcMar>
            <w:vAlign w:val="top"/>
          </w:tcPr>
          <w:p>
            <w:pPr>
              <w:spacing w:after="80" w:line="276"/>
            </w:pPr>
            <w:r>
              <w:rPr>
                <w:b/>
                <w:bCs/>
                <w:color w:val="C00000"/>
                <w:sz w:val="20"/>
                <w:szCs w:val="20"/>
              </w:rPr>
              <w:t xml:space="preserve">[COMPLETAR: enlace o archivo adjunto del Anexo 2]</w:t>
            </w:r>
          </w:p>
        </w:tc>
        <w:tc>
          <w:tcPr>
            <w:tcW w:type="dxa" w:w="26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Corresponde: el equipo usó IA generativa. Ver docs/Anexo2_Uso_IA_Generativa.md.</w:t>
            </w:r>
          </w:p>
        </w:tc>
      </w:tr>
      <w:tr>
        <w:tc>
          <w:tcPr>
            <w:tcW w:type="dxa" w:w="2500"/>
            <w:tcMar>
              <w:top w:type="dxa" w:w="80"/>
              <w:left w:type="dxa" w:w="120"/>
              <w:bottom w:type="dxa" w:w="80"/>
              <w:right w:type="dxa" w:w="120"/>
            </w:tcMar>
            <w:vAlign w:val="top"/>
          </w:tcPr>
          <w:p>
            <w:r>
              <w:rPr>
                <w:b/>
                <w:bCs/>
                <w:sz w:val="20"/>
                <w:szCs w:val="20"/>
              </w:rPr>
              <w:t xml:space="preserve">Otros anexos o evidencias</w:t>
            </w:r>
          </w:p>
        </w:tc>
        <w:tc>
          <w:tcPr>
            <w:tcW w:type="dxa" w:w="39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docs/Propuesta_Proyecto.md — premisa vigente y sustento clínico</w:t>
            </w:r>
          </w:p>
          <w:p>
            <w:pPr>
              <w:spacing w:after="80" w:line="276"/>
              <w:jc w:val="both"/>
            </w:pPr>
            <w:r>
              <w:rPr>
                <w:b w:val="false"/>
                <w:bCs w:val="false"/>
                <w:i w:val="false"/>
                <w:iCs w:val="false"/>
                <w:sz w:val="20"/>
                <w:szCs w:val="20"/>
              </w:rPr>
              <w:t xml:space="preserve">docs/Tamizaje_Numerico.md — decisiones clínicas del motor</w:t>
            </w:r>
          </w:p>
          <w:p>
            <w:pPr>
              <w:spacing w:after="80" w:line="276"/>
              <w:jc w:val="both"/>
            </w:pPr>
            <w:r>
              <w:rPr>
                <w:b w:val="false"/>
                <w:bCs w:val="false"/>
                <w:i w:val="false"/>
                <w:iCs w:val="false"/>
                <w:sz w:val="20"/>
                <w:szCs w:val="20"/>
              </w:rPr>
              <w:t xml:space="preserve">docs/Datasets_Fase_Imagen.md — sustento del alcance</w:t>
            </w:r>
          </w:p>
          <w:p>
            <w:pPr>
              <w:spacing w:after="80" w:line="276"/>
              <w:jc w:val="both"/>
            </w:pPr>
            <w:r>
              <w:rPr>
                <w:b w:val="false"/>
                <w:bCs w:val="false"/>
                <w:i w:val="false"/>
                <w:iCs w:val="false"/>
                <w:sz w:val="20"/>
                <w:szCs w:val="20"/>
              </w:rPr>
              <w:t xml:space="preserve">docs/Contrato_API.md · docs/Despliegue.md</w:t>
            </w:r>
          </w:p>
        </w:tc>
        <w:tc>
          <w:tcPr>
            <w:tcW w:type="dxa" w:w="2600"/>
            <w:tcMar>
              <w:top w:type="dxa" w:w="80"/>
              <w:left w:type="dxa" w:w="120"/>
              <w:bottom w:type="dxa" w:w="80"/>
              <w:right w:type="dxa" w:w="120"/>
            </w:tcMar>
            <w:vAlign w:val="top"/>
          </w:tcPr>
          <w:p>
            <w:pPr>
              <w:spacing w:after="80" w:line="276"/>
              <w:jc w:val="both"/>
            </w:pPr>
            <w:r>
              <w:rPr>
                <w:b w:val="false"/>
                <w:bCs w:val="false"/>
                <w:i w:val="false"/>
                <w:iCs w:val="false"/>
                <w:sz w:val="20"/>
                <w:szCs w:val="20"/>
              </w:rPr>
              <w:t xml:space="preserve">Documentación técnica incluida en el repositorio.</w:t>
            </w:r>
          </w:p>
        </w:tc>
      </w:tr>
    </w:tbl>
    <w:p>
      <w:pPr>
        <w:spacing w:after="200" w:before="120"/>
      </w:pPr>
      <w:r>
        <w:rPr>
          <w:i/>
          <w:iCs/>
          <w:color w:val="C00000"/>
          <w:sz w:val="16"/>
          <w:szCs w:val="16"/>
        </w:rPr>
        <w:t xml:space="preserve">Indique qué recursos desarrollados forman parte de la solución y pueden ser consultados, utilizados o adaptados por terceros, como código, modelos, diseños o documentación.</w:t>
      </w:r>
    </w:p>
    <w:p>
      <w:pPr>
        <w:pStyle w:val="Heading2"/>
        <w:spacing w:after="160" w:before="320"/>
      </w:pPr>
      <w:r>
        <w:rPr>
          <w:b/>
          <w:bCs/>
          <w:color w:val="000000"/>
          <w:sz w:val="24"/>
          <w:szCs w:val="24"/>
        </w:rPr>
        <w:t xml:space="preserve">4. Declaraciones finales del equipo</w:t>
      </w:r>
    </w:p>
    <w:p>
      <w:pPr>
        <w:pStyle w:val="ListParagraph"/>
        <w:numPr>
          <w:ilvl w:val="0"/>
          <w:numId w:val="1"/>
        </w:numPr>
        <w:spacing w:after="60" w:line="276"/>
        <w:jc w:val="both"/>
      </w:pPr>
      <w:r>
        <w:rPr>
          <w:sz w:val="20"/>
          <w:szCs w:val="20"/>
        </w:rPr>
        <w:t xml:space="preserve">La solución entregada tiene carácter prototípico, experimental y demostrativo. No está aprobada para uso clínico: su aplicación real requeriría aprobación de comité de ética, validación prospectiva en población peruana y registro ante la autoridad sanitaria competente.</w:t>
      </w:r>
    </w:p>
    <w:p>
      <w:pPr>
        <w:pStyle w:val="ListParagraph"/>
        <w:numPr>
          <w:ilvl w:val="0"/>
          <w:numId w:val="1"/>
        </w:numPr>
        <w:spacing w:after="60" w:line="276"/>
        <w:jc w:val="both"/>
      </w:pPr>
      <w:r>
        <w:rPr>
          <w:sz w:val="20"/>
          <w:szCs w:val="20"/>
        </w:rPr>
        <w:t xml:space="preserve">El equipo declara que la solución es original o cuenta con autorizaciones suficientes para el uso de componentes de terceros. Los valores clínicos de referencia provienen de literatura publicada y citada en la documentación del proyecto.</w:t>
      </w:r>
    </w:p>
    <w:p>
      <w:pPr>
        <w:pStyle w:val="ListParagraph"/>
        <w:numPr>
          <w:ilvl w:val="0"/>
          <w:numId w:val="1"/>
        </w:numPr>
        <w:spacing w:after="60" w:line="276"/>
        <w:jc w:val="both"/>
      </w:pPr>
      <w:r>
        <w:rPr>
          <w:sz w:val="20"/>
          <w:szCs w:val="20"/>
        </w:rPr>
        <w:t xml:space="preserve">El equipo declara que la solución no depende exclusivamente de software propietario restrictivo, servicios comerciales cerrados o infraestructura privada no replicable. Todos los componentes se publican bajo licencia MIT.</w:t>
      </w:r>
    </w:p>
    <w:p>
      <w:pPr>
        <w:pStyle w:val="ListParagraph"/>
        <w:numPr>
          <w:ilvl w:val="0"/>
          <w:numId w:val="1"/>
        </w:numPr>
        <w:spacing w:after="60" w:line="276"/>
        <w:jc w:val="both"/>
      </w:pPr>
      <w:r>
        <w:rPr>
          <w:sz w:val="20"/>
          <w:szCs w:val="20"/>
        </w:rPr>
        <w:t xml:space="preserve">El equipo declara que no utilizó datos personales reales, información confidencial, sistemas no autorizados ni credenciales institucionales no autorizadas. El cálculo ocurre en el dispositivo y el prototipo no transmite datos identificables del paciente.</w:t>
      </w:r>
    </w:p>
    <w:p>
      <w:pPr>
        <w:pStyle w:val="ListParagraph"/>
        <w:numPr>
          <w:ilvl w:val="0"/>
          <w:numId w:val="1"/>
        </w:numPr>
        <w:spacing w:after="60" w:line="276"/>
        <w:jc w:val="both"/>
      </w:pPr>
      <w:r>
        <w:rPr>
          <w:sz w:val="20"/>
          <w:szCs w:val="20"/>
        </w:rPr>
        <w:t xml:space="preserve">El equipo acepta que la entrega no genera derecho a pago, contratación, implementación, financiamiento ni continuidad obligatoria.</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Mar>
              <w:top w:type="dxa" w:w="80"/>
              <w:left w:type="dxa" w:w="120"/>
              <w:bottom w:type="dxa" w:w="80"/>
              <w:right w:type="dxa" w:w="120"/>
            </w:tcMar>
            <w:vAlign w:val="top"/>
          </w:tcPr>
          <w:p>
            <w:r>
              <w:rPr>
                <w:b/>
                <w:bCs/>
                <w:sz w:val="20"/>
                <w:szCs w:val="20"/>
              </w:rPr>
              <w:t xml:space="preserve">Nombres y apellidos:</w:t>
            </w:r>
          </w:p>
        </w:tc>
        <w:tc>
          <w:tcPr>
            <w:tcW w:type="dxa" w:w="6000"/>
            <w:tcMar>
              <w:top w:type="dxa" w:w="80"/>
              <w:left w:type="dxa" w:w="120"/>
              <w:bottom w:type="dxa" w:w="80"/>
              <w:right w:type="dxa" w:w="120"/>
            </w:tcMar>
            <w:vAlign w:val="top"/>
          </w:tcPr>
          <w:p>
            <w:pPr>
              <w:spacing w:after="200" w:before="200"/>
            </w:pPr>
            <w:r>
              <w:rPr>
                <w:b/>
                <w:bCs/>
                <w:color w:val="C00000"/>
                <w:sz w:val="20"/>
                <w:szCs w:val="20"/>
              </w:rPr>
              <w:t xml:space="preserve">[COMPLETAR]</w:t>
            </w:r>
          </w:p>
        </w:tc>
      </w:tr>
      <w:tr>
        <w:tc>
          <w:tcPr>
            <w:tcW w:type="dxa" w:w="3000"/>
            <w:tcMar>
              <w:top w:type="dxa" w:w="80"/>
              <w:left w:type="dxa" w:w="120"/>
              <w:bottom w:type="dxa" w:w="80"/>
              <w:right w:type="dxa" w:w="120"/>
            </w:tcMar>
            <w:vAlign w:val="top"/>
          </w:tcPr>
          <w:p>
            <w:r>
              <w:rPr>
                <w:b/>
                <w:bCs/>
                <w:sz w:val="20"/>
                <w:szCs w:val="20"/>
              </w:rPr>
              <w:t xml:space="preserve">DNI / CE:</w:t>
            </w:r>
          </w:p>
        </w:tc>
        <w:tc>
          <w:tcPr>
            <w:tcW w:type="dxa" w:w="6000"/>
            <w:tcMar>
              <w:top w:type="dxa" w:w="80"/>
              <w:left w:type="dxa" w:w="120"/>
              <w:bottom w:type="dxa" w:w="80"/>
              <w:right w:type="dxa" w:w="120"/>
            </w:tcMar>
            <w:vAlign w:val="top"/>
          </w:tcPr>
          <w:p>
            <w:pPr>
              <w:spacing w:after="200" w:before="200"/>
            </w:pPr>
            <w:r>
              <w:rPr>
                <w:b/>
                <w:bCs/>
                <w:color w:val="C00000"/>
                <w:sz w:val="20"/>
                <w:szCs w:val="20"/>
              </w:rPr>
              <w:t xml:space="preserve">[COMPLETAR]</w:t>
            </w:r>
          </w:p>
        </w:tc>
      </w:tr>
      <w:tr>
        <w:tc>
          <w:tcPr>
            <w:tcW w:type="dxa" w:w="3000"/>
            <w:tcMar>
              <w:top w:type="dxa" w:w="80"/>
              <w:left w:type="dxa" w:w="120"/>
              <w:bottom w:type="dxa" w:w="80"/>
              <w:right w:type="dxa" w:w="120"/>
            </w:tcMar>
            <w:vAlign w:val="top"/>
          </w:tcPr>
          <w:p>
            <w:r>
              <w:rPr>
                <w:b/>
                <w:bCs/>
                <w:sz w:val="20"/>
                <w:szCs w:val="20"/>
              </w:rPr>
              <w:t xml:space="preserve">Firma del representante del equipo:</w:t>
            </w:r>
          </w:p>
        </w:tc>
        <w:tc>
          <w:tcPr>
            <w:tcW w:type="dxa" w:w="6000"/>
            <w:tcMar>
              <w:top w:type="dxa" w:w="80"/>
              <w:left w:type="dxa" w:w="120"/>
              <w:bottom w:type="dxa" w:w="80"/>
              <w:right w:type="dxa" w:w="120"/>
            </w:tcMar>
            <w:vAlign w:val="top"/>
          </w:tcPr>
          <w:p>
            <w:pPr>
              <w:spacing w:after="200" w:before="200"/>
            </w:pPr>
            <w:r>
              <w:rPr>
                <w:b/>
                <w:bCs/>
                <w:color w:val="C00000"/>
                <w:sz w:val="20"/>
                <w:szCs w:val="20"/>
              </w:rPr>
              <w:t xml:space="preserve"/>
            </w:r>
          </w:p>
        </w:tc>
      </w:tr>
      <w:tr>
        <w:tc>
          <w:tcPr>
            <w:tcW w:type="dxa" w:w="3000"/>
            <w:tcMar>
              <w:top w:type="dxa" w:w="80"/>
              <w:left w:type="dxa" w:w="120"/>
              <w:bottom w:type="dxa" w:w="80"/>
              <w:right w:type="dxa" w:w="120"/>
            </w:tcMar>
            <w:vAlign w:val="top"/>
          </w:tcPr>
          <w:p>
            <w:r>
              <w:rPr>
                <w:b/>
                <w:bCs/>
                <w:sz w:val="20"/>
                <w:szCs w:val="20"/>
              </w:rPr>
              <w:t xml:space="preserve">Fecha:</w:t>
            </w:r>
          </w:p>
        </w:tc>
        <w:tc>
          <w:tcPr>
            <w:tcW w:type="dxa" w:w="6000"/>
            <w:tcMar>
              <w:top w:type="dxa" w:w="80"/>
              <w:left w:type="dxa" w:w="120"/>
              <w:bottom w:type="dxa" w:w="80"/>
              <w:right w:type="dxa" w:w="120"/>
            </w:tcMar>
            <w:vAlign w:val="top"/>
          </w:tcPr>
          <w:p>
            <w:pPr>
              <w:spacing w:after="200" w:before="200"/>
            </w:pPr>
            <w:r>
              <w:rPr>
                <w:b/>
                <w:bCs/>
                <w:color w:val="C00000"/>
                <w:sz w:val="20"/>
                <w:szCs w:val="20"/>
              </w:rPr>
              <w:t xml:space="preserve">[COMPLETAR]</w:t>
            </w:r>
          </w:p>
        </w:tc>
      </w:tr>
    </w:tbl>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2026-08-15T11:53:04.024Z</dcterms:created>
  <dcterms:modified xsi:type="dcterms:W3CDTF">2026-08-15T11:53:04.044Z</dcterms:modified>
</cp:coreProperties>
</file>

<file path=docProps/custom.xml><?xml version="1.0" encoding="utf-8"?>
<Properties xmlns="http://schemas.openxmlformats.org/officeDocument/2006/custom-properties" xmlns:vt="http://schemas.openxmlformats.org/officeDocument/2006/docPropsVTypes"/>
</file>