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ANEXO 2</w:t>
      </w:r>
    </w:p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DECLARACIÓN DE USO DE INTELIGENCIA ARTIFICIAL GENERATIVA</w:t>
      </w:r>
    </w:p>
    <w:p>
      <w:pPr>
        <w:spacing w:after="320"/>
        <w:jc w:val="center"/>
      </w:pPr>
      <w:r>
        <w:rPr>
          <w:i/>
          <w:iCs/>
          <w:sz w:val="18"/>
          <w:szCs w:val="18"/>
        </w:rPr>
        <w:t xml:space="preserve">Hackatón Niño San Borja 2026 — Instituto Nacional de Salud del Niño San Borja</w:t>
      </w:r>
    </w:p>
    <w:p>
      <w:pPr>
        <w:pStyle w:val="Heading2"/>
        <w:spacing w:after="160" w:before="320"/>
      </w:pPr>
      <w:r>
        <w:rPr>
          <w:b/>
          <w:bCs/>
          <w:color w:val="000000"/>
          <w:sz w:val="24"/>
          <w:szCs w:val="24"/>
        </w:rPr>
        <w:t xml:space="preserve">1. Datos de identificación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dxa" w:w="2700"/>
            <w:shd w:fill="A8D5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6300"/>
            <w:shd w:fill="A8D5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Información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Nombre del equipo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276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[COMPLETAR: nombre del equipo tal como figura en el Anexo 3]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Nombre de la solución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276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Cardio Alerta Perú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Desafío seleccionado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276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Desafío 2 — Cardio Alerta Perú: cuidando corazones desde el primer latido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Representante del equipo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276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[COMPLETAR: nombres y apellidos del representante]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000000"/>
          <w:sz w:val="24"/>
          <w:szCs w:val="24"/>
        </w:rPr>
        <w:t xml:space="preserve">2. Declaración del uso de IA generativa</w:t>
      </w:r>
    </w:p>
    <w:p>
      <w:pPr>
        <w:spacing w:after="80" w:line="276"/>
        <w:jc w:val="both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El equipo declara que, durante el desarrollo de la solución y la elaboración de sus entregables, utilizó herramientas de inteligencia artificial generativa como apoyo. Ninguna decisión clínica del proyecto fue tomada por la herramienta: los umbrales, criterios de elegibilidad y conductas recomendadas provienen de literatura médica publicada y citada, y son responsabilidad del equipo. La IA no fue utilizada para generar datos clínicos sintéticos, resultados de pacientes ni evidencia que no provenga de fuentes verificables.</w:t>
      </w:r>
    </w:p>
    <w:p>
      <w:pPr>
        <w:spacing w:after="120" w:before="200"/>
      </w:pPr>
      <w:r>
        <w:rPr>
          <w:b/>
          <w:bCs/>
          <w:sz w:val="20"/>
          <w:szCs w:val="20"/>
        </w:rPr>
        <w:t xml:space="preserve">2.1. Herramienta(s) utilizada(s)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200"/>
        <w:gridCol w:w="2400"/>
      </w:tblGrid>
      <w:tr>
        <w:trPr>
          <w:tblHeader/>
        </w:trPr>
        <w:tc>
          <w:tcPr>
            <w:tcW w:type="dxa" w:w="2400"/>
            <w:shd w:fill="A8D5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Herramienta</w:t>
            </w:r>
          </w:p>
        </w:tc>
        <w:tc>
          <w:tcPr>
            <w:tcW w:type="dxa" w:w="2000"/>
            <w:shd w:fill="A8D5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Proveedor</w:t>
            </w:r>
          </w:p>
        </w:tc>
        <w:tc>
          <w:tcPr>
            <w:tcW w:type="dxa" w:w="2200"/>
            <w:shd w:fill="A8D5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Modelo o versión</w:t>
            </w:r>
          </w:p>
        </w:tc>
        <w:tc>
          <w:tcPr>
            <w:tcW w:type="dxa" w:w="2400"/>
            <w:shd w:fill="A8D5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Fecha aproximada de uso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276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Claude (modelo de lenguaje)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276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Anthropic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276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[COMPLETAR: modelo/versión]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276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[COMPLETAR: rango de fechas]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276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[Completar si se usó otra herramienta]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276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276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276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280"/>
      </w:pPr>
      <w:r>
        <w:rPr>
          <w:b/>
          <w:bCs/>
          <w:sz w:val="20"/>
          <w:szCs w:val="20"/>
        </w:rPr>
        <w:t xml:space="preserve">2.2. Uso realizado</w:t>
      </w:r>
    </w:p>
    <w:p>
      <w:pPr>
        <w:spacing w:after="80" w:line="276"/>
        <w:jc w:val="both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La asistencia de IA generativa se empleó en las siguientes actividades y etapas: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0"/>
          <w:szCs w:val="20"/>
        </w:rPr>
        <w:t xml:space="preserve">Programación — motor de tamizaje: implementación del motor de reglas en JavaScript, Kotlin y Python, sus suites de prueba, los vectores de conformidad compartidos y el generador que convierte los vectores a código Kotlin.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0"/>
          <w:szCs w:val="20"/>
        </w:rPr>
        <w:t xml:space="preserve">Programación — API y web: endpoints /tamizaje/evaluar y /tamizaje/catalogo con sus esquemas de datos, el proyecto web en React + Vite, el formulario de tamizaje, el panel de derivación, la persistencia local de casos pendientes y la configuración de PWA para operación sin conexión.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0"/>
          <w:szCs w:val="20"/>
        </w:rPr>
        <w:t xml:space="preserve">Redacción de contenido de interfaz: estructura de la tabla de umbrales por banda de altitud y redacción de las conductas y avisos mostrados al usuario. Los valores clínicos no fueron generados por la herramienta.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0"/>
          <w:szCs w:val="20"/>
        </w:rPr>
        <w:t xml:space="preserve">Búsqueda y organización de información: búsqueda sistemática de datasets públicos de imagen médica cardíaca en repositorios (PhysioNet, Kaggle, Zenodo, Stanford AIMI, Grand Challenge, Hugging Face) y de literatura sobre desempeño de modelos en anatomía congénita, cuyo resultado consta en docs/Datasets_Fase_Imagen.md.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0"/>
          <w:szCs w:val="20"/>
        </w:rPr>
        <w:t xml:space="preserve">Redacción de documentación: documentación técnica del módulo de tamizaje, contrato de API, documento de propuesta del proyecto y borrador de la presente declaración.</w:t>
      </w:r>
    </w:p>
    <w:p>
      <w:pPr>
        <w:spacing w:after="120" w:before="280"/>
      </w:pPr>
      <w:r>
        <w:rPr>
          <w:b/>
          <w:bCs/>
          <w:sz w:val="20"/>
          <w:szCs w:val="20"/>
        </w:rPr>
        <w:t xml:space="preserve">2.3. Resultado incorporado y revisión humana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A8D5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Área</w:t>
            </w:r>
          </w:p>
        </w:tc>
        <w:tc>
          <w:tcPr>
            <w:tcW w:type="dxa" w:w="6800"/>
            <w:shd w:fill="A8D5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Verificación y revisión realizada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Motor de tamizaje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276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Verificación ejecutada: las tres implementaciones se compilaron y ejecutaron, con 114 comprobaciones en JavaScript, 17 pruebas en Kotlin y 43 en Python. Los 24 vectores de conformidad se resuelven de forma idéntica en los tres motores. Se comprobó que los endpoints preexistentes (/health, /predict, /centros-cercanos) siguen respondiendo sin cambios.</w:t>
            </w:r>
          </w:p>
          <w:p>
            <w:pPr>
              <w:spacing w:after="80" w:line="276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[COMPLETAR: quién del equipo revisó el código, qué modificó y en qué fecha]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API y web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276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Verificación ejecutada: compilación del proyecto sin errores, renderizado de todos los componentes verificado y pruebas de la lógica de persistencia local. Ambos servicios se encuentran desplegados y operativos.</w:t>
            </w:r>
          </w:p>
          <w:p>
            <w:pPr>
              <w:spacing w:after="80" w:line="276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[COMPLETAR: responsable de la revisión e integración]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Contenido clínico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276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Los umbrales de la banda 1 corresponden al algoritmo estándar de tamizaje por oximetría de pulso. Los de las bandas 2 y 3 fueron derivados y están marcados como provisionales en el sistema: no fueron leídos directamente de las figuras de la fuente peruana. Esta limitación se declara de forma explícita en el código, en la documentación y en la interfaz, que muestra un aviso en cada resultado mientras los umbrales sigan sin verificar.</w:t>
            </w:r>
          </w:p>
          <w:p>
            <w:pPr>
              <w:spacing w:after="80" w:line="276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[COMPLETAR: responsable clínico que verificó los valores, contra qué fuente y en qué fecha]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Búsqueda bibliográfica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276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Cada afirmación relevante del informe de datasets incluye DOI o URL de la fuente primaria. El informe distingue explícitamente entre lo verificado en la fuente y lo inferido, e incluye una sección de vacíos de información con lo que no se pudo confirmar.</w:t>
            </w:r>
          </w:p>
          <w:p>
            <w:pPr>
              <w:spacing w:after="80" w:line="276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[COMPLETAR: qué fuentes se verificaron de forma independiente y por quién]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Documentación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276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Los documentos generados con asistencia fueron revisados, corregidos y adaptados por el equipo antes de su incorporación a los entregables.</w:t>
            </w:r>
          </w:p>
          <w:p>
            <w:pPr>
              <w:spacing w:after="80" w:line="276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[COMPLETAR: responsable de la revisión editorial]</w:t>
            </w:r>
          </w:p>
        </w:tc>
      </w:tr>
    </w:tbl>
    <w:p>
      <w:pPr>
        <w:spacing w:after="120" w:before="280"/>
      </w:pPr>
      <w:r>
        <w:rPr>
          <w:b/>
          <w:bCs/>
          <w:sz w:val="20"/>
          <w:szCs w:val="20"/>
        </w:rPr>
        <w:t xml:space="preserve">2.4. Privacidad y seguridad</w:t>
      </w:r>
    </w:p>
    <w:p>
      <w:pPr>
        <w:spacing w:after="80" w:line="276"/>
        <w:jc w:val="both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El equipo adoptó las siguientes medidas para evitar el ingreso o la exposición de datos personales, datos sensibles, información confidencial, credenciales o información institucional restringida: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0"/>
          <w:szCs w:val="20"/>
        </w:rPr>
        <w:t xml:space="preserve">No se ingresaron datos reales de pacientes en herramientas de inteligencia artificial generativa. Los casos empleados para pruebas son vectores clínicos construidos por el equipo, sin correspondencia con personas reales.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0"/>
          <w:szCs w:val="20"/>
        </w:rPr>
        <w:t xml:space="preserve">No se ingresaron credenciales, claves de API ni cadenas de conexión. El repositorio contiene únicamente un archivo .env.example con nombres de variables y valores de ejemplo.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0"/>
          <w:szCs w:val="20"/>
        </w:rPr>
        <w:t xml:space="preserve">No se utilizó información institucional restringida del INSN San Borja ni de ningún otro establecimiento. El catálogo de centros de referencia se construyó con información de carácter público.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0"/>
          <w:szCs w:val="20"/>
        </w:rPr>
        <w:t xml:space="preserve">El prototipo no transmite datos identificables del paciente: el cálculo del tamizaje ocurre íntegramente en el dispositivo y el identificador de historia clínica se almacena solo de forma local, conforme a la Ley 29733 de Protección de Datos Personales.</w:t>
      </w:r>
    </w:p>
    <w:p>
      <w:pPr>
        <w:pStyle w:val="Heading2"/>
        <w:spacing w:after="160" w:before="320"/>
      </w:pPr>
      <w:r>
        <w:rPr>
          <w:b/>
          <w:bCs/>
          <w:color w:val="000000"/>
          <w:sz w:val="24"/>
          <w:szCs w:val="24"/>
        </w:rPr>
        <w:t xml:space="preserve">3. Decisiones que no fueron tomadas por la inteligencia artificial</w:t>
      </w:r>
    </w:p>
    <w:p>
      <w:pPr>
        <w:spacing w:after="80" w:line="276"/>
        <w:jc w:val="both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Se deja constancia expresa de que las siguientes decisiones corresponden íntegramente al equipo: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0"/>
          <w:szCs w:val="20"/>
        </w:rPr>
        <w:t xml:space="preserve">La elección del problema a resolver y el enfoque general del proyecto.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0"/>
          <w:szCs w:val="20"/>
        </w:rPr>
        <w:t xml:space="preserve">La decisión de descartar la fase de análisis de imagen de ecocardiograma, sustentada en la evaluación documentada en docs/Datasets_Fase_Imagen.md.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0"/>
          <w:szCs w:val="20"/>
        </w:rPr>
        <w:t xml:space="preserve">La decisión de construir un motor de reglas determinista y auditable en lugar de un clasificador entrenado.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0"/>
          <w:szCs w:val="20"/>
        </w:rPr>
        <w:t xml:space="preserve">Los valores clínicos de referencia, que provienen de literatura publicada y citada.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0"/>
          <w:szCs w:val="20"/>
        </w:rPr>
        <w:t xml:space="preserve">El diseño de la puerta de elegibilidad como requisito clínico previo al algoritmo.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0"/>
          <w:szCs w:val="20"/>
        </w:rPr>
        <w:t xml:space="preserve">La validación clínica de los umbrales de las bandas 2 y 3, pendiente a cargo del responsable clínico del equipo.</w:t>
      </w:r>
    </w:p>
    <w:p>
      <w:pPr>
        <w:pStyle w:val="Heading2"/>
        <w:spacing w:after="160" w:before="320"/>
      </w:pPr>
      <w:r>
        <w:rPr>
          <w:b/>
          <w:bCs/>
          <w:color w:val="000000"/>
          <w:sz w:val="24"/>
          <w:szCs w:val="24"/>
        </w:rPr>
        <w:t xml:space="preserve">4. Limitaciones declaradas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0"/>
          <w:szCs w:val="20"/>
        </w:rPr>
        <w:t xml:space="preserve">El código desarrollado con asistencia de IA fue verificado mediante ejecución de pruebas, pero no ha sido auditado por un tercero independiente.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0"/>
          <w:szCs w:val="20"/>
        </w:rPr>
        <w:t xml:space="preserve">Los umbrales de las bandas de altitud 2 y 3 permanecen sin verificación clínica al momento de esta entrega, y así se declara en la interfaz de usuario.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0"/>
          <w:szCs w:val="20"/>
        </w:rPr>
        <w:t xml:space="preserve">El sistema es un prototipo de hackatón y no está aprobado para uso clínico. Su uso real requeriría aprobación de comité de ética, validación prospectiva en población peruana y registro ante la autoridad sanitaria competente.</w:t>
      </w:r>
    </w:p>
    <w:p>
      <w:pPr>
        <w:pStyle w:val="Heading2"/>
        <w:spacing w:after="160" w:before="320"/>
      </w:pPr>
      <w:r>
        <w:rPr>
          <w:b/>
          <w:bCs/>
          <w:color w:val="000000"/>
          <w:sz w:val="24"/>
          <w:szCs w:val="24"/>
        </w:rPr>
        <w:t xml:space="preserve">5. Declaración responsable</w:t>
      </w:r>
    </w:p>
    <w:p>
      <w:pPr>
        <w:spacing w:after="80" w:line="276"/>
        <w:jc w:val="both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El equipo declara que las herramientas de inteligencia artificial generativa fueron utilizadas únicamente como apoyo y que su uso no sustituyó el análisis, el criterio ni la responsabilidad de sus integrantes.</w:t>
      </w:r>
    </w:p>
    <w:p>
      <w:pPr>
        <w:spacing w:after="80" w:line="276"/>
        <w:jc w:val="both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Asimismo, declara que los contenidos, resultados, recomendaciones, textos, imágenes, código u otros materiales generados con apoyo de dichas herramientas fueron revisados y, cuando correspondió, corregidos, validados o adaptados antes de su incorporación en la solución o en los entregables presentados.</w:t>
      </w:r>
    </w:p>
    <w:p>
      <w:pPr>
        <w:spacing w:after="80" w:line="276"/>
        <w:jc w:val="both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El equipo declara que no utilizó inteligencia artificial generativa para fabricar datos, evidencias, fuentes, pruebas, resultados o afirmaciones inexistentes, ni para presentar como propios contenidos de terceros. También declara haber respetado, según corresponda, los derechos de autor, las licencias y las condiciones de uso aplicables.</w:t>
      </w:r>
    </w:p>
    <w:p>
      <w:pPr>
        <w:spacing w:after="80" w:line="276"/>
        <w:jc w:val="both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El equipo declara que no ingresó datos personales, datos sensibles, información confidencial, credenciales o información institucional restringida en herramientas de inteligencia artificial generativa sin contar con la autorización correspondiente y sin adoptar las medidas de protección necesarias.</w:t>
      </w:r>
    </w:p>
    <w:p>
      <w:pPr>
        <w:spacing w:after="80" w:line="276"/>
        <w:jc w:val="both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Finalmente, el equipo reconoce que mantiene plena responsabilidad por la originalidad, veracidad, seguridad, calidad, pertinencia y cumplimiento ético de la solución presentada, con independencia del uso de herramientas de inteligencia artificial generativa durante su desarrollo.</w:t>
      </w:r>
    </w:p>
    <w:p>
      <w:pPr>
        <w:spacing w:after="240" w:line="276"/>
        <w:jc w:val="both"/>
      </w:pPr>
      <w:r>
        <w:rPr>
          <w:b w:val="false"/>
          <w:bCs w:val="false"/>
          <w:i/>
          <w:iCs/>
          <w:sz w:val="20"/>
          <w:szCs w:val="20"/>
        </w:rPr>
        <w:t xml:space="preserve">En señal de conformidad, el representante del equipo suscribe la presente declaración y manifiesta que la información consignada es completa y veraz, y que ha sido comunicada a los demás integrantes del equipo.</w:t>
      </w:r>
    </w:p>
    <w:p>
      <w:pPr>
        <w:spacing w:after="120" w:before="200"/>
      </w:pPr>
      <w:r>
        <w:rPr>
          <w:b/>
          <w:bCs/>
          <w:sz w:val="20"/>
          <w:szCs w:val="20"/>
        </w:rPr>
        <w:t xml:space="preserve">5.1. Integrantes del equipo</w:t>
      </w:r>
    </w:p>
    <w:p>
      <w:pPr>
        <w:spacing w:after="80" w:line="276"/>
        <w:jc w:val="both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Cada integrante declara conocer el contenido de esta declaración y asumir la responsabilidad sobre el trabajo entregado, con independencia de las herramientas utilizadas para producirlo.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3000"/>
        <w:gridCol w:w="2000"/>
      </w:tblGrid>
      <w:tr>
        <w:trPr>
          <w:tblHeader/>
        </w:trPr>
        <w:tc>
          <w:tcPr>
            <w:tcW w:type="dxa" w:w="700"/>
            <w:shd w:fill="A8D5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N.°</w:t>
            </w:r>
          </w:p>
        </w:tc>
        <w:tc>
          <w:tcPr>
            <w:tcW w:type="dxa" w:w="3300"/>
            <w:shd w:fill="A8D5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Nombres y apellidos</w:t>
            </w:r>
          </w:p>
        </w:tc>
        <w:tc>
          <w:tcPr>
            <w:tcW w:type="dxa" w:w="3000"/>
            <w:shd w:fill="A8D5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Rol</w:t>
            </w:r>
          </w:p>
        </w:tc>
        <w:tc>
          <w:tcPr>
            <w:tcW w:type="dxa" w:w="2000"/>
            <w:shd w:fill="A8D5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Firma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276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Manuel Ocaña Suarez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276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Backend, despliegue e integración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200"/>
            </w:pP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276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Angel Cordova Camargo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276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Modelo de IA / Machine Learning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200"/>
            </w:pP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276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Sandro Miñope Reyes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276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 móvil (Kotlin / Android)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200"/>
            </w:pP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276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Said Alferez Andia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276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Diseño, web y documentación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200"/>
            </w:pP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276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Davis Ochoa Mendieta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276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Lead clínico (Medicina)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200"/>
            </w:pPr>
          </w:p>
        </w:tc>
      </w:tr>
    </w:tbl>
    <w:p>
      <w:pPr>
        <w:spacing w:after="120" w:before="320"/>
      </w:pPr>
      <w:r>
        <w:rPr>
          <w:b/>
          <w:bCs/>
          <w:sz w:val="20"/>
          <w:szCs w:val="20"/>
        </w:rPr>
        <w:t xml:space="preserve">5.2. Suscripción del representante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Nombres y apellidos del representante: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20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[COMPLETAR]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DNI / CE: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20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[COMPLETAR]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Firma del representante del equipo: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20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Lugar y fecha: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20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[COMPLETAR]</w:t>
            </w:r>
          </w:p>
        </w:tc>
      </w:tr>
    </w:tbl>
    <w:sectPr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2026-08-15T11:58:37.989Z</dcterms:created>
  <dcterms:modified xsi:type="dcterms:W3CDTF">2026-08-15T11:58:38.007Z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