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Draft cover letter — author completion required</w:t>
      </w:r>
    </w:p>
    <w:p>
      <w:r>
        <w:t>Dear Editors,</w:t>
      </w:r>
    </w:p>
    <w:p>
      <w:r>
        <w:t>Please consider “Separating environmental outcomes from conservation attribution under changing territorial control” as a research paper in Biological Conservation.</w:t>
      </w:r>
    </w:p>
    <w:p>
      <w:r>
        <w:t>The study combines historical reconstruction with satellite observations of fire, tree-cover loss and agriculture in Upemba National Park. Profile-specific boundary contrasts and outward-offset diagnostics distinguish environmental outcomes from attribution to institutions or conservation intent. This distinction is relevant where practical authority changes while legal boundaries remain fixed.</w:t>
      </w:r>
    </w:p>
    <w:p>
      <w:r>
        <w:t>The review package includes corrected persistence follow-up, matched-period agricultural comparisons, one annual-presence sensitivity and a full-cycle seasonal rainfall–fire illustration with explicit observation limits. Primary fire and tree-cover-loss estimates remain unchanged. Agricultural conclusions remain cautious.</w:t>
      </w:r>
    </w:p>
    <w:p>
      <w:r>
        <w:t>Before sending, the corresponding author must supply approved author names and order, affiliations and contact details, confirmation of author approval and exclusive submission, funding and sponsor roles, competing interests, permissions and any required ethics declarations, CRediT roles, reviewer access and data-deposit details. This draft does not make declarations on the authors’ behalf.</w:t>
      </w:r>
    </w:p>
    <w:p>
      <w:r>
        <w:t>Sincerely,</w:t>
        <w:br/>
        <w:t>[Corresponding author — to be confirmed]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