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Highlights</w:t>
      </w:r>
    </w:p>
    <w:p>
      <w:pPr>
        <w:pStyle w:val="ListBullet"/>
      </w:pPr>
      <w:r>
        <w:t>Tree-cover-loss contrasts aligned with Upemba’s legal boundary across profiles.</w:t>
      </w:r>
    </w:p>
    <w:p>
      <w:pPr>
        <w:pStyle w:val="ListBullet"/>
      </w:pPr>
      <w:r>
        <w:t>Fire contrasts recurred away from the legal boundary.</w:t>
      </w:r>
    </w:p>
    <w:p>
      <w:pPr>
        <w:pStyle w:val="ListBullet"/>
      </w:pPr>
      <w:r>
        <w:t>Agricultural inference depended on event definition, period and uncertainty.</w:t>
      </w:r>
    </w:p>
    <w:p>
      <w:pPr>
        <w:pStyle w:val="ListBullet"/>
      </w:pPr>
      <w:r>
        <w:t>Environmental outcomes did not identify conservation intent or legitimacy.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