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widowControl/>
      </w:pPr>
      <w:commentRangeStart w:id="0"/>
      <w:r>
        <w:t>Supplementary Material</w:t>
      </w:r>
      <w:commentRangeEnd w:id="0"/>
      <w:r>
        <w:rPr>
          <w:rStyle w:val="CommentReference"/>
        </w:rPr>
        <w:commentReference w:id="0"/>
      </w:r>
    </w:p>
    <w:p>
      <w:pPr>
        <w:widowControl/>
        <w:jc w:val="center"/>
      </w:pPr>
      <w:r>
        <w:rPr>
          <w:b/>
        </w:rPr>
        <w:t>Separating environmental outcomes from conservation attribution under changing territorial control</w:t>
      </w:r>
    </w:p>
    <w:p>
      <w:pPr>
        <w:pStyle w:val="Heading1"/>
        <w:widowControl/>
      </w:pPr>
      <w:r>
        <w:t>Supplementary Methods</w:t>
      </w:r>
    </w:p>
    <w:p>
      <w:pPr>
        <w:pStyle w:val="Heading2"/>
        <w:widowControl/>
      </w:pPr>
      <w:r>
        <w:t>Supplementary Methods S1. Spatial design and landscape comparison groups</w:t>
      </w:r>
    </w:p>
    <w:p>
      <w:pPr>
        <w:widowControl/>
      </w:pPr>
      <w:r>
        <w:t>The Upemba landscape domain extended from 25.48 to 27.50°E and from 10.4 to 7.8°S. We excluded the Copperbelt mining districts and Kundelungu Plateau because their environmental conditions and land-use histories differed substantially from the focal landscape. All layers were projected to UTM Zone 35S (EPSG:32735), aligned to the canonical 500 m grid, assigned to park side from signed distance to the legal boundary, and masked to exclude perennial water. Before examining profile-specific estimates, we screened symmetric corridors of 5, 10, and 20 km and the full eligible domain. The 10 km corridor was a design-stage compromise between measured covariate similarity and sparse-event support: median and maximum absolute standardised mean differences were 0.187 and 0.733, compared with 0.119 and 0.371 at 5 km, while the 10 km corridor retained 519 tree-cover-loss and 518 agricultural-expansion events (Table S4). The resulting comparison is neither matched nor randomised.</w:t>
      </w:r>
    </w:p>
    <w:p>
      <w:pPr>
        <w:widowControl/>
      </w:pPr>
      <w:r>
        <w:t>Reference-period covariates are listed in Table S1. Cells lacking elevation or slope were excluded. Missing accessibility, distance-to-settlement, and distance-to-water values were replaced with their observed maxima; missing values in other covariates were replaced with their medians. Accessibility and distance variables were transformed using log(1+x), and all clustering features were standardised. We evaluated k = 2–15 on a fixed 20,000-cell silhouette sample (seed 42), fitted k = 3 with 25 random starts (seed 123), and reassigned isolated labels by the eight-neighbour modal class. The selected k = 3 solution had a mean silhouette width of 0.270, only modestly above the next-highest value of 0.261 at k = 7, indicating weak separation rather than discrete landscape classes. The Depression and Plateau clusters therefore serve as coarse inferential comparison groups. Their labels were assigned after clustering from dominant geography and do not define complete socio-ecological systems. A no-accessibility sensitivity reproduced 96.8% of primary-corridor assignments (Tables S2–S3).</w:t>
      </w:r>
    </w:p>
    <w:p>
      <w:pPr>
        <w:pStyle w:val="Heading2"/>
        <w:widowControl/>
      </w:pPr>
      <w:r>
        <w:t>Supplementary Methods S2. Territorial-control reconstruction</w:t>
      </w:r>
    </w:p>
    <w:p>
      <w:pPr>
        <w:widowControl/>
      </w:pPr>
      <w:r>
        <w:t>We reconstructed annual territorial-control profiles separately for the Depression and Plateau before inspecting any remotely sensed outcome. The evidence base comprised dated archival records, park and NGO documentation, technical assessments, humanitarian reporting, media coverage, and historical synthesis. This evidence is uneven and institutionally situated. We prioritised sources assignable to a landscape group, year, or transition; when sources conflicted, contemporaneous records with direct spatial or institutional relevance received greater weight, and the disagreement remained visible in the chronology. The coding focused on Upemba National Park institutions and armed groups described as Mai-Mai; the latter label aggregates formations that differed across episodes. State forces, customary authorities, local administrations, communities, and conservation partners informed interpretation without becoming separate statistical categories.</w:t>
      </w:r>
    </w:p>
    <w:p>
      <w:pPr>
        <w:widowControl/>
      </w:pPr>
      <w:r>
        <w:t>Fragmented control denotes periods in which neither park institutions nor militia exercised consolidated practical authority. Militia-centred control denotes periods in which armed-group presence materially structured access while park enforcement had collapsed or remained severely constrained. Park-centred control denotes expanded park operational reach despite persistent insecurity and incomplete coverage. Episodes carrying the same profile label were not assumed to involve identical actors, mechanisms, intensity, or spatial reach. These profiles describe broad configurations of practical territorial control, not governance quality, conservation intent, legitimacy, exclusive sovereignty, or causal treatments. Table S6 records episode-level interpretation, evidence, transition rationale, and sources; Table S7 summarises temporal support.</w:t>
      </w:r>
    </w:p>
    <w:p>
      <w:pPr>
        <w:pStyle w:val="Heading2"/>
        <w:widowControl/>
      </w:pPr>
      <w:r>
        <w:t>Supplementary Methods S3. Disturbance processing and risk sets</w:t>
      </w:r>
    </w:p>
    <w:p>
      <w:pPr>
        <w:widowControl/>
      </w:pPr>
      <w:r>
        <w:t>Fire used ESA FireCCI v5.1 for 2001–2020 and official monthly continental files for 2021–2022. We retained burns detected during day of year 100–300, converted qualifying source pixels to seasonal binary status, and area-averaged them to the 500 m grid. A 500 m cell was burned when at least 25% of its area was detected; 10% and 50% thresholds were sensitivities. The seasonal restriction does not distinguish anthropogenic from natural ignition or identify purpose. Fire remained recurrent, so all eligible cells re-entered every annual risk set. The 2021–2022 audit reproduced the authoritative classifications and found no completely unobserved seasonal source pixels capable of altering the primary classification.</w:t>
      </w:r>
    </w:p>
    <w:p>
      <w:pPr>
        <w:widowControl/>
      </w:pPr>
      <w:r>
        <w:t>Tree-cover loss used Hansen Global Forest Change v1.12. Eligibility required at least 30% mean tree cover in 2000, and the event year was the first year cumulative mapped loss reached the cell threshold. Agricultural expansion used the Annual Cropland Extent Dataset for Africa and the first annual transition from below to at least the cell threshold. Cells left the tree-cover-loss and agricultural-expansion risk sets after their first event. These operational first-event definitions prevent repeated counting but do not measure annual loss rates, subsequent regrowth, reclearing, crop abandonment, or shifting cultivation. At the 50% tree-cover-loss threshold, only 79 events remained and profile estimates attenuated towards zero. The analysis therefore concerns initial threshold crossings, not state persistence or all canopy change.</w:t>
      </w:r>
    </w:p>
    <w:p>
      <w:pPr>
        <w:pStyle w:val="Heading2"/>
        <w:widowControl/>
      </w:pPr>
      <w:r>
        <w:t>Supplementary Methods S4. Statistical estimation and diagnostics</w:t>
      </w:r>
    </w:p>
    <w:p>
      <w:pPr>
        <w:widowControl/>
      </w:pPr>
      <w:r>
        <w:t>Fire used an aggregated beta-binomial regression with landscape-group × year fixed effects and pooled profile-specific inside–outside contrasts. Strict-valid fits required convergence code 0, finite estimates, full rank, a positive-definite Hessian, and maximum framework and independently calculated gradients below 0.001. The beta-binomial accommodates extra-binomial count variation but does not explicitly model spatial or serial autocorrelation. Sparse tree-cover-loss and agricultural-expansion outcomes used annual Haldane–Anscombe-corrected inside–outside log-odds differences, inverse-variance weighting, landscape-group fixed effects, and HC3 covariance. The 0.5 correction prevented infinite log odds in zero-event strata; unweighted models assessed dependence on the weighting scheme.</w:t>
      </w:r>
    </w:p>
    <w:p>
      <w:pPr>
        <w:widowControl/>
      </w:pPr>
      <w:r>
        <w:t>For landscape group s and year t, the sparse-outcome contrast was D_st = log[(y_in + 0.5)/(n_in − y_in + 0.5)] − log[(y_out + 0.5)/(n_out − y_out + 0.5)]. Its approximate variance was V_st = 1/(y_in + 0.5) + 1/(n_in − y_in + 0.5) + 1/(y_out + 0.5) + 1/(n_out − y_out + 0.5). Group-years without cells at risk on both sides were omitted. We fitted D_st as a function of territorial-control profile and landscape group using weight 1/V_st. The first-stage variance and weights use a working cell-independence approximation; HC3 addresses leverage and heteroskedasticity among annual contrasts but not spatial dependence, serial dependence within episodes, or dependence between groups in the same year. Confidence intervals are therefore conditional model-based summaries.</w:t>
      </w:r>
    </w:p>
    <w:p>
      <w:pPr>
        <w:widowControl/>
      </w:pPr>
      <w:r>
        <w:t>Table S12 retains earlier exploratory chronology diagnostics, whose sparse-outcome domain and implementation differed from the primary model. Recovered matched primary-corridor lag and transition-exclusion analyses are now reported in Supplementary Methods S5 and Table S21. Neither estimates a causal response delay.</w:t>
      </w:r>
    </w:p>
    <w:p>
      <w:pPr>
        <w:widowControl/>
      </w:pPr>
      <w:r>
        <w:t>The boundary-location diagnostic compared the legal boundary with ten outward pseudo-boundaries centred from +15 to +60 km in 5 km increments. At each location, the park-facing side was compared with the side facing away, within the corresponding landscape group and historical period. The dense outer 80% envelope is the interval between the 10th and 90th percentiles of the ten outer point estimates, calculated separately for each outcome and profile using R type-7 quantiles. The envelope is descriptive: the one-sided, deterministic, spatially overlapping offsets are not independent observations, confidence intervals, randomised null distributions, or causal counterfactuals, and they do not establish uniqueness in all directions. Finite outer fire fits that failed strict numerical-validity criteria contributed point estimates only; their intervals are not interpreted. The +15 km park-facing band is +5–15 km and overlaps the primary outside band over +5–10 km.</w:t>
      </w:r>
    </w:p>
    <w:p>
      <w:pPr>
        <w:pStyle w:val="Heading2"/>
        <w:widowControl/>
      </w:pPr>
      <w:r>
        <w:t>Supplementary Methods S5. Temporal alignment and dependence</w:t>
      </w:r>
    </w:p>
    <w:p>
      <w:pPr>
        <w:widowControl/>
      </w:pPr>
      <w:r>
        <w:t>The recovered lag-0, lag-1, lag-2 and transition-exclusion runs retain the primary 10 km corridor and outcome-specific specification. Lagging profile labels changes which outcome years can be linked to history; eligible years, cell-years and event support are recorded in Table S21 and temporal_lag_support.csv. These are checks of temporal alignment, not estimates of delayed causal effects. Existing episode-omission and landscape-specific analyses assess influence rather than remove dependence. No spatial or temporal independence test was located in the retained workflow. We retained conditional primary intervals and added a bounded spatial bootstrap for agriculture. It preserves whole cell histories and dependence within fixed 5 km tiles, conditional on the observed chronology. Dependence across tiles and shared historical uncertainty remain limitations.</w:t>
      </w:r>
    </w:p>
    <w:p>
      <w:pPr>
        <w:pStyle w:val="Heading2"/>
        <w:widowControl/>
      </w:pPr>
      <w:r>
        <w:t>Supplementary Methods S6. Seasonal rainfall and fire</w:t>
      </w:r>
    </w:p>
    <w:p>
      <w:pPr>
        <w:keepNext w:val="0"/>
        <w:widowControl/>
      </w:pPr>
      <w:r>
        <w:t>Figure S3 uses CHIRPS v2.0 final monthly precipitation and FireCCI51 monthly JD and confidence rasters over the identical primary corridor and retained landscape groups. Native WGS84 pixel areas multiplied by exact polygon-intersection fractions provide spatial weights. Rainfall is the spatially weighted mean of monthly accumulated mm. Fire is mapped monthly burned area; a native pixel contributes at most once per month and can contribute again for a distinct later-month detection. JD=-1 and invalid observations are missing; JD=-2 is non-burnable. Valid observations require JD=0 or a date in that month and confidence 1–100, without an additional confidence cutoff. Monthly dates are unfiltered by DOY 100–300.</w:t>
      </w:r>
    </w:p>
    <w:p>
      <w:pPr>
        <w:widowControl/>
      </w:pPr>
      <w:r>
        <w:t>We evaluated the two years with reusable official monthly inputs, 2021 and 2022, by observation coverage. Neither met the initial 95% target in every group-month: their minimum coverage was 93.99% and 71.92%, respectively. We retained the better-covered 2021 and display mapped burned to mapped-plus-missing area bounds, rather than recode missing pixels as unburned. CHIRPS coverage was complete. These ranges are missing-data bounds, not confidence intervals. This one-year comparison illustrates seasonal co-occurrence; it cannot establish an optimal seasonal window, causation or representative climatology. Codex (OpenAI) assisted with the reproducible data-processing and plotting code; no synthetic observational imagery was generated.</w:t>
      </w:r>
    </w:p>
    <w:p>
      <w:pPr>
        <w:pStyle w:val="Heading2"/>
        <w:widowControl/>
      </w:pPr>
      <w:r>
        <w:t>Supplementary Methods S7. Agricultural persistence, reversal, annual presence and Hansen overlap</w:t>
      </w:r>
    </w:p>
    <w:p>
      <w:pPr>
        <w:widowControl/>
      </w:pPr>
      <w:r>
        <w:t>We reconstructed 2000–2022 annual AFCD fractions on the canonical 500 m grid and reproduced all 2,685 full-domain first-crossing dates exactly. All 42,554 corridor cells and all 204,411 retained full-domain cells had finite annual fractions. Finite 2000 observations establish baseline eligibility. The original analysis retained cells already agricultural in 2000 (378 corridor cells). A qualifying event is consequently the first detected below-to-at-least-25% crossing within this window, potentially after an earlier baseline agricultural state, not first-ever cultivation. Baseline agricultural cells remain included in every comparison.</w:t>
      </w:r>
    </w:p>
    <w:p>
      <w:pPr>
        <w:widowControl/>
      </w:pPr>
      <w:r>
        <w:t>For persistence, the crossing year must reach 25%, and at least two of years +1, +2 and +3 must also reach 25%, including +1 or +2. All three following observations must be finite. Candidate event years are 2001–2019, with follow-up through 2022. We inspect every below-to-above crossing and select the first satisfying this rule. Seven corridor events qualify at a later crossing than the original first crossing. Cells enter in 2001, remain at risk through the qualifying event year and exit the following year; no qualifying event means remaining at risk through 2019. Invalid baseline observations exclude a cell. Missing required annual history or follow-up censors it before the first unassessable year; neither is counted as absence or persistence. No such exclusions occurred in these data. Earlier transient crossings do not remove cells from the persistent-establishment risk set.</w:t>
      </w:r>
    </w:p>
    <w:p>
      <w:pPr>
        <w:widowControl/>
      </w:pPr>
      <w:r>
        <w:t>We fitted original first crossing over 2001–2022, original first crossing over 2001–2019, and corrected persistent establishment over 2001–2019, preserving the corridor, groups, inverse-variance-weighted paired log-odds model, 0.5 correction and HC3 intervals (Tables S18 and S20). The shortened models have 38 landscape-years instead of 44; all are full-rank linear fits. Corrected persistence retained 414 corridor events and 1,994 full-domain events. The historical 431-event fit allowed 2020 events only two follow-ups and retained 2021–2022 as zero-event risk years. Its park-centred estimate −0.237 [−0.642, 0.168] is superseded. The corrected value is −0.235 [−0.753, 0.284]. Counts by side, group, profile and year, every coefficient, saved models and covariance matrices accompany the analysis.</w:t>
      </w:r>
    </w:p>
    <w:p>
      <w:pPr>
        <w:widowControl/>
      </w:pPr>
      <w:r>
        <w:t>Descriptive reversal concerns the original crossing, independently of persistent establishment. Both +1 and +2 must be valid; reversal means both are below 25%. Events after 2020 are insufficient-follow-up cases, and earlier missing values form a separate category. Full-domain reversal numerators remain 10 inside and 193 outside, but valid-follow-up denominators are 237 and 2,092, not all-event denominators 255 and 2,430. Corridor counts are 10/236 inside and 13/227 outside, with 18 and 37 insufficient-follow-up cases and no missing-data cases (Table S19A). The handover’s 252/266 split was an arithmetic error: its class counts actually sum to 254/264. Exact cell-level and group-year comparisons reproduce the primary input. No primary-model correction was required. Threshold decline is not evidence of ecological recovery.</w:t>
      </w:r>
    </w:p>
    <w:p>
      <w:pPr>
        <w:widowControl/>
      </w:pPr>
      <w:r>
        <w:t>Annual agricultural presence is the repeated binary response that a cell’s annual fraction is at least 25%. We retained all finite annual classifications during 2001–2022, including baseline agricultural cells and observations after establishment; changes in either direction were allowed. We used the same paired landscape-year log-odds regression with profile and landscape-group effects. HC3 intervals are reported for comparison, but uncertainty for this supplementary response uses 499 resamples of entire cell trajectories within fixed 5 km UTM tiles (seed 20260910), stratified by landscape group: 263 Depression and 355 Plateau blocks. A block crossing the boundary retains both sides. Percentile intervals preserve serial dependence within cells and spatial dependence within tiles, conditional on the observed groups and chronology. Dependence beyond 5 km and historical uncertainty are not resolved. Plateau agricultural support is very sparse, so the 0.5 correction and equal-group standardisation matter. Annual presence measures prevalence; first expansion measures entry into the mapped class. Neither is net agricultural change.</w:t>
      </w:r>
    </w:p>
    <w:p>
      <w:pPr>
        <w:widowControl/>
      </w:pPr>
      <w:r>
        <w:t>Hansen v1.12 static 2000–2012 gain was compared with native loss-year codes 1–12. Among 2,801 retained full-domain cells whose cumulative loss crossed 25% by 2012, 754 contained any gain and 599 contained at least one native pixel with both loss and gain. Corridor counts were 364 crossings, 58 with any gain, and 46 with native overlap (Table S19B). These differ from the 2001–2022 loss-event totals of 5,460 full-domain and 519 corridor cells. Gain elsewhere within a 500 m cell is not native-pixel overlap. Neither metric establishes gain after a dated loss event, because gain has no event year. These diagnostics do not demonstrate post-loss recovery.</w:t>
      </w:r>
    </w:p>
    <w:p>
      <w:pPr>
        <w:pStyle w:val="Heading1"/>
        <w:widowControl/>
      </w:pPr>
      <w:r>
        <w:t>Supplementary Tables</w:t>
      </w:r>
    </w:p>
    <w:p>
      <w:pPr>
        <w:pStyle w:val="Caption"/>
        <w:widowControl/>
      </w:pPr>
      <w:r>
        <w:rPr>
          <w:b/>
        </w:rPr>
        <w:t xml:space="preserve">Table S1. </w:t>
      </w:r>
      <w:r>
        <w:t>Landscape comparison covariates. All variables were standardized before clustering unless otherwise indicated.</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592"/>
        <w:gridCol w:w="2592"/>
        <w:gridCol w:w="2592"/>
        <w:gridCol w:w="2592"/>
      </w:tblGrid>
      <w:tr>
        <w:trPr>
          <w:tblHeader w:val="true"/>
          <w:tblHeader/>
        </w:trPr>
        <w:tc>
          <w:tcPr>
            <w:tcW w:type="dxa" w:w="1656"/>
            <w:vAlign w:val="top"/>
          </w:tcPr>
          <w:p>
            <w:pPr>
              <w:keepNext w:val="0"/>
              <w:spacing w:after="0" w:line="240" w:lineRule="auto"/>
              <w:jc w:val="left"/>
            </w:pPr>
            <w:r>
              <w:rPr>
                <w:sz w:val="18"/>
              </w:rPr>
            </w:r>
            <w:r>
              <w:rPr>
                <w:rFonts w:ascii="Times New Roman" w:hAnsi="Times New Roman"/>
                <w:b/>
                <w:sz w:val="18"/>
              </w:rPr>
              <w:t>Covariate</w:t>
            </w:r>
          </w:p>
        </w:tc>
        <w:tc>
          <w:tcPr>
            <w:tcW w:type="dxa" w:w="4680"/>
            <w:vAlign w:val="top"/>
          </w:tcPr>
          <w:p>
            <w:pPr>
              <w:keepNext w:val="0"/>
              <w:spacing w:after="0" w:line="240" w:lineRule="auto"/>
              <w:jc w:val="left"/>
            </w:pPr>
            <w:r>
              <w:rPr>
                <w:sz w:val="18"/>
              </w:rPr>
            </w:r>
            <w:r>
              <w:rPr>
                <w:rFonts w:ascii="Times New Roman" w:hAnsi="Times New Roman"/>
                <w:b/>
                <w:sz w:val="18"/>
              </w:rPr>
              <w:t>Source and reference period</w:t>
            </w:r>
          </w:p>
        </w:tc>
        <w:tc>
          <w:tcPr>
            <w:tcW w:type="dxa" w:w="1224"/>
            <w:vAlign w:val="top"/>
          </w:tcPr>
          <w:p>
            <w:pPr>
              <w:keepNext w:val="0"/>
              <w:spacing w:after="0" w:line="240" w:lineRule="auto"/>
              <w:jc w:val="left"/>
            </w:pPr>
            <w:r>
              <w:rPr>
                <w:sz w:val="18"/>
              </w:rPr>
            </w:r>
            <w:r>
              <w:rPr>
                <w:rFonts w:ascii="Times New Roman" w:hAnsi="Times New Roman"/>
                <w:b/>
                <w:sz w:val="18"/>
              </w:rPr>
              <w:t>Native resolution</w:t>
            </w:r>
          </w:p>
        </w:tc>
        <w:tc>
          <w:tcPr>
            <w:tcW w:type="dxa" w:w="2952"/>
            <w:vAlign w:val="top"/>
          </w:tcPr>
          <w:p>
            <w:pPr>
              <w:keepNext w:val="0"/>
              <w:spacing w:after="0" w:line="240" w:lineRule="auto"/>
              <w:jc w:val="left"/>
            </w:pPr>
            <w:r>
              <w:rPr>
                <w:sz w:val="18"/>
              </w:rPr>
            </w:r>
            <w:r>
              <w:rPr>
                <w:rFonts w:ascii="Times New Roman" w:hAnsi="Times New Roman"/>
                <w:b/>
                <w:sz w:val="18"/>
              </w:rPr>
              <w:t>500 m processing / transformation</w:t>
            </w:r>
          </w:p>
        </w:tc>
      </w:tr>
      <w:tr>
        <w:tc>
          <w:tcPr>
            <w:tcW w:type="dxa" w:w="1656"/>
            <w:vAlign w:val="top"/>
          </w:tcPr>
          <w:p>
            <w:pPr>
              <w:keepNext w:val="0"/>
              <w:spacing w:after="0" w:line="240" w:lineRule="auto"/>
              <w:jc w:val="left"/>
            </w:pPr>
            <w:r>
              <w:rPr>
                <w:sz w:val="18"/>
              </w:rPr>
            </w:r>
            <w:r>
              <w:rPr>
                <w:rFonts w:ascii="Times New Roman" w:hAnsi="Times New Roman"/>
                <w:b w:val="0"/>
                <w:sz w:val="18"/>
              </w:rPr>
              <w:t>Elevation</w:t>
            </w:r>
          </w:p>
        </w:tc>
        <w:tc>
          <w:tcPr>
            <w:tcW w:type="dxa" w:w="4680"/>
            <w:vAlign w:val="top"/>
          </w:tcPr>
          <w:p>
            <w:pPr>
              <w:keepNext w:val="0"/>
              <w:spacing w:after="0" w:line="240" w:lineRule="auto"/>
              <w:jc w:val="left"/>
            </w:pPr>
            <w:r>
              <w:rPr>
                <w:sz w:val="18"/>
              </w:rPr>
            </w:r>
            <w:r>
              <w:rPr>
                <w:rFonts w:ascii="Times New Roman" w:hAnsi="Times New Roman"/>
                <w:b w:val="0"/>
                <w:sz w:val="18"/>
              </w:rPr>
              <w:t>Copernicus DEM GLO-30 (static)</w:t>
            </w:r>
          </w:p>
        </w:tc>
        <w:tc>
          <w:tcPr>
            <w:tcW w:type="dxa" w:w="1224"/>
            <w:vAlign w:val="top"/>
          </w:tcPr>
          <w:p>
            <w:pPr>
              <w:keepNext w:val="0"/>
              <w:spacing w:after="0" w:line="240" w:lineRule="auto"/>
              <w:jc w:val="left"/>
            </w:pPr>
            <w:r>
              <w:rPr>
                <w:sz w:val="18"/>
              </w:rPr>
            </w:r>
            <w:r>
              <w:rPr>
                <w:rFonts w:ascii="Times New Roman" w:hAnsi="Times New Roman"/>
                <w:b w:val="0"/>
                <w:sz w:val="18"/>
              </w:rPr>
              <w:t>30 m</w:t>
            </w:r>
          </w:p>
        </w:tc>
        <w:tc>
          <w:tcPr>
            <w:tcW w:type="dxa" w:w="2952"/>
            <w:vAlign w:val="top"/>
          </w:tcPr>
          <w:p>
            <w:pPr>
              <w:keepNext w:val="0"/>
              <w:spacing w:after="0" w:line="240" w:lineRule="auto"/>
              <w:jc w:val="left"/>
            </w:pPr>
            <w:r>
              <w:rPr>
                <w:sz w:val="18"/>
              </w:rPr>
            </w:r>
            <w:r>
              <w:rPr>
                <w:rFonts w:ascii="Times New Roman" w:hAnsi="Times New Roman"/>
                <w:b w:val="0"/>
                <w:sz w:val="18"/>
              </w:rPr>
              <w:t>mean elevation on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Slope</w:t>
            </w:r>
          </w:p>
        </w:tc>
        <w:tc>
          <w:tcPr>
            <w:tcW w:type="dxa" w:w="4680"/>
            <w:vAlign w:val="top"/>
          </w:tcPr>
          <w:p>
            <w:pPr>
              <w:keepNext w:val="0"/>
              <w:spacing w:after="0" w:line="240" w:lineRule="auto"/>
              <w:jc w:val="left"/>
            </w:pPr>
            <w:r>
              <w:rPr>
                <w:sz w:val="18"/>
              </w:rPr>
            </w:r>
            <w:r>
              <w:rPr>
                <w:rFonts w:ascii="Times New Roman" w:hAnsi="Times New Roman"/>
                <w:b w:val="0"/>
                <w:sz w:val="18"/>
              </w:rPr>
              <w:t>Derived from Copernicus DEM GLO-30 in R (static)</w:t>
            </w:r>
          </w:p>
        </w:tc>
        <w:tc>
          <w:tcPr>
            <w:tcW w:type="dxa" w:w="1224"/>
            <w:vAlign w:val="top"/>
          </w:tcPr>
          <w:p>
            <w:pPr>
              <w:keepNext w:val="0"/>
              <w:spacing w:after="0" w:line="240" w:lineRule="auto"/>
              <w:jc w:val="left"/>
            </w:pPr>
            <w:r>
              <w:rPr>
                <w:sz w:val="18"/>
              </w:rPr>
            </w:r>
            <w:r>
              <w:rPr>
                <w:rFonts w:ascii="Times New Roman" w:hAnsi="Times New Roman"/>
                <w:b w:val="0"/>
                <w:sz w:val="18"/>
              </w:rPr>
              <w:t>derived 30 m</w:t>
            </w:r>
          </w:p>
        </w:tc>
        <w:tc>
          <w:tcPr>
            <w:tcW w:type="dxa" w:w="2952"/>
            <w:vAlign w:val="top"/>
          </w:tcPr>
          <w:p>
            <w:pPr>
              <w:keepNext w:val="0"/>
              <w:spacing w:after="0" w:line="240" w:lineRule="auto"/>
              <w:jc w:val="left"/>
            </w:pPr>
            <w:r>
              <w:rPr>
                <w:sz w:val="18"/>
              </w:rPr>
            </w:r>
            <w:r>
              <w:rPr>
                <w:rFonts w:ascii="Times New Roman" w:hAnsi="Times New Roman"/>
                <w:b w:val="0"/>
                <w:sz w:val="18"/>
              </w:rPr>
              <w:t>terrain slope derived then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Baseline forest indicator</w:t>
            </w:r>
          </w:p>
        </w:tc>
        <w:tc>
          <w:tcPr>
            <w:tcW w:type="dxa" w:w="4680"/>
            <w:vAlign w:val="top"/>
          </w:tcPr>
          <w:p>
            <w:pPr>
              <w:keepNext w:val="0"/>
              <w:spacing w:after="0" w:line="240" w:lineRule="auto"/>
              <w:jc w:val="left"/>
            </w:pPr>
            <w:r>
              <w:rPr>
                <w:sz w:val="18"/>
              </w:rPr>
            </w:r>
            <w:r>
              <w:rPr>
                <w:rFonts w:ascii="Times New Roman" w:hAnsi="Times New Roman"/>
                <w:b w:val="0"/>
                <w:sz w:val="18"/>
              </w:rPr>
              <w:t>Hansen Global Forest Change v1.12 tree cover in 2000 (2000). Hansen, M. C., et al. 2013. High-resolution global maps of 21st-century forest cover change. Science 342:850-853.</w:t>
            </w:r>
          </w:p>
        </w:tc>
        <w:tc>
          <w:tcPr>
            <w:tcW w:type="dxa" w:w="1224"/>
            <w:vAlign w:val="top"/>
          </w:tcPr>
          <w:p>
            <w:pPr>
              <w:keepNext w:val="0"/>
              <w:spacing w:after="0" w:line="240" w:lineRule="auto"/>
              <w:jc w:val="left"/>
            </w:pPr>
            <w:r>
              <w:rPr>
                <w:sz w:val="18"/>
              </w:rPr>
            </w:r>
            <w:r>
              <w:rPr>
                <w:rFonts w:ascii="Times New Roman" w:hAnsi="Times New Roman"/>
                <w:b w:val="0"/>
                <w:sz w:val="18"/>
              </w:rPr>
              <w:t>30 m</w:t>
            </w:r>
          </w:p>
        </w:tc>
        <w:tc>
          <w:tcPr>
            <w:tcW w:type="dxa" w:w="2952"/>
            <w:vAlign w:val="top"/>
          </w:tcPr>
          <w:p>
            <w:pPr>
              <w:keepNext w:val="0"/>
              <w:spacing w:after="0" w:line="240" w:lineRule="auto"/>
              <w:jc w:val="left"/>
            </w:pPr>
            <w:r>
              <w:rPr>
                <w:sz w:val="18"/>
              </w:rPr>
            </w:r>
            <w:r>
              <w:rPr>
                <w:rFonts w:ascii="Times New Roman" w:hAnsi="Times New Roman"/>
                <w:b w:val="0"/>
                <w:sz w:val="18"/>
              </w:rPr>
              <w:t>binary ≥30% baseline-forest indicator on canonical grid; binary indicator</w:t>
            </w:r>
          </w:p>
        </w:tc>
      </w:tr>
      <w:tr>
        <w:tc>
          <w:tcPr>
            <w:tcW w:type="dxa" w:w="1656"/>
            <w:vAlign w:val="top"/>
          </w:tcPr>
          <w:p>
            <w:pPr>
              <w:keepNext w:val="0"/>
              <w:spacing w:after="0" w:line="240" w:lineRule="auto"/>
              <w:jc w:val="left"/>
            </w:pPr>
            <w:r>
              <w:rPr>
                <w:sz w:val="18"/>
              </w:rPr>
            </w:r>
            <w:r>
              <w:rPr>
                <w:rFonts w:ascii="Times New Roman" w:hAnsi="Times New Roman"/>
                <w:b w:val="0"/>
                <w:sz w:val="18"/>
              </w:rPr>
              <w:t>Distance to permanent water</w:t>
            </w:r>
          </w:p>
        </w:tc>
        <w:tc>
          <w:tcPr>
            <w:tcW w:type="dxa" w:w="4680"/>
            <w:vAlign w:val="top"/>
          </w:tcPr>
          <w:p>
            <w:pPr>
              <w:keepNext w:val="0"/>
              <w:spacing w:after="0" w:line="240" w:lineRule="auto"/>
              <w:jc w:val="left"/>
            </w:pPr>
            <w:r>
              <w:rPr>
                <w:sz w:val="18"/>
              </w:rPr>
            </w:r>
            <w:r>
              <w:rPr>
                <w:rFonts w:ascii="Times New Roman" w:hAnsi="Times New Roman"/>
                <w:b w:val="0"/>
                <w:sz w:val="18"/>
              </w:rPr>
              <w:t>JRC Global Surface Water v1.4 (permanent water from seasonality = 12 or occurrence ≥90%). JRC. 2021. Global Surface Water v1.4. European Commission Joint Research Centre.</w:t>
            </w:r>
          </w:p>
        </w:tc>
        <w:tc>
          <w:tcPr>
            <w:tcW w:type="dxa" w:w="1224"/>
            <w:vAlign w:val="top"/>
          </w:tcPr>
          <w:p>
            <w:pPr>
              <w:keepNext w:val="0"/>
              <w:spacing w:after="0" w:line="240" w:lineRule="auto"/>
              <w:jc w:val="left"/>
            </w:pPr>
            <w:r>
              <w:rPr>
                <w:sz w:val="18"/>
              </w:rPr>
            </w:r>
            <w:r>
              <w:rPr>
                <w:rFonts w:ascii="Times New Roman" w:hAnsi="Times New Roman"/>
                <w:b w:val="0"/>
                <w:sz w:val="18"/>
              </w:rPr>
              <w:t>30 m</w:t>
            </w:r>
          </w:p>
        </w:tc>
        <w:tc>
          <w:tcPr>
            <w:tcW w:type="dxa" w:w="2952"/>
            <w:vAlign w:val="top"/>
          </w:tcPr>
          <w:p>
            <w:pPr>
              <w:keepNext w:val="0"/>
              <w:spacing w:after="0" w:line="240" w:lineRule="auto"/>
              <w:jc w:val="left"/>
            </w:pPr>
            <w:r>
              <w:rPr>
                <w:sz w:val="18"/>
              </w:rPr>
            </w:r>
            <w:r>
              <w:rPr>
                <w:rFonts w:ascii="Times New Roman" w:hAnsi="Times New Roman"/>
                <w:b w:val="0"/>
                <w:sz w:val="18"/>
              </w:rPr>
              <w:t>distance to permanent-water mask on canonical grid; distance transformed where skewed, then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Mean annual precipitation</w:t>
            </w:r>
          </w:p>
        </w:tc>
        <w:tc>
          <w:tcPr>
            <w:tcW w:type="dxa" w:w="4680"/>
            <w:vAlign w:val="top"/>
          </w:tcPr>
          <w:p>
            <w:pPr>
              <w:keepNext w:val="0"/>
              <w:spacing w:after="0" w:line="240" w:lineRule="auto"/>
              <w:jc w:val="left"/>
            </w:pPr>
            <w:r>
              <w:rPr>
                <w:sz w:val="18"/>
              </w:rPr>
            </w:r>
            <w:r>
              <w:rPr>
                <w:rFonts w:ascii="Times New Roman" w:hAnsi="Times New Roman"/>
                <w:b w:val="0"/>
                <w:sz w:val="18"/>
              </w:rPr>
              <w:t>CHIRPS daily precipitation (1981-2010 annual mean). UCSB CHG. 2023. CHIRPS daily precipitation data. Climate Hazards Center, University of California Santa Barbara.</w:t>
            </w:r>
          </w:p>
        </w:tc>
        <w:tc>
          <w:tcPr>
            <w:tcW w:type="dxa" w:w="1224"/>
            <w:vAlign w:val="top"/>
          </w:tcPr>
          <w:p>
            <w:pPr>
              <w:keepNext w:val="0"/>
              <w:spacing w:after="0" w:line="240" w:lineRule="auto"/>
              <w:jc w:val="left"/>
            </w:pPr>
            <w:r>
              <w:rPr>
                <w:sz w:val="18"/>
              </w:rPr>
            </w:r>
            <w:r>
              <w:rPr>
                <w:rFonts w:ascii="Times New Roman" w:hAnsi="Times New Roman"/>
                <w:b w:val="0"/>
                <w:sz w:val="18"/>
              </w:rPr>
              <w:t>approximately 5 km</w:t>
            </w:r>
          </w:p>
        </w:tc>
        <w:tc>
          <w:tcPr>
            <w:tcW w:type="dxa" w:w="2952"/>
            <w:vAlign w:val="top"/>
          </w:tcPr>
          <w:p>
            <w:pPr>
              <w:keepNext w:val="0"/>
              <w:spacing w:after="0" w:line="240" w:lineRule="auto"/>
              <w:jc w:val="left"/>
            </w:pPr>
            <w:r>
              <w:rPr>
                <w:sz w:val="18"/>
              </w:rPr>
            </w:r>
            <w:r>
              <w:rPr>
                <w:rFonts w:ascii="Times New Roman" w:hAnsi="Times New Roman"/>
                <w:b w:val="0"/>
                <w:sz w:val="18"/>
              </w:rPr>
              <w:t>annual means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Potential evapotranspiration</w:t>
            </w:r>
          </w:p>
        </w:tc>
        <w:tc>
          <w:tcPr>
            <w:tcW w:type="dxa" w:w="4680"/>
            <w:vAlign w:val="top"/>
          </w:tcPr>
          <w:p>
            <w:pPr>
              <w:keepNext w:val="0"/>
              <w:spacing w:after="0" w:line="240" w:lineRule="auto"/>
              <w:jc w:val="left"/>
            </w:pPr>
            <w:r>
              <w:rPr>
                <w:sz w:val="18"/>
              </w:rPr>
            </w:r>
            <w:r>
              <w:rPr>
                <w:rFonts w:ascii="Times New Roman" w:hAnsi="Times New Roman"/>
                <w:b w:val="0"/>
                <w:sz w:val="18"/>
              </w:rPr>
              <w:t>TerraClimate (1981-2010 annual mean). TerraClimate. 2023. Monthly climate and climatic water balance data for global terrestrial surfaces. University of Idaho.</w:t>
            </w:r>
          </w:p>
        </w:tc>
        <w:tc>
          <w:tcPr>
            <w:tcW w:type="dxa" w:w="1224"/>
            <w:vAlign w:val="top"/>
          </w:tcPr>
          <w:p>
            <w:pPr>
              <w:keepNext w:val="0"/>
              <w:spacing w:after="0" w:line="240" w:lineRule="auto"/>
              <w:jc w:val="left"/>
            </w:pPr>
            <w:r>
              <w:rPr>
                <w:sz w:val="18"/>
              </w:rPr>
            </w:r>
            <w:r>
              <w:rPr>
                <w:rFonts w:ascii="Times New Roman" w:hAnsi="Times New Roman"/>
                <w:b w:val="0"/>
                <w:sz w:val="18"/>
              </w:rPr>
              <w:t>approximately 4 km</w:t>
            </w:r>
          </w:p>
        </w:tc>
        <w:tc>
          <w:tcPr>
            <w:tcW w:type="dxa" w:w="2952"/>
            <w:vAlign w:val="top"/>
          </w:tcPr>
          <w:p>
            <w:pPr>
              <w:keepNext w:val="0"/>
              <w:spacing w:after="0" w:line="240" w:lineRule="auto"/>
              <w:jc w:val="left"/>
            </w:pPr>
            <w:r>
              <w:rPr>
                <w:sz w:val="18"/>
              </w:rPr>
            </w:r>
            <w:r>
              <w:rPr>
                <w:rFonts w:ascii="Times New Roman" w:hAnsi="Times New Roman"/>
                <w:b w:val="0"/>
                <w:sz w:val="18"/>
              </w:rPr>
              <w:t>annual means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Actual evapotranspiration</w:t>
            </w:r>
          </w:p>
        </w:tc>
        <w:tc>
          <w:tcPr>
            <w:tcW w:type="dxa" w:w="4680"/>
            <w:vAlign w:val="top"/>
          </w:tcPr>
          <w:p>
            <w:pPr>
              <w:keepNext w:val="0"/>
              <w:spacing w:after="0" w:line="240" w:lineRule="auto"/>
              <w:jc w:val="left"/>
            </w:pPr>
            <w:r>
              <w:rPr>
                <w:sz w:val="18"/>
              </w:rPr>
            </w:r>
            <w:r>
              <w:rPr>
                <w:rFonts w:ascii="Times New Roman" w:hAnsi="Times New Roman"/>
                <w:b w:val="0"/>
                <w:sz w:val="18"/>
              </w:rPr>
              <w:t>TerraClimate (1981-2010 annual mean)</w:t>
            </w:r>
          </w:p>
        </w:tc>
        <w:tc>
          <w:tcPr>
            <w:tcW w:type="dxa" w:w="1224"/>
            <w:vAlign w:val="top"/>
          </w:tcPr>
          <w:p>
            <w:pPr>
              <w:keepNext w:val="0"/>
              <w:spacing w:after="0" w:line="240" w:lineRule="auto"/>
              <w:jc w:val="left"/>
            </w:pPr>
            <w:r>
              <w:rPr>
                <w:sz w:val="18"/>
              </w:rPr>
            </w:r>
            <w:r>
              <w:rPr>
                <w:rFonts w:ascii="Times New Roman" w:hAnsi="Times New Roman"/>
                <w:b w:val="0"/>
                <w:sz w:val="18"/>
              </w:rPr>
              <w:t>approximately 4 km</w:t>
            </w:r>
          </w:p>
        </w:tc>
        <w:tc>
          <w:tcPr>
            <w:tcW w:type="dxa" w:w="2952"/>
            <w:vAlign w:val="top"/>
          </w:tcPr>
          <w:p>
            <w:pPr>
              <w:keepNext w:val="0"/>
              <w:spacing w:after="0" w:line="240" w:lineRule="auto"/>
              <w:jc w:val="left"/>
            </w:pPr>
            <w:r>
              <w:rPr>
                <w:sz w:val="18"/>
              </w:rPr>
            </w:r>
            <w:r>
              <w:rPr>
                <w:rFonts w:ascii="Times New Roman" w:hAnsi="Times New Roman"/>
                <w:b w:val="0"/>
                <w:sz w:val="18"/>
              </w:rPr>
              <w:t>annual means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Water balance</w:t>
            </w:r>
          </w:p>
        </w:tc>
        <w:tc>
          <w:tcPr>
            <w:tcW w:type="dxa" w:w="4680"/>
            <w:vAlign w:val="top"/>
          </w:tcPr>
          <w:p>
            <w:pPr>
              <w:keepNext w:val="0"/>
              <w:spacing w:after="0" w:line="240" w:lineRule="auto"/>
              <w:jc w:val="left"/>
            </w:pPr>
            <w:r>
              <w:rPr>
                <w:sz w:val="18"/>
              </w:rPr>
            </w:r>
            <w:r>
              <w:rPr>
                <w:rFonts w:ascii="Times New Roman" w:hAnsi="Times New Roman"/>
                <w:b w:val="0"/>
                <w:sz w:val="18"/>
              </w:rPr>
              <w:t>CHIRPS precipitation minus TerraClimate PET (1981-2010 annual mean)</w:t>
            </w:r>
          </w:p>
        </w:tc>
        <w:tc>
          <w:tcPr>
            <w:tcW w:type="dxa" w:w="1224"/>
            <w:vAlign w:val="top"/>
          </w:tcPr>
          <w:p>
            <w:pPr>
              <w:keepNext w:val="0"/>
              <w:spacing w:after="0" w:line="240" w:lineRule="auto"/>
              <w:jc w:val="left"/>
            </w:pPr>
            <w:r>
              <w:rPr>
                <w:sz w:val="18"/>
              </w:rPr>
            </w:r>
            <w:r>
              <w:rPr>
                <w:rFonts w:ascii="Times New Roman" w:hAnsi="Times New Roman"/>
                <w:b w:val="0"/>
                <w:sz w:val="18"/>
              </w:rPr>
              <w:t>derived</w:t>
            </w:r>
          </w:p>
        </w:tc>
        <w:tc>
          <w:tcPr>
            <w:tcW w:type="dxa" w:w="2952"/>
            <w:vAlign w:val="top"/>
          </w:tcPr>
          <w:p>
            <w:pPr>
              <w:keepNext w:val="0"/>
              <w:spacing w:after="0" w:line="240" w:lineRule="auto"/>
              <w:jc w:val="left"/>
            </w:pPr>
            <w:r>
              <w:rPr>
                <w:sz w:val="18"/>
              </w:rPr>
            </w:r>
            <w:r>
              <w:rPr>
                <w:rFonts w:ascii="Times New Roman" w:hAnsi="Times New Roman"/>
                <w:b w:val="0"/>
                <w:sz w:val="18"/>
              </w:rPr>
              <w:t>derived after climate processing on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Aridity</w:t>
            </w:r>
          </w:p>
        </w:tc>
        <w:tc>
          <w:tcPr>
            <w:tcW w:type="dxa" w:w="4680"/>
            <w:vAlign w:val="top"/>
          </w:tcPr>
          <w:p>
            <w:pPr>
              <w:keepNext w:val="0"/>
              <w:spacing w:after="0" w:line="240" w:lineRule="auto"/>
              <w:jc w:val="left"/>
            </w:pPr>
            <w:r>
              <w:rPr>
                <w:sz w:val="18"/>
              </w:rPr>
            </w:r>
            <w:r>
              <w:rPr>
                <w:rFonts w:ascii="Times New Roman" w:hAnsi="Times New Roman"/>
                <w:b w:val="0"/>
                <w:sz w:val="18"/>
              </w:rPr>
              <w:t>P / (PET + 1), using CHIRPS precipitation and TerraClimate PET (1981-2010 annual mean)</w:t>
            </w:r>
          </w:p>
        </w:tc>
        <w:tc>
          <w:tcPr>
            <w:tcW w:type="dxa" w:w="1224"/>
            <w:vAlign w:val="top"/>
          </w:tcPr>
          <w:p>
            <w:pPr>
              <w:keepNext w:val="0"/>
              <w:spacing w:after="0" w:line="240" w:lineRule="auto"/>
              <w:jc w:val="left"/>
            </w:pPr>
            <w:r>
              <w:rPr>
                <w:sz w:val="18"/>
              </w:rPr>
            </w:r>
            <w:r>
              <w:rPr>
                <w:rFonts w:ascii="Times New Roman" w:hAnsi="Times New Roman"/>
                <w:b w:val="0"/>
                <w:sz w:val="18"/>
              </w:rPr>
              <w:t>derived</w:t>
            </w:r>
          </w:p>
        </w:tc>
        <w:tc>
          <w:tcPr>
            <w:tcW w:type="dxa" w:w="2952"/>
            <w:vAlign w:val="top"/>
          </w:tcPr>
          <w:p>
            <w:pPr>
              <w:keepNext w:val="0"/>
              <w:spacing w:after="0" w:line="240" w:lineRule="auto"/>
              <w:jc w:val="left"/>
            </w:pPr>
            <w:r>
              <w:rPr>
                <w:sz w:val="18"/>
              </w:rPr>
            </w:r>
            <w:r>
              <w:rPr>
                <w:rFonts w:ascii="Times New Roman" w:hAnsi="Times New Roman"/>
                <w:b w:val="0"/>
                <w:sz w:val="18"/>
              </w:rPr>
              <w:t>derived after climate processing on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Soil organic carbon</w:t>
            </w:r>
          </w:p>
        </w:tc>
        <w:tc>
          <w:tcPr>
            <w:tcW w:type="dxa" w:w="4680"/>
            <w:vAlign w:val="top"/>
          </w:tcPr>
          <w:p>
            <w:pPr>
              <w:keepNext w:val="0"/>
              <w:spacing w:after="0" w:line="240" w:lineRule="auto"/>
              <w:jc w:val="left"/>
            </w:pPr>
            <w:r>
              <w:rPr>
                <w:sz w:val="18"/>
              </w:rPr>
            </w:r>
            <w:r>
              <w:rPr>
                <w:rFonts w:ascii="Times New Roman" w:hAnsi="Times New Roman"/>
                <w:b w:val="0"/>
                <w:sz w:val="18"/>
              </w:rPr>
              <w:t>SoilGrids 0-30 cm depth-weighted SOC (static). SoilGrids. 2020. SoilGrids 250 m global soil information layers. ISRIC - World Soil Information.</w:t>
            </w:r>
          </w:p>
        </w:tc>
        <w:tc>
          <w:tcPr>
            <w:tcW w:type="dxa" w:w="1224"/>
            <w:vAlign w:val="top"/>
          </w:tcPr>
          <w:p>
            <w:pPr>
              <w:keepNext w:val="0"/>
              <w:spacing w:after="0" w:line="240" w:lineRule="auto"/>
              <w:jc w:val="left"/>
            </w:pPr>
            <w:r>
              <w:rPr>
                <w:sz w:val="18"/>
              </w:rPr>
            </w:r>
            <w:r>
              <w:rPr>
                <w:rFonts w:ascii="Times New Roman" w:hAnsi="Times New Roman"/>
                <w:b w:val="0"/>
                <w:sz w:val="18"/>
              </w:rPr>
              <w:t>250 m</w:t>
            </w:r>
          </w:p>
        </w:tc>
        <w:tc>
          <w:tcPr>
            <w:tcW w:type="dxa" w:w="2952"/>
            <w:vAlign w:val="top"/>
          </w:tcPr>
          <w:p>
            <w:pPr>
              <w:keepNext w:val="0"/>
              <w:spacing w:after="0" w:line="240" w:lineRule="auto"/>
              <w:jc w:val="left"/>
            </w:pPr>
            <w:r>
              <w:rPr>
                <w:sz w:val="18"/>
              </w:rPr>
            </w:r>
            <w:r>
              <w:rPr>
                <w:rFonts w:ascii="Times New Roman" w:hAnsi="Times New Roman"/>
                <w:b w:val="0"/>
                <w:sz w:val="18"/>
              </w:rPr>
              <w:t>depth-weighted mean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Soil pH</w:t>
            </w:r>
          </w:p>
        </w:tc>
        <w:tc>
          <w:tcPr>
            <w:tcW w:type="dxa" w:w="4680"/>
            <w:vAlign w:val="top"/>
          </w:tcPr>
          <w:p>
            <w:pPr>
              <w:keepNext w:val="0"/>
              <w:spacing w:after="0" w:line="240" w:lineRule="auto"/>
              <w:jc w:val="left"/>
            </w:pPr>
            <w:r>
              <w:rPr>
                <w:sz w:val="18"/>
              </w:rPr>
            </w:r>
            <w:r>
              <w:rPr>
                <w:rFonts w:ascii="Times New Roman" w:hAnsi="Times New Roman"/>
                <w:b w:val="0"/>
                <w:sz w:val="18"/>
              </w:rPr>
              <w:t>SoilGrids 0-30 cm depth-weighted pH (static)</w:t>
            </w:r>
          </w:p>
        </w:tc>
        <w:tc>
          <w:tcPr>
            <w:tcW w:type="dxa" w:w="1224"/>
            <w:vAlign w:val="top"/>
          </w:tcPr>
          <w:p>
            <w:pPr>
              <w:keepNext w:val="0"/>
              <w:spacing w:after="0" w:line="240" w:lineRule="auto"/>
              <w:jc w:val="left"/>
            </w:pPr>
            <w:r>
              <w:rPr>
                <w:sz w:val="18"/>
              </w:rPr>
            </w:r>
            <w:r>
              <w:rPr>
                <w:rFonts w:ascii="Times New Roman" w:hAnsi="Times New Roman"/>
                <w:b w:val="0"/>
                <w:sz w:val="18"/>
              </w:rPr>
              <w:t>250 m</w:t>
            </w:r>
          </w:p>
        </w:tc>
        <w:tc>
          <w:tcPr>
            <w:tcW w:type="dxa" w:w="2952"/>
            <w:vAlign w:val="top"/>
          </w:tcPr>
          <w:p>
            <w:pPr>
              <w:keepNext w:val="0"/>
              <w:spacing w:after="0" w:line="240" w:lineRule="auto"/>
              <w:jc w:val="left"/>
            </w:pPr>
            <w:r>
              <w:rPr>
                <w:sz w:val="18"/>
              </w:rPr>
            </w:r>
            <w:r>
              <w:rPr>
                <w:rFonts w:ascii="Times New Roman" w:hAnsi="Times New Roman"/>
                <w:b w:val="0"/>
                <w:sz w:val="18"/>
              </w:rPr>
              <w:t>depth-weighted mean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Clay</w:t>
            </w:r>
          </w:p>
        </w:tc>
        <w:tc>
          <w:tcPr>
            <w:tcW w:type="dxa" w:w="4680"/>
            <w:vAlign w:val="top"/>
          </w:tcPr>
          <w:p>
            <w:pPr>
              <w:keepNext w:val="0"/>
              <w:spacing w:after="0" w:line="240" w:lineRule="auto"/>
              <w:jc w:val="left"/>
            </w:pPr>
            <w:r>
              <w:rPr>
                <w:sz w:val="18"/>
              </w:rPr>
            </w:r>
            <w:r>
              <w:rPr>
                <w:rFonts w:ascii="Times New Roman" w:hAnsi="Times New Roman"/>
                <w:b w:val="0"/>
                <w:sz w:val="18"/>
              </w:rPr>
              <w:t>SoilGrids 0-30 cm depth-weighted clay (static)</w:t>
            </w:r>
          </w:p>
        </w:tc>
        <w:tc>
          <w:tcPr>
            <w:tcW w:type="dxa" w:w="1224"/>
            <w:vAlign w:val="top"/>
          </w:tcPr>
          <w:p>
            <w:pPr>
              <w:keepNext w:val="0"/>
              <w:spacing w:after="0" w:line="240" w:lineRule="auto"/>
              <w:jc w:val="left"/>
            </w:pPr>
            <w:r>
              <w:rPr>
                <w:sz w:val="18"/>
              </w:rPr>
            </w:r>
            <w:r>
              <w:rPr>
                <w:rFonts w:ascii="Times New Roman" w:hAnsi="Times New Roman"/>
                <w:b w:val="0"/>
                <w:sz w:val="18"/>
              </w:rPr>
              <w:t>250 m</w:t>
            </w:r>
          </w:p>
        </w:tc>
        <w:tc>
          <w:tcPr>
            <w:tcW w:type="dxa" w:w="2952"/>
            <w:vAlign w:val="top"/>
          </w:tcPr>
          <w:p>
            <w:pPr>
              <w:keepNext w:val="0"/>
              <w:spacing w:after="0" w:line="240" w:lineRule="auto"/>
              <w:jc w:val="left"/>
            </w:pPr>
            <w:r>
              <w:rPr>
                <w:sz w:val="18"/>
              </w:rPr>
            </w:r>
            <w:r>
              <w:rPr>
                <w:rFonts w:ascii="Times New Roman" w:hAnsi="Times New Roman"/>
                <w:b w:val="0"/>
                <w:sz w:val="18"/>
              </w:rPr>
              <w:t>depth-weighted mean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Sand</w:t>
            </w:r>
          </w:p>
        </w:tc>
        <w:tc>
          <w:tcPr>
            <w:tcW w:type="dxa" w:w="4680"/>
            <w:vAlign w:val="top"/>
          </w:tcPr>
          <w:p>
            <w:pPr>
              <w:keepNext w:val="0"/>
              <w:spacing w:after="0" w:line="240" w:lineRule="auto"/>
              <w:jc w:val="left"/>
            </w:pPr>
            <w:r>
              <w:rPr>
                <w:sz w:val="18"/>
              </w:rPr>
            </w:r>
            <w:r>
              <w:rPr>
                <w:rFonts w:ascii="Times New Roman" w:hAnsi="Times New Roman"/>
                <w:b w:val="0"/>
                <w:sz w:val="18"/>
              </w:rPr>
              <w:t>SoilGrids 0-30 cm depth-weighted sand (static)</w:t>
            </w:r>
          </w:p>
        </w:tc>
        <w:tc>
          <w:tcPr>
            <w:tcW w:type="dxa" w:w="1224"/>
            <w:vAlign w:val="top"/>
          </w:tcPr>
          <w:p>
            <w:pPr>
              <w:keepNext w:val="0"/>
              <w:spacing w:after="0" w:line="240" w:lineRule="auto"/>
              <w:jc w:val="left"/>
            </w:pPr>
            <w:r>
              <w:rPr>
                <w:sz w:val="18"/>
              </w:rPr>
            </w:r>
            <w:r>
              <w:rPr>
                <w:rFonts w:ascii="Times New Roman" w:hAnsi="Times New Roman"/>
                <w:b w:val="0"/>
                <w:sz w:val="18"/>
              </w:rPr>
              <w:t>250 m</w:t>
            </w:r>
          </w:p>
        </w:tc>
        <w:tc>
          <w:tcPr>
            <w:tcW w:type="dxa" w:w="2952"/>
            <w:vAlign w:val="top"/>
          </w:tcPr>
          <w:p>
            <w:pPr>
              <w:keepNext w:val="0"/>
              <w:spacing w:after="0" w:line="240" w:lineRule="auto"/>
              <w:jc w:val="left"/>
            </w:pPr>
            <w:r>
              <w:rPr>
                <w:sz w:val="18"/>
              </w:rPr>
            </w:r>
            <w:r>
              <w:rPr>
                <w:rFonts w:ascii="Times New Roman" w:hAnsi="Times New Roman"/>
                <w:b w:val="0"/>
                <w:sz w:val="18"/>
              </w:rPr>
              <w:t>depth-weighted mean aggregated to canonical grid;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Distance to baseline built-up areas</w:t>
            </w:r>
          </w:p>
        </w:tc>
        <w:tc>
          <w:tcPr>
            <w:tcW w:type="dxa" w:w="4680"/>
            <w:vAlign w:val="top"/>
          </w:tcPr>
          <w:p>
            <w:pPr>
              <w:keepNext w:val="0"/>
              <w:spacing w:after="0" w:line="240" w:lineRule="auto"/>
              <w:jc w:val="left"/>
            </w:pPr>
            <w:r>
              <w:rPr>
                <w:sz w:val="18"/>
              </w:rPr>
            </w:r>
            <w:r>
              <w:rPr>
                <w:rFonts w:ascii="Times New Roman" w:hAnsi="Times New Roman"/>
                <w:b w:val="0"/>
                <w:sz w:val="18"/>
              </w:rPr>
              <w:t>GHSL P2023A built-up surface (baseline 2000-or-earlier), GHSL. 2023. Global Human Settlement Layer P2023A built-up surface. European Commission Joint Research Centre.</w:t>
            </w:r>
          </w:p>
        </w:tc>
        <w:tc>
          <w:tcPr>
            <w:tcW w:type="dxa" w:w="1224"/>
            <w:vAlign w:val="top"/>
          </w:tcPr>
          <w:p>
            <w:pPr>
              <w:keepNext w:val="0"/>
              <w:spacing w:after="0" w:line="240" w:lineRule="auto"/>
              <w:jc w:val="left"/>
            </w:pPr>
            <w:r>
              <w:rPr>
                <w:sz w:val="18"/>
              </w:rPr>
            </w:r>
            <w:r>
              <w:rPr>
                <w:rFonts w:ascii="Times New Roman" w:hAnsi="Times New Roman"/>
                <w:b w:val="0"/>
                <w:sz w:val="18"/>
              </w:rPr>
              <w:t>100 m</w:t>
            </w:r>
          </w:p>
        </w:tc>
        <w:tc>
          <w:tcPr>
            <w:tcW w:type="dxa" w:w="2952"/>
            <w:vAlign w:val="top"/>
          </w:tcPr>
          <w:p>
            <w:pPr>
              <w:keepNext w:val="0"/>
              <w:spacing w:after="0" w:line="240" w:lineRule="auto"/>
              <w:jc w:val="left"/>
            </w:pPr>
            <w:r>
              <w:rPr>
                <w:sz w:val="18"/>
              </w:rPr>
            </w:r>
            <w:r>
              <w:rPr>
                <w:rFonts w:ascii="Times New Roman" w:hAnsi="Times New Roman"/>
                <w:b w:val="0"/>
                <w:sz w:val="18"/>
              </w:rPr>
              <w:t>distance to baseline built-up surface on canonical grid; distance transformed where skewed, then standardized</w:t>
            </w:r>
          </w:p>
        </w:tc>
      </w:tr>
      <w:tr>
        <w:tc>
          <w:tcPr>
            <w:tcW w:type="dxa" w:w="1656"/>
            <w:vAlign w:val="top"/>
          </w:tcPr>
          <w:p>
            <w:pPr>
              <w:keepNext w:val="0"/>
              <w:spacing w:after="0" w:line="240" w:lineRule="auto"/>
              <w:jc w:val="left"/>
            </w:pPr>
            <w:r>
              <w:rPr>
                <w:sz w:val="18"/>
              </w:rPr>
            </w:r>
            <w:r>
              <w:rPr>
                <w:rFonts w:ascii="Times New Roman" w:hAnsi="Times New Roman"/>
                <w:b w:val="0"/>
                <w:sz w:val="18"/>
              </w:rPr>
              <w:t>Travel time to cities</w:t>
            </w:r>
          </w:p>
        </w:tc>
        <w:tc>
          <w:tcPr>
            <w:tcW w:type="dxa" w:w="4680"/>
            <w:vAlign w:val="top"/>
          </w:tcPr>
          <w:p>
            <w:pPr>
              <w:keepNext w:val="0"/>
              <w:spacing w:after="0" w:line="240" w:lineRule="auto"/>
              <w:jc w:val="left"/>
            </w:pPr>
            <w:r>
              <w:rPr>
                <w:sz w:val="18"/>
              </w:rPr>
            </w:r>
            <w:r>
              <w:rPr>
                <w:rFonts w:ascii="Times New Roman" w:hAnsi="Times New Roman"/>
                <w:b w:val="0"/>
                <w:sz w:val="18"/>
              </w:rPr>
              <w:t>Oxford/MAP accessibility_to_cities_2015_v1_0 (2015). Weiss, D. J., et al. 2018. A global map of travel time to cities to assess inequalities in accessibility in 2015. Nature 553:333-336.</w:t>
            </w:r>
          </w:p>
        </w:tc>
        <w:tc>
          <w:tcPr>
            <w:tcW w:type="dxa" w:w="1224"/>
            <w:vAlign w:val="top"/>
          </w:tcPr>
          <w:p>
            <w:pPr>
              <w:keepNext w:val="0"/>
              <w:spacing w:after="0" w:line="240" w:lineRule="auto"/>
              <w:jc w:val="left"/>
            </w:pPr>
            <w:r>
              <w:rPr>
                <w:sz w:val="18"/>
              </w:rPr>
            </w:r>
            <w:r>
              <w:rPr>
                <w:rFonts w:ascii="Times New Roman" w:hAnsi="Times New Roman"/>
                <w:b w:val="0"/>
                <w:sz w:val="18"/>
              </w:rPr>
              <w:t>approximately 1 km</w:t>
            </w:r>
          </w:p>
        </w:tc>
        <w:tc>
          <w:tcPr>
            <w:tcW w:type="dxa" w:w="2952"/>
            <w:vAlign w:val="top"/>
          </w:tcPr>
          <w:p>
            <w:pPr>
              <w:keepNext w:val="0"/>
              <w:spacing w:after="0" w:line="240" w:lineRule="auto"/>
              <w:jc w:val="left"/>
            </w:pPr>
            <w:r>
              <w:rPr>
                <w:sz w:val="18"/>
              </w:rPr>
            </w:r>
            <w:r>
              <w:rPr>
                <w:rFonts w:ascii="Times New Roman" w:hAnsi="Times New Roman"/>
                <w:b w:val="0"/>
                <w:sz w:val="18"/>
              </w:rPr>
              <w:t>travel-time surface aggregated to canonical grid; transformed where skewed, then standardized</w:t>
            </w:r>
          </w:p>
        </w:tc>
      </w:tr>
    </w:tbl>
    <w:p>
      <w:pPr>
        <w:widowControl/>
      </w:pPr>
    </w:p>
    <w:p>
      <w:pPr>
        <w:pStyle w:val="Caption"/>
        <w:widowControl/>
      </w:pPr>
      <w:r>
        <w:t>Table S2. Clustering solution selection. Mean silhouette width was calculated from the same 20,000-cell sample (seed 42) for every candidate k. The selected k = 3 value (0.270) only modestly exceeded alternatives, so the groups are interpreted as coarse comparison strata rather than discrete landscape classes.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3456"/>
        <w:gridCol w:w="3456"/>
        <w:gridCol w:w="3456"/>
      </w:tblGrid>
      <w:tr>
        <w:trPr>
          <w:tblHeader w:val="true"/>
          <w:tblHeader/>
        </w:trPr>
        <w:tc>
          <w:tcPr>
            <w:tcW w:type="dxa" w:w="1728"/>
            <w:vAlign w:val="top"/>
          </w:tcPr>
          <w:p>
            <w:pPr>
              <w:keepNext w:val="0"/>
              <w:spacing w:after="0" w:line="240" w:lineRule="auto"/>
              <w:jc w:val="left"/>
            </w:pPr>
            <w:r>
              <w:rPr>
                <w:sz w:val="18"/>
              </w:rPr>
            </w:r>
            <w:r>
              <w:rPr>
                <w:rFonts w:ascii="Times New Roman" w:hAnsi="Times New Roman"/>
                <w:b/>
                <w:sz w:val="18"/>
              </w:rPr>
              <w:t>k</w:t>
            </w:r>
          </w:p>
        </w:tc>
        <w:tc>
          <w:tcPr>
            <w:tcW w:type="dxa" w:w="2880"/>
            <w:vAlign w:val="top"/>
          </w:tcPr>
          <w:p>
            <w:pPr>
              <w:keepNext w:val="0"/>
              <w:spacing w:after="0" w:line="240" w:lineRule="auto"/>
              <w:jc w:val="left"/>
            </w:pPr>
            <w:r>
              <w:rPr>
                <w:sz w:val="18"/>
              </w:rPr>
            </w:r>
            <w:r>
              <w:rPr>
                <w:rFonts w:ascii="Times New Roman" w:hAnsi="Times New Roman"/>
                <w:b/>
                <w:sz w:val="18"/>
              </w:rPr>
              <w:t>Mean silhouette width</w:t>
            </w:r>
          </w:p>
        </w:tc>
        <w:tc>
          <w:tcPr>
            <w:tcW w:type="dxa" w:w="1728"/>
            <w:vAlign w:val="top"/>
          </w:tcPr>
          <w:p>
            <w:pPr>
              <w:keepNext w:val="0"/>
              <w:spacing w:after="0" w:line="240" w:lineRule="auto"/>
              <w:jc w:val="left"/>
            </w:pPr>
            <w:r>
              <w:rPr>
                <w:sz w:val="18"/>
              </w:rPr>
            </w:r>
            <w:r>
              <w:rPr>
                <w:rFonts w:ascii="Times New Roman" w:hAnsi="Times New Roman"/>
                <w:b/>
                <w:sz w:val="18"/>
              </w:rPr>
              <w:t>Selected</w:t>
            </w:r>
          </w:p>
        </w:tc>
      </w:tr>
      <w:tr>
        <w:tc>
          <w:tcPr>
            <w:tcW w:type="dxa" w:w="1728"/>
            <w:vAlign w:val="top"/>
          </w:tcPr>
          <w:p>
            <w:pPr>
              <w:keepNext w:val="0"/>
              <w:spacing w:after="0" w:line="240" w:lineRule="auto"/>
              <w:jc w:val="left"/>
            </w:pPr>
            <w:r>
              <w:rPr>
                <w:sz w:val="18"/>
              </w:rPr>
            </w:r>
            <w:r>
              <w:rPr>
                <w:rFonts w:ascii="Times New Roman" w:hAnsi="Times New Roman"/>
                <w:b w:val="0"/>
                <w:sz w:val="18"/>
              </w:rPr>
              <w:t>2</w:t>
            </w:r>
          </w:p>
        </w:tc>
        <w:tc>
          <w:tcPr>
            <w:tcW w:type="dxa" w:w="2880"/>
            <w:vAlign w:val="top"/>
          </w:tcPr>
          <w:p>
            <w:pPr>
              <w:keepNext w:val="0"/>
              <w:spacing w:after="0" w:line="240" w:lineRule="auto"/>
              <w:jc w:val="left"/>
            </w:pPr>
            <w:r>
              <w:rPr>
                <w:sz w:val="18"/>
              </w:rPr>
            </w:r>
            <w:r>
              <w:rPr>
                <w:rFonts w:ascii="Times New Roman" w:hAnsi="Times New Roman"/>
                <w:b w:val="0"/>
                <w:sz w:val="18"/>
              </w:rPr>
              <w:t>0.251</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3</w:t>
            </w:r>
          </w:p>
        </w:tc>
        <w:tc>
          <w:tcPr>
            <w:tcW w:type="dxa" w:w="2880"/>
            <w:vAlign w:val="top"/>
          </w:tcPr>
          <w:p>
            <w:pPr>
              <w:keepNext w:val="0"/>
              <w:spacing w:after="0" w:line="240" w:lineRule="auto"/>
              <w:jc w:val="left"/>
            </w:pPr>
            <w:r>
              <w:rPr>
                <w:sz w:val="18"/>
              </w:rPr>
            </w:r>
            <w:r>
              <w:rPr>
                <w:rFonts w:ascii="Times New Roman" w:hAnsi="Times New Roman"/>
                <w:b w:val="0"/>
                <w:sz w:val="18"/>
              </w:rPr>
              <w:t>0.270</w:t>
            </w:r>
          </w:p>
        </w:tc>
        <w:tc>
          <w:tcPr>
            <w:tcW w:type="dxa" w:w="1728"/>
            <w:vAlign w:val="top"/>
          </w:tcPr>
          <w:p>
            <w:pPr>
              <w:keepNext w:val="0"/>
              <w:spacing w:after="0" w:line="240" w:lineRule="auto"/>
              <w:jc w:val="left"/>
            </w:pPr>
            <w:r>
              <w:rPr>
                <w:sz w:val="18"/>
              </w:rPr>
            </w:r>
            <w:r>
              <w:rPr>
                <w:rFonts w:ascii="Times New Roman" w:hAnsi="Times New Roman"/>
                <w:b w:val="0"/>
                <w:sz w:val="18"/>
              </w:rPr>
              <w:t>Yes</w:t>
            </w:r>
          </w:p>
        </w:tc>
      </w:tr>
      <w:tr>
        <w:tc>
          <w:tcPr>
            <w:tcW w:type="dxa" w:w="1728"/>
            <w:vAlign w:val="top"/>
          </w:tcPr>
          <w:p>
            <w:pPr>
              <w:keepNext w:val="0"/>
              <w:spacing w:after="0" w:line="240" w:lineRule="auto"/>
              <w:jc w:val="left"/>
            </w:pPr>
            <w:r>
              <w:rPr>
                <w:sz w:val="18"/>
              </w:rPr>
            </w:r>
            <w:r>
              <w:rPr>
                <w:rFonts w:ascii="Times New Roman" w:hAnsi="Times New Roman"/>
                <w:b w:val="0"/>
                <w:sz w:val="18"/>
              </w:rPr>
              <w:t>4</w:t>
            </w:r>
          </w:p>
        </w:tc>
        <w:tc>
          <w:tcPr>
            <w:tcW w:type="dxa" w:w="2880"/>
            <w:vAlign w:val="top"/>
          </w:tcPr>
          <w:p>
            <w:pPr>
              <w:keepNext w:val="0"/>
              <w:spacing w:after="0" w:line="240" w:lineRule="auto"/>
              <w:jc w:val="left"/>
            </w:pPr>
            <w:r>
              <w:rPr>
                <w:sz w:val="18"/>
              </w:rPr>
            </w:r>
            <w:r>
              <w:rPr>
                <w:rFonts w:ascii="Times New Roman" w:hAnsi="Times New Roman"/>
                <w:b w:val="0"/>
                <w:sz w:val="18"/>
              </w:rPr>
              <w:t>0.228</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5</w:t>
            </w:r>
          </w:p>
        </w:tc>
        <w:tc>
          <w:tcPr>
            <w:tcW w:type="dxa" w:w="2880"/>
            <w:vAlign w:val="top"/>
          </w:tcPr>
          <w:p>
            <w:pPr>
              <w:keepNext w:val="0"/>
              <w:spacing w:after="0" w:line="240" w:lineRule="auto"/>
              <w:jc w:val="left"/>
            </w:pPr>
            <w:r>
              <w:rPr>
                <w:sz w:val="18"/>
              </w:rPr>
            </w:r>
            <w:r>
              <w:rPr>
                <w:rFonts w:ascii="Times New Roman" w:hAnsi="Times New Roman"/>
                <w:b w:val="0"/>
                <w:sz w:val="18"/>
              </w:rPr>
              <w:t>0.234</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6</w:t>
            </w:r>
          </w:p>
        </w:tc>
        <w:tc>
          <w:tcPr>
            <w:tcW w:type="dxa" w:w="2880"/>
            <w:vAlign w:val="top"/>
          </w:tcPr>
          <w:p>
            <w:pPr>
              <w:keepNext w:val="0"/>
              <w:spacing w:after="0" w:line="240" w:lineRule="auto"/>
              <w:jc w:val="left"/>
            </w:pPr>
            <w:r>
              <w:rPr>
                <w:sz w:val="18"/>
              </w:rPr>
            </w:r>
            <w:r>
              <w:rPr>
                <w:rFonts w:ascii="Times New Roman" w:hAnsi="Times New Roman"/>
                <w:b w:val="0"/>
                <w:sz w:val="18"/>
              </w:rPr>
              <w:t>0.241</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7</w:t>
            </w:r>
          </w:p>
        </w:tc>
        <w:tc>
          <w:tcPr>
            <w:tcW w:type="dxa" w:w="2880"/>
            <w:vAlign w:val="top"/>
          </w:tcPr>
          <w:p>
            <w:pPr>
              <w:keepNext w:val="0"/>
              <w:spacing w:after="0" w:line="240" w:lineRule="auto"/>
              <w:jc w:val="left"/>
            </w:pPr>
            <w:r>
              <w:rPr>
                <w:sz w:val="18"/>
              </w:rPr>
            </w:r>
            <w:r>
              <w:rPr>
                <w:rFonts w:ascii="Times New Roman" w:hAnsi="Times New Roman"/>
                <w:b w:val="0"/>
                <w:sz w:val="18"/>
              </w:rPr>
              <w:t>0.261</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8</w:t>
            </w:r>
          </w:p>
        </w:tc>
        <w:tc>
          <w:tcPr>
            <w:tcW w:type="dxa" w:w="2880"/>
            <w:vAlign w:val="top"/>
          </w:tcPr>
          <w:p>
            <w:pPr>
              <w:keepNext w:val="0"/>
              <w:spacing w:after="0" w:line="240" w:lineRule="auto"/>
              <w:jc w:val="left"/>
            </w:pPr>
            <w:r>
              <w:rPr>
                <w:sz w:val="18"/>
              </w:rPr>
            </w:r>
            <w:r>
              <w:rPr>
                <w:rFonts w:ascii="Times New Roman" w:hAnsi="Times New Roman"/>
                <w:b w:val="0"/>
                <w:sz w:val="18"/>
              </w:rPr>
              <w:t>0.251</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9</w:t>
            </w:r>
          </w:p>
        </w:tc>
        <w:tc>
          <w:tcPr>
            <w:tcW w:type="dxa" w:w="2880"/>
            <w:vAlign w:val="top"/>
          </w:tcPr>
          <w:p>
            <w:pPr>
              <w:keepNext w:val="0"/>
              <w:spacing w:after="0" w:line="240" w:lineRule="auto"/>
              <w:jc w:val="left"/>
            </w:pPr>
            <w:r>
              <w:rPr>
                <w:sz w:val="18"/>
              </w:rPr>
            </w:r>
            <w:r>
              <w:rPr>
                <w:rFonts w:ascii="Times New Roman" w:hAnsi="Times New Roman"/>
                <w:b w:val="0"/>
                <w:sz w:val="18"/>
              </w:rPr>
              <w:t>0.238</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10</w:t>
            </w:r>
          </w:p>
        </w:tc>
        <w:tc>
          <w:tcPr>
            <w:tcW w:type="dxa" w:w="2880"/>
            <w:vAlign w:val="top"/>
          </w:tcPr>
          <w:p>
            <w:pPr>
              <w:keepNext w:val="0"/>
              <w:spacing w:after="0" w:line="240" w:lineRule="auto"/>
              <w:jc w:val="left"/>
            </w:pPr>
            <w:r>
              <w:rPr>
                <w:sz w:val="18"/>
              </w:rPr>
            </w:r>
            <w:r>
              <w:rPr>
                <w:rFonts w:ascii="Times New Roman" w:hAnsi="Times New Roman"/>
                <w:b w:val="0"/>
                <w:sz w:val="18"/>
              </w:rPr>
              <w:t>0.223</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11</w:t>
            </w:r>
          </w:p>
        </w:tc>
        <w:tc>
          <w:tcPr>
            <w:tcW w:type="dxa" w:w="2880"/>
            <w:vAlign w:val="top"/>
          </w:tcPr>
          <w:p>
            <w:pPr>
              <w:keepNext w:val="0"/>
              <w:spacing w:after="0" w:line="240" w:lineRule="auto"/>
              <w:jc w:val="left"/>
            </w:pPr>
            <w:r>
              <w:rPr>
                <w:sz w:val="18"/>
              </w:rPr>
            </w:r>
            <w:r>
              <w:rPr>
                <w:rFonts w:ascii="Times New Roman" w:hAnsi="Times New Roman"/>
                <w:b w:val="0"/>
                <w:sz w:val="18"/>
              </w:rPr>
              <w:t>0.241</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12</w:t>
            </w:r>
          </w:p>
        </w:tc>
        <w:tc>
          <w:tcPr>
            <w:tcW w:type="dxa" w:w="2880"/>
            <w:vAlign w:val="top"/>
          </w:tcPr>
          <w:p>
            <w:pPr>
              <w:keepNext w:val="0"/>
              <w:spacing w:after="0" w:line="240" w:lineRule="auto"/>
              <w:jc w:val="left"/>
            </w:pPr>
            <w:r>
              <w:rPr>
                <w:sz w:val="18"/>
              </w:rPr>
            </w:r>
            <w:r>
              <w:rPr>
                <w:rFonts w:ascii="Times New Roman" w:hAnsi="Times New Roman"/>
                <w:b w:val="0"/>
                <w:sz w:val="18"/>
              </w:rPr>
              <w:t>0.232</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13</w:t>
            </w:r>
          </w:p>
        </w:tc>
        <w:tc>
          <w:tcPr>
            <w:tcW w:type="dxa" w:w="2880"/>
            <w:vAlign w:val="top"/>
          </w:tcPr>
          <w:p>
            <w:pPr>
              <w:keepNext w:val="0"/>
              <w:spacing w:after="0" w:line="240" w:lineRule="auto"/>
              <w:jc w:val="left"/>
            </w:pPr>
            <w:r>
              <w:rPr>
                <w:sz w:val="18"/>
              </w:rPr>
            </w:r>
            <w:r>
              <w:rPr>
                <w:rFonts w:ascii="Times New Roman" w:hAnsi="Times New Roman"/>
                <w:b w:val="0"/>
                <w:sz w:val="18"/>
              </w:rPr>
              <w:t>0.229</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14</w:t>
            </w:r>
          </w:p>
        </w:tc>
        <w:tc>
          <w:tcPr>
            <w:tcW w:type="dxa" w:w="2880"/>
            <w:vAlign w:val="top"/>
          </w:tcPr>
          <w:p>
            <w:pPr>
              <w:keepNext w:val="0"/>
              <w:spacing w:after="0" w:line="240" w:lineRule="auto"/>
              <w:jc w:val="left"/>
            </w:pPr>
            <w:r>
              <w:rPr>
                <w:sz w:val="18"/>
              </w:rPr>
            </w:r>
            <w:r>
              <w:rPr>
                <w:rFonts w:ascii="Times New Roman" w:hAnsi="Times New Roman"/>
                <w:b w:val="0"/>
                <w:sz w:val="18"/>
              </w:rPr>
              <w:t>0.219</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r>
        <w:tc>
          <w:tcPr>
            <w:tcW w:type="dxa" w:w="1728"/>
            <w:vAlign w:val="top"/>
          </w:tcPr>
          <w:p>
            <w:pPr>
              <w:keepNext w:val="0"/>
              <w:spacing w:after="0" w:line="240" w:lineRule="auto"/>
              <w:jc w:val="left"/>
            </w:pPr>
            <w:r>
              <w:rPr>
                <w:sz w:val="18"/>
              </w:rPr>
            </w:r>
            <w:r>
              <w:rPr>
                <w:rFonts w:ascii="Times New Roman" w:hAnsi="Times New Roman"/>
                <w:b w:val="0"/>
                <w:sz w:val="18"/>
              </w:rPr>
              <w:t>15</w:t>
            </w:r>
          </w:p>
        </w:tc>
        <w:tc>
          <w:tcPr>
            <w:tcW w:type="dxa" w:w="2880"/>
            <w:vAlign w:val="top"/>
          </w:tcPr>
          <w:p>
            <w:pPr>
              <w:keepNext w:val="0"/>
              <w:spacing w:after="0" w:line="240" w:lineRule="auto"/>
              <w:jc w:val="left"/>
            </w:pPr>
            <w:r>
              <w:rPr>
                <w:sz w:val="18"/>
              </w:rPr>
            </w:r>
            <w:r>
              <w:rPr>
                <w:rFonts w:ascii="Times New Roman" w:hAnsi="Times New Roman"/>
                <w:b w:val="0"/>
                <w:sz w:val="18"/>
              </w:rPr>
              <w:t>0.218</w:t>
            </w:r>
          </w:p>
        </w:tc>
        <w:tc>
          <w:tcPr>
            <w:tcW w:type="dxa" w:w="1728"/>
            <w:vAlign w:val="top"/>
          </w:tcPr>
          <w:p>
            <w:pPr>
              <w:keepNext w:val="0"/>
              <w:spacing w:after="0" w:line="240" w:lineRule="auto"/>
              <w:jc w:val="left"/>
            </w:pPr>
            <w:r>
              <w:rPr>
                <w:sz w:val="18"/>
              </w:rPr>
            </w:r>
            <w:r>
              <w:rPr>
                <w:rFonts w:ascii="Times New Roman" w:hAnsi="Times New Roman"/>
                <w:b w:val="0"/>
                <w:sz w:val="18"/>
              </w:rPr>
              <w:t>No</w:t>
            </w:r>
          </w:p>
        </w:tc>
      </w:tr>
    </w:tbl>
    <w:p>
      <w:pPr>
        <w:widowControl/>
      </w:pPr>
    </w:p>
    <w:p>
      <w:pPr>
        <w:pStyle w:val="Caption"/>
        <w:widowControl/>
      </w:pPr>
      <w:r>
        <w:rPr>
          <w:b/>
        </w:rPr>
        <w:t xml:space="preserve">Table S3. </w:t>
      </w:r>
      <w:r>
        <w:t>Clustering stability and accessibility sensitivity.</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5184"/>
        <w:gridCol w:w="5184"/>
      </w:tblGrid>
      <w:tr>
        <w:trPr>
          <w:tblHeader w:val="true"/>
          <w:tblHeader/>
        </w:trPr>
        <w:tc>
          <w:tcPr>
            <w:tcW w:type="dxa" w:w="5040"/>
            <w:vAlign w:val="top"/>
          </w:tcPr>
          <w:p>
            <w:pPr>
              <w:keepNext w:val="0"/>
              <w:spacing w:after="0" w:line="240" w:lineRule="auto"/>
              <w:jc w:val="left"/>
            </w:pPr>
            <w:r>
              <w:rPr>
                <w:sz w:val="18"/>
              </w:rPr>
            </w:r>
            <w:r>
              <w:rPr>
                <w:rFonts w:ascii="Times New Roman" w:hAnsi="Times New Roman"/>
                <w:b/>
                <w:sz w:val="18"/>
              </w:rPr>
              <w:t>Metric</w:t>
            </w:r>
          </w:p>
        </w:tc>
        <w:tc>
          <w:tcPr>
            <w:tcW w:type="dxa" w:w="3168"/>
            <w:vAlign w:val="top"/>
          </w:tcPr>
          <w:p>
            <w:pPr>
              <w:keepNext w:val="0"/>
              <w:spacing w:after="0" w:line="240" w:lineRule="auto"/>
              <w:jc w:val="left"/>
            </w:pPr>
            <w:r>
              <w:rPr>
                <w:sz w:val="18"/>
              </w:rPr>
            </w:r>
            <w:r>
              <w:rPr>
                <w:rFonts w:ascii="Times New Roman" w:hAnsi="Times New Roman"/>
                <w:b/>
                <w:sz w:val="18"/>
              </w:rPr>
              <w:t>Value</w:t>
            </w:r>
          </w:p>
        </w:tc>
      </w:tr>
      <w:tr>
        <w:tc>
          <w:tcPr>
            <w:tcW w:type="dxa" w:w="5040"/>
            <w:vAlign w:val="top"/>
          </w:tcPr>
          <w:p>
            <w:pPr>
              <w:keepNext w:val="0"/>
              <w:spacing w:after="0" w:line="240" w:lineRule="auto"/>
              <w:jc w:val="left"/>
            </w:pPr>
            <w:r>
              <w:rPr>
                <w:sz w:val="18"/>
              </w:rPr>
            </w:r>
            <w:r>
              <w:rPr>
                <w:rFonts w:ascii="Times New Roman" w:hAnsi="Times New Roman"/>
                <w:b w:val="0"/>
                <w:sz w:val="18"/>
              </w:rPr>
              <w:t>Authoritative near-reproduction ARI</w:t>
            </w:r>
          </w:p>
        </w:tc>
        <w:tc>
          <w:tcPr>
            <w:tcW w:type="dxa" w:w="3168"/>
            <w:vAlign w:val="top"/>
          </w:tcPr>
          <w:p>
            <w:pPr>
              <w:keepNext w:val="0"/>
              <w:spacing w:after="0" w:line="240" w:lineRule="auto"/>
              <w:jc w:val="left"/>
            </w:pPr>
            <w:r>
              <w:rPr>
                <w:sz w:val="18"/>
              </w:rPr>
            </w:r>
            <w:r>
              <w:rPr>
                <w:rFonts w:ascii="Times New Roman" w:hAnsi="Times New Roman"/>
                <w:b w:val="0"/>
                <w:sz w:val="18"/>
              </w:rPr>
              <w:t>0.99723575428417</w:t>
            </w:r>
          </w:p>
        </w:tc>
      </w:tr>
      <w:tr>
        <w:tc>
          <w:tcPr>
            <w:tcW w:type="dxa" w:w="5040"/>
            <w:vAlign w:val="top"/>
          </w:tcPr>
          <w:p>
            <w:pPr>
              <w:keepNext w:val="0"/>
              <w:spacing w:after="0" w:line="240" w:lineRule="auto"/>
              <w:jc w:val="left"/>
            </w:pPr>
            <w:r>
              <w:rPr>
                <w:sz w:val="18"/>
              </w:rPr>
            </w:r>
            <w:r>
              <w:rPr>
                <w:rFonts w:ascii="Times New Roman" w:hAnsi="Times New Roman"/>
                <w:b w:val="0"/>
                <w:sz w:val="18"/>
              </w:rPr>
              <w:t>Full label-matched agreement</w:t>
            </w:r>
          </w:p>
        </w:tc>
        <w:tc>
          <w:tcPr>
            <w:tcW w:type="dxa" w:w="3168"/>
            <w:vAlign w:val="top"/>
          </w:tcPr>
          <w:p>
            <w:pPr>
              <w:keepNext w:val="0"/>
              <w:spacing w:after="0" w:line="240" w:lineRule="auto"/>
              <w:jc w:val="left"/>
            </w:pPr>
            <w:r>
              <w:rPr>
                <w:sz w:val="18"/>
              </w:rPr>
            </w:r>
            <w:r>
              <w:rPr>
                <w:rFonts w:ascii="Times New Roman" w:hAnsi="Times New Roman"/>
                <w:b w:val="0"/>
                <w:sz w:val="18"/>
              </w:rPr>
              <w:t>99.9074%</w:t>
            </w:r>
          </w:p>
        </w:tc>
      </w:tr>
      <w:tr>
        <w:tc>
          <w:tcPr>
            <w:tcW w:type="dxa" w:w="5040"/>
            <w:vAlign w:val="top"/>
          </w:tcPr>
          <w:p>
            <w:pPr>
              <w:keepNext w:val="0"/>
              <w:spacing w:after="0" w:line="240" w:lineRule="auto"/>
              <w:jc w:val="left"/>
            </w:pPr>
            <w:r>
              <w:rPr>
                <w:sz w:val="18"/>
              </w:rPr>
            </w:r>
            <w:r>
              <w:rPr>
                <w:rFonts w:ascii="Times New Roman" w:hAnsi="Times New Roman"/>
                <w:b w:val="0"/>
                <w:sz w:val="18"/>
              </w:rPr>
              <w:t>10 km agreement</w:t>
            </w:r>
          </w:p>
        </w:tc>
        <w:tc>
          <w:tcPr>
            <w:tcW w:type="dxa" w:w="3168"/>
            <w:vAlign w:val="top"/>
          </w:tcPr>
          <w:p>
            <w:pPr>
              <w:keepNext w:val="0"/>
              <w:spacing w:after="0" w:line="240" w:lineRule="auto"/>
              <w:jc w:val="left"/>
            </w:pPr>
            <w:r>
              <w:rPr>
                <w:sz w:val="18"/>
              </w:rPr>
            </w:r>
            <w:r>
              <w:rPr>
                <w:rFonts w:ascii="Times New Roman" w:hAnsi="Times New Roman"/>
                <w:b w:val="0"/>
                <w:sz w:val="18"/>
              </w:rPr>
              <w:t>99.8820%</w:t>
            </w:r>
          </w:p>
        </w:tc>
      </w:tr>
      <w:tr>
        <w:tc>
          <w:tcPr>
            <w:tcW w:type="dxa" w:w="5040"/>
            <w:vAlign w:val="top"/>
          </w:tcPr>
          <w:p>
            <w:pPr>
              <w:keepNext w:val="0"/>
              <w:spacing w:after="0" w:line="240" w:lineRule="auto"/>
              <w:jc w:val="left"/>
            </w:pPr>
            <w:r>
              <w:rPr>
                <w:sz w:val="18"/>
              </w:rPr>
            </w:r>
            <w:r>
              <w:rPr>
                <w:rFonts w:ascii="Times New Roman" w:hAnsi="Times New Roman"/>
                <w:b w:val="0"/>
                <w:sz w:val="18"/>
              </w:rPr>
              <w:t>Differing cells</w:t>
            </w:r>
          </w:p>
        </w:tc>
        <w:tc>
          <w:tcPr>
            <w:tcW w:type="dxa" w:w="3168"/>
            <w:vAlign w:val="top"/>
          </w:tcPr>
          <w:p>
            <w:pPr>
              <w:keepNext w:val="0"/>
              <w:spacing w:after="0" w:line="240" w:lineRule="auto"/>
              <w:jc w:val="left"/>
            </w:pPr>
            <w:r>
              <w:rPr>
                <w:sz w:val="18"/>
              </w:rPr>
            </w:r>
            <w:r>
              <w:rPr>
                <w:rFonts w:ascii="Times New Roman" w:hAnsi="Times New Roman"/>
                <w:b w:val="0"/>
                <w:sz w:val="18"/>
              </w:rPr>
              <w:t>230</w:t>
            </w:r>
          </w:p>
        </w:tc>
      </w:tr>
      <w:tr>
        <w:tc>
          <w:tcPr>
            <w:tcW w:type="dxa" w:w="5040"/>
            <w:vAlign w:val="top"/>
          </w:tcPr>
          <w:p>
            <w:pPr>
              <w:keepNext w:val="0"/>
              <w:spacing w:after="0" w:line="240" w:lineRule="auto"/>
              <w:jc w:val="left"/>
            </w:pPr>
            <w:r>
              <w:rPr>
                <w:sz w:val="18"/>
              </w:rPr>
            </w:r>
            <w:r>
              <w:rPr>
                <w:rFonts w:ascii="Times New Roman" w:hAnsi="Times New Roman"/>
                <w:b w:val="0"/>
                <w:sz w:val="18"/>
              </w:rPr>
              <w:t>Differing cells (%)</w:t>
            </w:r>
          </w:p>
        </w:tc>
        <w:tc>
          <w:tcPr>
            <w:tcW w:type="dxa" w:w="3168"/>
            <w:vAlign w:val="top"/>
          </w:tcPr>
          <w:p>
            <w:pPr>
              <w:keepNext w:val="0"/>
              <w:spacing w:after="0" w:line="240" w:lineRule="auto"/>
              <w:jc w:val="left"/>
            </w:pPr>
            <w:r>
              <w:rPr>
                <w:sz w:val="18"/>
              </w:rPr>
            </w:r>
            <w:r>
              <w:rPr>
                <w:rFonts w:ascii="Times New Roman" w:hAnsi="Times New Roman"/>
                <w:b w:val="0"/>
                <w:sz w:val="18"/>
              </w:rPr>
              <w:t>0.0927%</w:t>
            </w:r>
          </w:p>
        </w:tc>
      </w:tr>
      <w:tr>
        <w:tc>
          <w:tcPr>
            <w:tcW w:type="dxa" w:w="5040"/>
            <w:vAlign w:val="top"/>
          </w:tcPr>
          <w:p>
            <w:pPr>
              <w:keepNext w:val="0"/>
              <w:spacing w:after="0" w:line="240" w:lineRule="auto"/>
              <w:jc w:val="left"/>
            </w:pPr>
            <w:r>
              <w:rPr>
                <w:sz w:val="18"/>
              </w:rPr>
            </w:r>
            <w:r>
              <w:rPr>
                <w:rFonts w:ascii="Times New Roman" w:hAnsi="Times New Roman"/>
                <w:b w:val="0"/>
                <w:sz w:val="18"/>
              </w:rPr>
              <w:t>No-accessibility selected k</w:t>
            </w:r>
          </w:p>
        </w:tc>
        <w:tc>
          <w:tcPr>
            <w:tcW w:type="dxa" w:w="3168"/>
            <w:vAlign w:val="top"/>
          </w:tcPr>
          <w:p>
            <w:pPr>
              <w:keepNext w:val="0"/>
              <w:spacing w:after="0" w:line="240" w:lineRule="auto"/>
              <w:jc w:val="left"/>
            </w:pPr>
            <w:r>
              <w:rPr>
                <w:sz w:val="18"/>
              </w:rPr>
            </w:r>
            <w:r>
              <w:rPr>
                <w:rFonts w:ascii="Times New Roman" w:hAnsi="Times New Roman"/>
                <w:b w:val="0"/>
                <w:sz w:val="18"/>
              </w:rPr>
              <w:t>3</w:t>
            </w:r>
          </w:p>
        </w:tc>
      </w:tr>
      <w:tr>
        <w:tc>
          <w:tcPr>
            <w:tcW w:type="dxa" w:w="5040"/>
            <w:vAlign w:val="top"/>
          </w:tcPr>
          <w:p>
            <w:pPr>
              <w:keepNext w:val="0"/>
              <w:spacing w:after="0" w:line="240" w:lineRule="auto"/>
              <w:jc w:val="left"/>
            </w:pPr>
            <w:r>
              <w:rPr>
                <w:sz w:val="18"/>
              </w:rPr>
            </w:r>
            <w:r>
              <w:rPr>
                <w:rFonts w:ascii="Times New Roman" w:hAnsi="Times New Roman"/>
                <w:b w:val="0"/>
                <w:sz w:val="18"/>
              </w:rPr>
              <w:t>No-accessibility k = 3 ARI</w:t>
            </w:r>
          </w:p>
        </w:tc>
        <w:tc>
          <w:tcPr>
            <w:tcW w:type="dxa" w:w="3168"/>
            <w:vAlign w:val="top"/>
          </w:tcPr>
          <w:p>
            <w:pPr>
              <w:keepNext w:val="0"/>
              <w:spacing w:after="0" w:line="240" w:lineRule="auto"/>
              <w:jc w:val="left"/>
            </w:pPr>
            <w:r>
              <w:rPr>
                <w:sz w:val="18"/>
              </w:rPr>
            </w:r>
            <w:r>
              <w:rPr>
                <w:rFonts w:ascii="Times New Roman" w:hAnsi="Times New Roman"/>
                <w:b w:val="0"/>
                <w:sz w:val="18"/>
              </w:rPr>
              <w:t>0.916026767359794</w:t>
            </w:r>
          </w:p>
        </w:tc>
      </w:tr>
      <w:tr>
        <w:tc>
          <w:tcPr>
            <w:tcW w:type="dxa" w:w="5040"/>
            <w:vAlign w:val="top"/>
          </w:tcPr>
          <w:p>
            <w:pPr>
              <w:keepNext w:val="0"/>
              <w:spacing w:after="0" w:line="240" w:lineRule="auto"/>
              <w:jc w:val="left"/>
            </w:pPr>
            <w:r>
              <w:rPr>
                <w:sz w:val="18"/>
              </w:rPr>
            </w:r>
            <w:r>
              <w:rPr>
                <w:rFonts w:ascii="Times New Roman" w:hAnsi="Times New Roman"/>
                <w:b w:val="0"/>
                <w:sz w:val="18"/>
              </w:rPr>
              <w:t>No-accessibility full agreement</w:t>
            </w:r>
          </w:p>
        </w:tc>
        <w:tc>
          <w:tcPr>
            <w:tcW w:type="dxa" w:w="3168"/>
            <w:vAlign w:val="top"/>
          </w:tcPr>
          <w:p>
            <w:pPr>
              <w:keepNext w:val="0"/>
              <w:spacing w:after="0" w:line="240" w:lineRule="auto"/>
              <w:jc w:val="left"/>
            </w:pPr>
            <w:r>
              <w:rPr>
                <w:sz w:val="18"/>
              </w:rPr>
            </w:r>
            <w:r>
              <w:rPr>
                <w:rFonts w:ascii="Times New Roman" w:hAnsi="Times New Roman"/>
                <w:b w:val="0"/>
                <w:sz w:val="18"/>
              </w:rPr>
              <w:t>0.973904643065591</w:t>
            </w:r>
          </w:p>
        </w:tc>
      </w:tr>
      <w:tr>
        <w:tc>
          <w:tcPr>
            <w:tcW w:type="dxa" w:w="5040"/>
            <w:vAlign w:val="top"/>
          </w:tcPr>
          <w:p>
            <w:pPr>
              <w:keepNext w:val="0"/>
              <w:spacing w:after="0" w:line="240" w:lineRule="auto"/>
              <w:jc w:val="left"/>
            </w:pPr>
            <w:r>
              <w:rPr>
                <w:sz w:val="18"/>
              </w:rPr>
            </w:r>
            <w:r>
              <w:rPr>
                <w:rFonts w:ascii="Times New Roman" w:hAnsi="Times New Roman"/>
                <w:b w:val="0"/>
                <w:sz w:val="18"/>
              </w:rPr>
              <w:t>No-accessibility 10 km agreement</w:t>
            </w:r>
          </w:p>
        </w:tc>
        <w:tc>
          <w:tcPr>
            <w:tcW w:type="dxa" w:w="3168"/>
            <w:vAlign w:val="top"/>
          </w:tcPr>
          <w:p>
            <w:pPr>
              <w:keepNext w:val="0"/>
              <w:spacing w:after="0" w:line="240" w:lineRule="auto"/>
              <w:jc w:val="left"/>
            </w:pPr>
            <w:r>
              <w:rPr>
                <w:sz w:val="18"/>
              </w:rPr>
            </w:r>
            <w:r>
              <w:rPr>
                <w:rFonts w:ascii="Times New Roman" w:hAnsi="Times New Roman"/>
                <w:b w:val="0"/>
                <w:sz w:val="18"/>
              </w:rPr>
              <w:t>0.967904314319442</w:t>
            </w:r>
          </w:p>
        </w:tc>
      </w:tr>
      <w:tr>
        <w:tc>
          <w:tcPr>
            <w:tcW w:type="dxa" w:w="5040"/>
            <w:vAlign w:val="top"/>
          </w:tcPr>
          <w:p>
            <w:pPr>
              <w:keepNext w:val="0"/>
              <w:spacing w:after="0" w:line="240" w:lineRule="auto"/>
              <w:jc w:val="left"/>
            </w:pPr>
            <w:r>
              <w:rPr>
                <w:sz w:val="18"/>
              </w:rPr>
            </w:r>
            <w:r>
              <w:rPr>
                <w:rFonts w:ascii="Times New Roman" w:hAnsi="Times New Roman"/>
                <w:b w:val="0"/>
                <w:sz w:val="18"/>
              </w:rPr>
              <w:t>Retained group identity</w:t>
            </w:r>
          </w:p>
        </w:tc>
        <w:tc>
          <w:tcPr>
            <w:tcW w:type="dxa" w:w="3168"/>
            <w:vAlign w:val="top"/>
          </w:tcPr>
          <w:p>
            <w:pPr>
              <w:keepNext w:val="0"/>
              <w:spacing w:after="0" w:line="240" w:lineRule="auto"/>
              <w:jc w:val="left"/>
            </w:pPr>
            <w:r>
              <w:rPr>
                <w:sz w:val="18"/>
              </w:rPr>
            </w:r>
            <w:r>
              <w:rPr>
                <w:rFonts w:ascii="Times New Roman" w:hAnsi="Times New Roman"/>
                <w:b w:val="0"/>
                <w:sz w:val="18"/>
              </w:rPr>
              <w:t>Depression and Plateau retained</w:t>
            </w:r>
          </w:p>
        </w:tc>
      </w:tr>
      <w:tr>
        <w:tc>
          <w:tcPr>
            <w:tcW w:type="dxa" w:w="5040"/>
            <w:vAlign w:val="top"/>
          </w:tcPr>
          <w:p>
            <w:pPr>
              <w:keepNext w:val="0"/>
              <w:spacing w:after="0" w:line="240" w:lineRule="auto"/>
              <w:jc w:val="left"/>
            </w:pPr>
            <w:r>
              <w:rPr>
                <w:sz w:val="18"/>
              </w:rPr>
            </w:r>
            <w:r>
              <w:rPr>
                <w:rFonts w:ascii="Times New Roman" w:hAnsi="Times New Roman"/>
                <w:b w:val="0"/>
                <w:sz w:val="18"/>
              </w:rPr>
              <w:t>Outcome-model rerun triggered</w:t>
            </w:r>
          </w:p>
        </w:tc>
        <w:tc>
          <w:tcPr>
            <w:tcW w:type="dxa" w:w="3168"/>
            <w:vAlign w:val="top"/>
          </w:tcPr>
          <w:p>
            <w:pPr>
              <w:keepNext w:val="0"/>
              <w:spacing w:after="0" w:line="240" w:lineRule="auto"/>
              <w:jc w:val="left"/>
            </w:pPr>
            <w:r>
              <w:rPr>
                <w:sz w:val="18"/>
              </w:rPr>
            </w:r>
            <w:r>
              <w:rPr>
                <w:rFonts w:ascii="Times New Roman" w:hAnsi="Times New Roman"/>
                <w:b w:val="0"/>
                <w:sz w:val="18"/>
              </w:rPr>
              <w:t>No</w:t>
            </w:r>
          </w:p>
        </w:tc>
      </w:tr>
      <w:tr>
        <w:tc>
          <w:tcPr>
            <w:tcW w:type="dxa" w:w="5040"/>
            <w:vAlign w:val="top"/>
          </w:tcPr>
          <w:p>
            <w:pPr>
              <w:keepNext w:val="0"/>
              <w:spacing w:after="0" w:line="240" w:lineRule="auto"/>
              <w:jc w:val="left"/>
            </w:pPr>
            <w:r>
              <w:rPr>
                <w:sz w:val="18"/>
              </w:rPr>
            </w:r>
            <w:r>
              <w:rPr>
                <w:rFonts w:ascii="Times New Roman" w:hAnsi="Times New Roman"/>
                <w:b w:val="0"/>
                <w:sz w:val="18"/>
              </w:rPr>
              <w:t>Seed-stability rows</w:t>
            </w:r>
          </w:p>
        </w:tc>
        <w:tc>
          <w:tcPr>
            <w:tcW w:type="dxa" w:w="3168"/>
            <w:vAlign w:val="top"/>
          </w:tcPr>
          <w:p>
            <w:pPr>
              <w:keepNext w:val="0"/>
              <w:spacing w:after="0" w:line="240" w:lineRule="auto"/>
              <w:jc w:val="left"/>
            </w:pPr>
            <w:r>
              <w:rPr>
                <w:sz w:val="18"/>
              </w:rPr>
            </w:r>
            <w:r>
              <w:rPr>
                <w:rFonts w:ascii="Times New Roman" w:hAnsi="Times New Roman"/>
                <w:b w:val="0"/>
                <w:sz w:val="18"/>
              </w:rPr>
              <w:t>25</w:t>
            </w:r>
          </w:p>
        </w:tc>
      </w:tr>
    </w:tbl>
    <w:p>
      <w:pPr>
        <w:widowControl/>
      </w:pPr>
    </w:p>
    <w:p>
      <w:pPr>
        <w:pStyle w:val="Caption"/>
        <w:widowControl/>
      </w:pPr>
      <w:r>
        <w:t>Table S4. Measured spatial-design balance and event support for the primary 25% definition. Cell counts are shown as inside / outside. Fire values are burned cell-years, not discrete fire perimeters. The 10 km design retained residual imbalance and was selected as a balance–support compromise, not as a matched design.</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296"/>
        <w:gridCol w:w="1296"/>
        <w:gridCol w:w="1296"/>
        <w:gridCol w:w="1296"/>
        <w:gridCol w:w="1296"/>
        <w:gridCol w:w="1296"/>
        <w:gridCol w:w="1296"/>
        <w:gridCol w:w="1296"/>
      </w:tblGrid>
      <w:tr>
        <w:trPr>
          <w:tblHeader w:val="true"/>
          <w:tblHeader/>
        </w:trPr>
        <w:tc>
          <w:tcPr>
            <w:tcW w:type="dxa" w:w="1152"/>
            <w:vAlign w:val="top"/>
          </w:tcPr>
          <w:p>
            <w:pPr>
              <w:keepNext w:val="0"/>
              <w:spacing w:after="0" w:line="240" w:lineRule="auto"/>
              <w:jc w:val="left"/>
            </w:pPr>
            <w:r>
              <w:rPr>
                <w:sz w:val="18"/>
              </w:rPr>
            </w:r>
            <w:r>
              <w:rPr>
                <w:rFonts w:ascii="Times New Roman" w:hAnsi="Times New Roman"/>
                <w:b/>
                <w:sz w:val="18"/>
              </w:rPr>
              <w:t>Design</w:t>
            </w:r>
          </w:p>
        </w:tc>
        <w:tc>
          <w:tcPr>
            <w:tcW w:type="dxa" w:w="1800"/>
            <w:vAlign w:val="top"/>
          </w:tcPr>
          <w:p>
            <w:pPr>
              <w:keepNext w:val="0"/>
              <w:spacing w:after="0" w:line="240" w:lineRule="auto"/>
              <w:jc w:val="left"/>
            </w:pPr>
            <w:r>
              <w:rPr>
                <w:sz w:val="18"/>
              </w:rPr>
            </w:r>
            <w:r>
              <w:rPr>
                <w:rFonts w:ascii="Times New Roman" w:hAnsi="Times New Roman"/>
                <w:b/>
                <w:sz w:val="18"/>
              </w:rPr>
              <w:t>Cells (inside / outside)</w:t>
            </w:r>
          </w:p>
        </w:tc>
        <w:tc>
          <w:tcPr>
            <w:tcW w:type="dxa" w:w="1152"/>
            <w:vAlign w:val="top"/>
          </w:tcPr>
          <w:p>
            <w:pPr>
              <w:keepNext w:val="0"/>
              <w:spacing w:after="0" w:line="240" w:lineRule="auto"/>
              <w:jc w:val="left"/>
            </w:pPr>
            <w:r>
              <w:rPr>
                <w:sz w:val="18"/>
              </w:rPr>
            </w:r>
            <w:r>
              <w:rPr>
                <w:rFonts w:ascii="Times New Roman" w:hAnsi="Times New Roman"/>
                <w:b/>
                <w:sz w:val="18"/>
              </w:rPr>
              <w:t>Median |SMD|</w:t>
            </w:r>
          </w:p>
        </w:tc>
        <w:tc>
          <w:tcPr>
            <w:tcW w:type="dxa" w:w="1152"/>
            <w:vAlign w:val="top"/>
          </w:tcPr>
          <w:p>
            <w:pPr>
              <w:keepNext w:val="0"/>
              <w:spacing w:after="0" w:line="240" w:lineRule="auto"/>
              <w:jc w:val="left"/>
            </w:pPr>
            <w:r>
              <w:rPr>
                <w:sz w:val="18"/>
              </w:rPr>
            </w:r>
            <w:r>
              <w:rPr>
                <w:rFonts w:ascii="Times New Roman" w:hAnsi="Times New Roman"/>
                <w:b/>
                <w:sz w:val="18"/>
              </w:rPr>
              <w:t>Max |SMD|</w:t>
            </w:r>
          </w:p>
        </w:tc>
        <w:tc>
          <w:tcPr>
            <w:tcW w:type="dxa" w:w="1512"/>
            <w:vAlign w:val="top"/>
          </w:tcPr>
          <w:p>
            <w:pPr>
              <w:keepNext w:val="0"/>
              <w:spacing w:after="0" w:line="240" w:lineRule="auto"/>
              <w:jc w:val="left"/>
            </w:pPr>
            <w:r>
              <w:rPr>
                <w:sz w:val="18"/>
              </w:rPr>
            </w:r>
            <w:r>
              <w:rPr>
                <w:rFonts w:ascii="Times New Roman" w:hAnsi="Times New Roman"/>
                <w:b/>
                <w:sz w:val="18"/>
              </w:rPr>
              <w:t>Burned cell-years</w:t>
            </w:r>
          </w:p>
        </w:tc>
        <w:tc>
          <w:tcPr>
            <w:tcW w:type="dxa" w:w="1512"/>
            <w:vAlign w:val="top"/>
          </w:tcPr>
          <w:p>
            <w:pPr>
              <w:keepNext w:val="0"/>
              <w:spacing w:after="0" w:line="240" w:lineRule="auto"/>
              <w:jc w:val="left"/>
            </w:pPr>
            <w:r>
              <w:rPr>
                <w:sz w:val="18"/>
              </w:rPr>
            </w:r>
            <w:r>
              <w:rPr>
                <w:rFonts w:ascii="Times New Roman" w:hAnsi="Times New Roman"/>
                <w:b/>
                <w:sz w:val="18"/>
              </w:rPr>
              <w:t>Tree-cover-loss events</w:t>
            </w:r>
          </w:p>
        </w:tc>
        <w:tc>
          <w:tcPr>
            <w:tcW w:type="dxa" w:w="1656"/>
            <w:vAlign w:val="top"/>
          </w:tcPr>
          <w:p>
            <w:pPr>
              <w:keepNext w:val="0"/>
              <w:spacing w:after="0" w:line="240" w:lineRule="auto"/>
              <w:jc w:val="left"/>
            </w:pPr>
            <w:r>
              <w:rPr>
                <w:sz w:val="18"/>
              </w:rPr>
            </w:r>
            <w:r>
              <w:rPr>
                <w:rFonts w:ascii="Times New Roman" w:hAnsi="Times New Roman"/>
                <w:b/>
                <w:sz w:val="18"/>
              </w:rPr>
              <w:t>Agricultural-expansion events</w:t>
            </w:r>
          </w:p>
        </w:tc>
        <w:tc>
          <w:tcPr>
            <w:tcW w:type="dxa" w:w="1008"/>
            <w:vAlign w:val="top"/>
          </w:tcPr>
          <w:p>
            <w:pPr>
              <w:keepNext w:val="0"/>
              <w:spacing w:after="0" w:line="240" w:lineRule="auto"/>
              <w:jc w:val="left"/>
            </w:pPr>
            <w:r>
              <w:rPr>
                <w:sz w:val="18"/>
              </w:rPr>
            </w:r>
            <w:r>
              <w:rPr>
                <w:rFonts w:ascii="Times New Roman" w:hAnsi="Times New Roman"/>
                <w:b/>
                <w:sz w:val="18"/>
              </w:rPr>
              <w:t>Role</w:t>
            </w:r>
          </w:p>
        </w:tc>
      </w:tr>
      <w:tr>
        <w:tc>
          <w:tcPr>
            <w:tcW w:type="dxa" w:w="1152"/>
            <w:vAlign w:val="top"/>
          </w:tcPr>
          <w:p>
            <w:pPr>
              <w:keepNext w:val="0"/>
              <w:spacing w:after="0" w:line="240" w:lineRule="auto"/>
              <w:jc w:val="left"/>
            </w:pPr>
            <w:r>
              <w:rPr>
                <w:sz w:val="18"/>
              </w:rPr>
            </w:r>
            <w:r>
              <w:rPr>
                <w:rFonts w:ascii="Times New Roman" w:hAnsi="Times New Roman"/>
                <w:b w:val="0"/>
                <w:sz w:val="18"/>
              </w:rPr>
              <w:t>All cells</w:t>
            </w:r>
          </w:p>
        </w:tc>
        <w:tc>
          <w:tcPr>
            <w:tcW w:type="dxa" w:w="1800"/>
            <w:vAlign w:val="top"/>
          </w:tcPr>
          <w:p>
            <w:pPr>
              <w:keepNext w:val="0"/>
              <w:spacing w:after="0" w:line="240" w:lineRule="auto"/>
              <w:jc w:val="left"/>
            </w:pPr>
            <w:r>
              <w:rPr>
                <w:sz w:val="18"/>
              </w:rPr>
            </w:r>
            <w:r>
              <w:rPr>
                <w:rFonts w:ascii="Times New Roman" w:hAnsi="Times New Roman"/>
                <w:b w:val="0"/>
                <w:sz w:val="18"/>
              </w:rPr>
              <w:t>37,963 / 166,448</w:t>
            </w:r>
          </w:p>
        </w:tc>
        <w:tc>
          <w:tcPr>
            <w:tcW w:type="dxa" w:w="1152"/>
            <w:vAlign w:val="top"/>
          </w:tcPr>
          <w:p>
            <w:pPr>
              <w:keepNext w:val="0"/>
              <w:spacing w:after="0" w:line="240" w:lineRule="auto"/>
              <w:jc w:val="left"/>
            </w:pPr>
            <w:r>
              <w:rPr>
                <w:sz w:val="18"/>
              </w:rPr>
            </w:r>
            <w:r>
              <w:rPr>
                <w:rFonts w:ascii="Times New Roman" w:hAnsi="Times New Roman"/>
                <w:b w:val="0"/>
                <w:sz w:val="18"/>
              </w:rPr>
              <w:t>0.429</w:t>
            </w:r>
          </w:p>
        </w:tc>
        <w:tc>
          <w:tcPr>
            <w:tcW w:type="dxa" w:w="1152"/>
            <w:vAlign w:val="top"/>
          </w:tcPr>
          <w:p>
            <w:pPr>
              <w:keepNext w:val="0"/>
              <w:spacing w:after="0" w:line="240" w:lineRule="auto"/>
              <w:jc w:val="left"/>
            </w:pPr>
            <w:r>
              <w:rPr>
                <w:sz w:val="18"/>
              </w:rPr>
            </w:r>
            <w:r>
              <w:rPr>
                <w:rFonts w:ascii="Times New Roman" w:hAnsi="Times New Roman"/>
                <w:b w:val="0"/>
                <w:sz w:val="18"/>
              </w:rPr>
              <w:t>1.704</w:t>
            </w:r>
          </w:p>
        </w:tc>
        <w:tc>
          <w:tcPr>
            <w:tcW w:type="dxa" w:w="1512"/>
            <w:vAlign w:val="top"/>
          </w:tcPr>
          <w:p>
            <w:pPr>
              <w:keepNext w:val="0"/>
              <w:spacing w:after="0" w:line="240" w:lineRule="auto"/>
              <w:jc w:val="left"/>
            </w:pPr>
            <w:r>
              <w:rPr>
                <w:sz w:val="18"/>
              </w:rPr>
            </w:r>
            <w:r>
              <w:rPr>
                <w:rFonts w:ascii="Times New Roman" w:hAnsi="Times New Roman"/>
                <w:b w:val="0"/>
                <w:sz w:val="18"/>
              </w:rPr>
              <w:t>2,468,094</w:t>
            </w:r>
          </w:p>
        </w:tc>
        <w:tc>
          <w:tcPr>
            <w:tcW w:type="dxa" w:w="1512"/>
            <w:vAlign w:val="top"/>
          </w:tcPr>
          <w:p>
            <w:pPr>
              <w:keepNext w:val="0"/>
              <w:spacing w:after="0" w:line="240" w:lineRule="auto"/>
              <w:jc w:val="left"/>
            </w:pPr>
            <w:r>
              <w:rPr>
                <w:sz w:val="18"/>
              </w:rPr>
            </w:r>
            <w:r>
              <w:rPr>
                <w:rFonts w:ascii="Times New Roman" w:hAnsi="Times New Roman"/>
                <w:b w:val="0"/>
                <w:sz w:val="18"/>
              </w:rPr>
              <w:t>5,460</w:t>
            </w:r>
          </w:p>
        </w:tc>
        <w:tc>
          <w:tcPr>
            <w:tcW w:type="dxa" w:w="1656"/>
            <w:vAlign w:val="top"/>
          </w:tcPr>
          <w:p>
            <w:pPr>
              <w:keepNext w:val="0"/>
              <w:spacing w:after="0" w:line="240" w:lineRule="auto"/>
              <w:jc w:val="left"/>
            </w:pPr>
            <w:r>
              <w:rPr>
                <w:sz w:val="18"/>
              </w:rPr>
            </w:r>
            <w:r>
              <w:rPr>
                <w:rFonts w:ascii="Times New Roman" w:hAnsi="Times New Roman"/>
                <w:b w:val="0"/>
                <w:sz w:val="18"/>
              </w:rPr>
              <w:t>2,685</w:t>
            </w:r>
          </w:p>
        </w:tc>
        <w:tc>
          <w:tcPr>
            <w:tcW w:type="dxa" w:w="1008"/>
            <w:vAlign w:val="top"/>
          </w:tcPr>
          <w:p>
            <w:pPr>
              <w:keepNext w:val="0"/>
              <w:spacing w:after="0" w:line="240" w:lineRule="auto"/>
              <w:jc w:val="left"/>
            </w:pPr>
            <w:r>
              <w:rPr>
                <w:sz w:val="18"/>
              </w:rPr>
            </w:r>
            <w:r>
              <w:rPr>
                <w:rFonts w:ascii="Times New Roman" w:hAnsi="Times New Roman"/>
                <w:b w:val="0"/>
                <w:sz w:val="18"/>
              </w:rPr>
              <w:t>sensitivity</w:t>
            </w:r>
          </w:p>
        </w:tc>
      </w:tr>
      <w:tr>
        <w:tc>
          <w:tcPr>
            <w:tcW w:type="dxa" w:w="1152"/>
            <w:vAlign w:val="top"/>
          </w:tcPr>
          <w:p>
            <w:pPr>
              <w:keepNext w:val="0"/>
              <w:spacing w:after="0" w:line="240" w:lineRule="auto"/>
              <w:jc w:val="left"/>
            </w:pPr>
            <w:r>
              <w:rPr>
                <w:sz w:val="18"/>
              </w:rPr>
            </w:r>
            <w:r>
              <w:rPr>
                <w:rFonts w:ascii="Times New Roman" w:hAnsi="Times New Roman"/>
                <w:b w:val="0"/>
                <w:sz w:val="18"/>
              </w:rPr>
              <w:t>5 km</w:t>
            </w:r>
          </w:p>
        </w:tc>
        <w:tc>
          <w:tcPr>
            <w:tcW w:type="dxa" w:w="1800"/>
            <w:vAlign w:val="top"/>
          </w:tcPr>
          <w:p>
            <w:pPr>
              <w:keepNext w:val="0"/>
              <w:spacing w:after="0" w:line="240" w:lineRule="auto"/>
              <w:jc w:val="left"/>
            </w:pPr>
            <w:r>
              <w:rPr>
                <w:sz w:val="18"/>
              </w:rPr>
            </w:r>
            <w:r>
              <w:rPr>
                <w:rFonts w:ascii="Times New Roman" w:hAnsi="Times New Roman"/>
                <w:b w:val="0"/>
                <w:sz w:val="18"/>
              </w:rPr>
              <w:t>11,187 / 11,418</w:t>
            </w:r>
          </w:p>
        </w:tc>
        <w:tc>
          <w:tcPr>
            <w:tcW w:type="dxa" w:w="1152"/>
            <w:vAlign w:val="top"/>
          </w:tcPr>
          <w:p>
            <w:pPr>
              <w:keepNext w:val="0"/>
              <w:spacing w:after="0" w:line="240" w:lineRule="auto"/>
              <w:jc w:val="left"/>
            </w:pPr>
            <w:r>
              <w:rPr>
                <w:sz w:val="18"/>
              </w:rPr>
            </w:r>
            <w:r>
              <w:rPr>
                <w:rFonts w:ascii="Times New Roman" w:hAnsi="Times New Roman"/>
                <w:b w:val="0"/>
                <w:sz w:val="18"/>
              </w:rPr>
              <w:t>0.119</w:t>
            </w:r>
          </w:p>
        </w:tc>
        <w:tc>
          <w:tcPr>
            <w:tcW w:type="dxa" w:w="1152"/>
            <w:vAlign w:val="top"/>
          </w:tcPr>
          <w:p>
            <w:pPr>
              <w:keepNext w:val="0"/>
              <w:spacing w:after="0" w:line="240" w:lineRule="auto"/>
              <w:jc w:val="left"/>
            </w:pPr>
            <w:r>
              <w:rPr>
                <w:sz w:val="18"/>
              </w:rPr>
            </w:r>
            <w:r>
              <w:rPr>
                <w:rFonts w:ascii="Times New Roman" w:hAnsi="Times New Roman"/>
                <w:b w:val="0"/>
                <w:sz w:val="18"/>
              </w:rPr>
              <w:t>0.371</w:t>
            </w:r>
          </w:p>
        </w:tc>
        <w:tc>
          <w:tcPr>
            <w:tcW w:type="dxa" w:w="1512"/>
            <w:vAlign w:val="top"/>
          </w:tcPr>
          <w:p>
            <w:pPr>
              <w:keepNext w:val="0"/>
              <w:spacing w:after="0" w:line="240" w:lineRule="auto"/>
              <w:jc w:val="left"/>
            </w:pPr>
            <w:r>
              <w:rPr>
                <w:sz w:val="18"/>
              </w:rPr>
            </w:r>
            <w:r>
              <w:rPr>
                <w:rFonts w:ascii="Times New Roman" w:hAnsi="Times New Roman"/>
                <w:b w:val="0"/>
                <w:sz w:val="18"/>
              </w:rPr>
              <w:t>252,143</w:t>
            </w:r>
          </w:p>
        </w:tc>
        <w:tc>
          <w:tcPr>
            <w:tcW w:type="dxa" w:w="1512"/>
            <w:vAlign w:val="top"/>
          </w:tcPr>
          <w:p>
            <w:pPr>
              <w:keepNext w:val="0"/>
              <w:spacing w:after="0" w:line="240" w:lineRule="auto"/>
              <w:jc w:val="left"/>
            </w:pPr>
            <w:r>
              <w:rPr>
                <w:sz w:val="18"/>
              </w:rPr>
            </w:r>
            <w:r>
              <w:rPr>
                <w:rFonts w:ascii="Times New Roman" w:hAnsi="Times New Roman"/>
                <w:b w:val="0"/>
                <w:sz w:val="18"/>
              </w:rPr>
              <w:t>313</w:t>
            </w:r>
          </w:p>
        </w:tc>
        <w:tc>
          <w:tcPr>
            <w:tcW w:type="dxa" w:w="1656"/>
            <w:vAlign w:val="top"/>
          </w:tcPr>
          <w:p>
            <w:pPr>
              <w:keepNext w:val="0"/>
              <w:spacing w:after="0" w:line="240" w:lineRule="auto"/>
              <w:jc w:val="left"/>
            </w:pPr>
            <w:r>
              <w:rPr>
                <w:sz w:val="18"/>
              </w:rPr>
            </w:r>
            <w:r>
              <w:rPr>
                <w:rFonts w:ascii="Times New Roman" w:hAnsi="Times New Roman"/>
                <w:b w:val="0"/>
                <w:sz w:val="18"/>
              </w:rPr>
              <w:t>392</w:t>
            </w:r>
          </w:p>
        </w:tc>
        <w:tc>
          <w:tcPr>
            <w:tcW w:type="dxa" w:w="1008"/>
            <w:vAlign w:val="top"/>
          </w:tcPr>
          <w:p>
            <w:pPr>
              <w:keepNext w:val="0"/>
              <w:spacing w:after="0" w:line="240" w:lineRule="auto"/>
              <w:jc w:val="left"/>
            </w:pPr>
            <w:r>
              <w:rPr>
                <w:sz w:val="18"/>
              </w:rPr>
            </w:r>
            <w:r>
              <w:rPr>
                <w:rFonts w:ascii="Times New Roman" w:hAnsi="Times New Roman"/>
                <w:b w:val="0"/>
                <w:sz w:val="18"/>
              </w:rPr>
              <w:t>sensitivity</w:t>
            </w:r>
          </w:p>
        </w:tc>
      </w:tr>
      <w:tr>
        <w:tc>
          <w:tcPr>
            <w:tcW w:type="dxa" w:w="1152"/>
            <w:vAlign w:val="top"/>
          </w:tcPr>
          <w:p>
            <w:pPr>
              <w:keepNext w:val="0"/>
              <w:spacing w:after="0" w:line="240" w:lineRule="auto"/>
              <w:jc w:val="left"/>
            </w:pPr>
            <w:r>
              <w:rPr>
                <w:sz w:val="18"/>
              </w:rPr>
            </w:r>
            <w:r>
              <w:rPr>
                <w:rFonts w:ascii="Times New Roman" w:hAnsi="Times New Roman"/>
                <w:b w:val="0"/>
                <w:sz w:val="18"/>
              </w:rPr>
              <w:t>10 km</w:t>
            </w:r>
          </w:p>
        </w:tc>
        <w:tc>
          <w:tcPr>
            <w:tcW w:type="dxa" w:w="1800"/>
            <w:vAlign w:val="top"/>
          </w:tcPr>
          <w:p>
            <w:pPr>
              <w:keepNext w:val="0"/>
              <w:spacing w:after="0" w:line="240" w:lineRule="auto"/>
              <w:jc w:val="left"/>
            </w:pPr>
            <w:r>
              <w:rPr>
                <w:sz w:val="18"/>
              </w:rPr>
            </w:r>
            <w:r>
              <w:rPr>
                <w:rFonts w:ascii="Times New Roman" w:hAnsi="Times New Roman"/>
                <w:b w:val="0"/>
                <w:sz w:val="18"/>
              </w:rPr>
              <w:t>20,548 / 22,006</w:t>
            </w:r>
          </w:p>
        </w:tc>
        <w:tc>
          <w:tcPr>
            <w:tcW w:type="dxa" w:w="1152"/>
            <w:vAlign w:val="top"/>
          </w:tcPr>
          <w:p>
            <w:pPr>
              <w:keepNext w:val="0"/>
              <w:spacing w:after="0" w:line="240" w:lineRule="auto"/>
              <w:jc w:val="left"/>
            </w:pPr>
            <w:r>
              <w:rPr>
                <w:sz w:val="18"/>
              </w:rPr>
            </w:r>
            <w:r>
              <w:rPr>
                <w:rFonts w:ascii="Times New Roman" w:hAnsi="Times New Roman"/>
                <w:b w:val="0"/>
                <w:sz w:val="18"/>
              </w:rPr>
              <w:t>0.187</w:t>
            </w:r>
          </w:p>
        </w:tc>
        <w:tc>
          <w:tcPr>
            <w:tcW w:type="dxa" w:w="1152"/>
            <w:vAlign w:val="top"/>
          </w:tcPr>
          <w:p>
            <w:pPr>
              <w:keepNext w:val="0"/>
              <w:spacing w:after="0" w:line="240" w:lineRule="auto"/>
              <w:jc w:val="left"/>
            </w:pPr>
            <w:r>
              <w:rPr>
                <w:sz w:val="18"/>
              </w:rPr>
            </w:r>
            <w:r>
              <w:rPr>
                <w:rFonts w:ascii="Times New Roman" w:hAnsi="Times New Roman"/>
                <w:b w:val="0"/>
                <w:sz w:val="18"/>
              </w:rPr>
              <w:t>0.733</w:t>
            </w:r>
          </w:p>
        </w:tc>
        <w:tc>
          <w:tcPr>
            <w:tcW w:type="dxa" w:w="1512"/>
            <w:vAlign w:val="top"/>
          </w:tcPr>
          <w:p>
            <w:pPr>
              <w:keepNext w:val="0"/>
              <w:spacing w:after="0" w:line="240" w:lineRule="auto"/>
              <w:jc w:val="left"/>
            </w:pPr>
            <w:r>
              <w:rPr>
                <w:sz w:val="18"/>
              </w:rPr>
            </w:r>
            <w:r>
              <w:rPr>
                <w:rFonts w:ascii="Times New Roman" w:hAnsi="Times New Roman"/>
                <w:b w:val="0"/>
                <w:sz w:val="18"/>
              </w:rPr>
              <w:t>508,320</w:t>
            </w:r>
          </w:p>
        </w:tc>
        <w:tc>
          <w:tcPr>
            <w:tcW w:type="dxa" w:w="1512"/>
            <w:vAlign w:val="top"/>
          </w:tcPr>
          <w:p>
            <w:pPr>
              <w:keepNext w:val="0"/>
              <w:spacing w:after="0" w:line="240" w:lineRule="auto"/>
              <w:jc w:val="left"/>
            </w:pPr>
            <w:r>
              <w:rPr>
                <w:sz w:val="18"/>
              </w:rPr>
            </w:r>
            <w:r>
              <w:rPr>
                <w:rFonts w:ascii="Times New Roman" w:hAnsi="Times New Roman"/>
                <w:b w:val="0"/>
                <w:sz w:val="18"/>
              </w:rPr>
              <w:t>519</w:t>
            </w:r>
          </w:p>
        </w:tc>
        <w:tc>
          <w:tcPr>
            <w:tcW w:type="dxa" w:w="1656"/>
            <w:vAlign w:val="top"/>
          </w:tcPr>
          <w:p>
            <w:pPr>
              <w:keepNext w:val="0"/>
              <w:spacing w:after="0" w:line="240" w:lineRule="auto"/>
              <w:jc w:val="left"/>
            </w:pPr>
            <w:r>
              <w:rPr>
                <w:sz w:val="18"/>
              </w:rPr>
            </w:r>
            <w:r>
              <w:rPr>
                <w:rFonts w:ascii="Times New Roman" w:hAnsi="Times New Roman"/>
                <w:b w:val="0"/>
                <w:sz w:val="18"/>
              </w:rPr>
              <w:t>518</w:t>
            </w:r>
          </w:p>
        </w:tc>
        <w:tc>
          <w:tcPr>
            <w:tcW w:type="dxa" w:w="1008"/>
            <w:vAlign w:val="top"/>
          </w:tcPr>
          <w:p>
            <w:pPr>
              <w:keepNext w:val="0"/>
              <w:spacing w:after="0" w:line="240" w:lineRule="auto"/>
              <w:jc w:val="left"/>
            </w:pPr>
            <w:r>
              <w:rPr>
                <w:sz w:val="18"/>
              </w:rPr>
            </w:r>
            <w:r>
              <w:rPr>
                <w:rFonts w:ascii="Times New Roman" w:hAnsi="Times New Roman"/>
                <w:b w:val="0"/>
                <w:sz w:val="18"/>
              </w:rPr>
              <w:t>primary estimand</w:t>
            </w:r>
          </w:p>
        </w:tc>
      </w:tr>
      <w:tr>
        <w:tc>
          <w:tcPr>
            <w:tcW w:type="dxa" w:w="1152"/>
            <w:vAlign w:val="top"/>
          </w:tcPr>
          <w:p>
            <w:pPr>
              <w:keepNext w:val="0"/>
              <w:spacing w:after="0" w:line="240" w:lineRule="auto"/>
              <w:jc w:val="left"/>
            </w:pPr>
            <w:r>
              <w:rPr>
                <w:sz w:val="18"/>
              </w:rPr>
            </w:r>
            <w:r>
              <w:rPr>
                <w:rFonts w:ascii="Times New Roman" w:hAnsi="Times New Roman"/>
                <w:b w:val="0"/>
                <w:sz w:val="18"/>
              </w:rPr>
              <w:t>20 km</w:t>
            </w:r>
          </w:p>
        </w:tc>
        <w:tc>
          <w:tcPr>
            <w:tcW w:type="dxa" w:w="1800"/>
            <w:vAlign w:val="top"/>
          </w:tcPr>
          <w:p>
            <w:pPr>
              <w:keepNext w:val="0"/>
              <w:spacing w:after="0" w:line="240" w:lineRule="auto"/>
              <w:jc w:val="left"/>
            </w:pPr>
            <w:r>
              <w:rPr>
                <w:sz w:val="18"/>
              </w:rPr>
            </w:r>
            <w:r>
              <w:rPr>
                <w:rFonts w:ascii="Times New Roman" w:hAnsi="Times New Roman"/>
                <w:b w:val="0"/>
                <w:sz w:val="18"/>
              </w:rPr>
              <w:t>33,130 / 42,022</w:t>
            </w:r>
          </w:p>
        </w:tc>
        <w:tc>
          <w:tcPr>
            <w:tcW w:type="dxa" w:w="1152"/>
            <w:vAlign w:val="top"/>
          </w:tcPr>
          <w:p>
            <w:pPr>
              <w:keepNext w:val="0"/>
              <w:spacing w:after="0" w:line="240" w:lineRule="auto"/>
              <w:jc w:val="left"/>
            </w:pPr>
            <w:r>
              <w:rPr>
                <w:sz w:val="18"/>
              </w:rPr>
            </w:r>
            <w:r>
              <w:rPr>
                <w:rFonts w:ascii="Times New Roman" w:hAnsi="Times New Roman"/>
                <w:b w:val="0"/>
                <w:sz w:val="18"/>
              </w:rPr>
              <w:t>0.299</w:t>
            </w:r>
          </w:p>
        </w:tc>
        <w:tc>
          <w:tcPr>
            <w:tcW w:type="dxa" w:w="1152"/>
            <w:vAlign w:val="top"/>
          </w:tcPr>
          <w:p>
            <w:pPr>
              <w:keepNext w:val="0"/>
              <w:spacing w:after="0" w:line="240" w:lineRule="auto"/>
              <w:jc w:val="left"/>
            </w:pPr>
            <w:r>
              <w:rPr>
                <w:sz w:val="18"/>
              </w:rPr>
            </w:r>
            <w:r>
              <w:rPr>
                <w:rFonts w:ascii="Times New Roman" w:hAnsi="Times New Roman"/>
                <w:b w:val="0"/>
                <w:sz w:val="18"/>
              </w:rPr>
              <w:t>1.254</w:t>
            </w:r>
          </w:p>
        </w:tc>
        <w:tc>
          <w:tcPr>
            <w:tcW w:type="dxa" w:w="1512"/>
            <w:vAlign w:val="top"/>
          </w:tcPr>
          <w:p>
            <w:pPr>
              <w:keepNext w:val="0"/>
              <w:spacing w:after="0" w:line="240" w:lineRule="auto"/>
              <w:jc w:val="left"/>
            </w:pPr>
            <w:r>
              <w:rPr>
                <w:sz w:val="18"/>
              </w:rPr>
            </w:r>
            <w:r>
              <w:rPr>
                <w:rFonts w:ascii="Times New Roman" w:hAnsi="Times New Roman"/>
                <w:b w:val="0"/>
                <w:sz w:val="18"/>
              </w:rPr>
              <w:t>928,993</w:t>
            </w:r>
          </w:p>
        </w:tc>
        <w:tc>
          <w:tcPr>
            <w:tcW w:type="dxa" w:w="1512"/>
            <w:vAlign w:val="top"/>
          </w:tcPr>
          <w:p>
            <w:pPr>
              <w:keepNext w:val="0"/>
              <w:spacing w:after="0" w:line="240" w:lineRule="auto"/>
              <w:jc w:val="left"/>
            </w:pPr>
            <w:r>
              <w:rPr>
                <w:sz w:val="18"/>
              </w:rPr>
            </w:r>
            <w:r>
              <w:rPr>
                <w:rFonts w:ascii="Times New Roman" w:hAnsi="Times New Roman"/>
                <w:b w:val="0"/>
                <w:sz w:val="18"/>
              </w:rPr>
              <w:t>876</w:t>
            </w:r>
          </w:p>
        </w:tc>
        <w:tc>
          <w:tcPr>
            <w:tcW w:type="dxa" w:w="1656"/>
            <w:vAlign w:val="top"/>
          </w:tcPr>
          <w:p>
            <w:pPr>
              <w:keepNext w:val="0"/>
              <w:spacing w:after="0" w:line="240" w:lineRule="auto"/>
              <w:jc w:val="left"/>
            </w:pPr>
            <w:r>
              <w:rPr>
                <w:sz w:val="18"/>
              </w:rPr>
            </w:r>
            <w:r>
              <w:rPr>
                <w:rFonts w:ascii="Times New Roman" w:hAnsi="Times New Roman"/>
                <w:b w:val="0"/>
                <w:sz w:val="18"/>
              </w:rPr>
              <w:t>587</w:t>
            </w:r>
          </w:p>
        </w:tc>
        <w:tc>
          <w:tcPr>
            <w:tcW w:type="dxa" w:w="1008"/>
            <w:vAlign w:val="top"/>
          </w:tcPr>
          <w:p>
            <w:pPr>
              <w:keepNext w:val="0"/>
              <w:spacing w:after="0" w:line="240" w:lineRule="auto"/>
              <w:jc w:val="left"/>
            </w:pPr>
            <w:r>
              <w:rPr>
                <w:sz w:val="18"/>
              </w:rPr>
            </w:r>
            <w:r>
              <w:rPr>
                <w:rFonts w:ascii="Times New Roman" w:hAnsi="Times New Roman"/>
                <w:b w:val="0"/>
                <w:sz w:val="18"/>
              </w:rPr>
              <w:t>sensitivity</w:t>
            </w:r>
          </w:p>
        </w:tc>
      </w:tr>
    </w:tbl>
    <w:p>
      <w:pPr>
        <w:widowControl/>
      </w:pPr>
    </w:p>
    <w:p>
      <w:pPr>
        <w:pStyle w:val="Caption"/>
        <w:widowControl/>
      </w:pPr>
      <w:r>
        <w:t>Table S5. Landscape-group and park-side support. Counts are inside / outside. The primary totals equal the sum of the Depression and Plateau rows; the Lufira Plain cluster is shown separately and was excluded from the primary inferential scope.</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728"/>
        <w:gridCol w:w="1728"/>
        <w:gridCol w:w="1728"/>
        <w:gridCol w:w="1728"/>
        <w:gridCol w:w="1728"/>
        <w:gridCol w:w="1728"/>
      </w:tblGrid>
      <w:tr>
        <w:trPr>
          <w:tblHeader w:val="true"/>
          <w:tblHeader/>
        </w:trPr>
        <w:tc>
          <w:tcPr>
            <w:tcW w:type="dxa" w:w="2160"/>
            <w:vAlign w:val="top"/>
          </w:tcPr>
          <w:p>
            <w:pPr>
              <w:keepNext w:val="0"/>
              <w:spacing w:after="0" w:line="240" w:lineRule="auto"/>
              <w:jc w:val="left"/>
            </w:pPr>
            <w:r>
              <w:rPr>
                <w:sz w:val="18"/>
              </w:rPr>
            </w:r>
            <w:r>
              <w:rPr>
                <w:rFonts w:ascii="Times New Roman" w:hAnsi="Times New Roman"/>
                <w:b/>
                <w:sz w:val="18"/>
              </w:rPr>
              <w:t>Landscape group</w:t>
            </w:r>
          </w:p>
        </w:tc>
        <w:tc>
          <w:tcPr>
            <w:tcW w:type="dxa" w:w="1440"/>
            <w:vAlign w:val="top"/>
          </w:tcPr>
          <w:p>
            <w:pPr>
              <w:keepNext w:val="0"/>
              <w:spacing w:after="0" w:line="240" w:lineRule="auto"/>
              <w:jc w:val="left"/>
            </w:pPr>
            <w:r>
              <w:rPr>
                <w:sz w:val="18"/>
              </w:rPr>
            </w:r>
            <w:r>
              <w:rPr>
                <w:rFonts w:ascii="Times New Roman" w:hAnsi="Times New Roman"/>
                <w:b/>
                <w:sz w:val="18"/>
              </w:rPr>
              <w:t>Cells</w:t>
            </w:r>
          </w:p>
        </w:tc>
        <w:tc>
          <w:tcPr>
            <w:tcW w:type="dxa" w:w="1800"/>
            <w:vAlign w:val="top"/>
          </w:tcPr>
          <w:p>
            <w:pPr>
              <w:keepNext w:val="0"/>
              <w:spacing w:after="0" w:line="240" w:lineRule="auto"/>
              <w:jc w:val="left"/>
            </w:pPr>
            <w:r>
              <w:rPr>
                <w:sz w:val="18"/>
              </w:rPr>
            </w:r>
            <w:r>
              <w:rPr>
                <w:rFonts w:ascii="Times New Roman" w:hAnsi="Times New Roman"/>
                <w:b/>
                <w:sz w:val="18"/>
              </w:rPr>
              <w:t>Burned cell-years</w:t>
            </w:r>
          </w:p>
        </w:tc>
        <w:tc>
          <w:tcPr>
            <w:tcW w:type="dxa" w:w="1800"/>
            <w:vAlign w:val="top"/>
          </w:tcPr>
          <w:p>
            <w:pPr>
              <w:keepNext w:val="0"/>
              <w:spacing w:after="0" w:line="240" w:lineRule="auto"/>
              <w:jc w:val="left"/>
            </w:pPr>
            <w:r>
              <w:rPr>
                <w:sz w:val="18"/>
              </w:rPr>
            </w:r>
            <w:r>
              <w:rPr>
                <w:rFonts w:ascii="Times New Roman" w:hAnsi="Times New Roman"/>
                <w:b/>
                <w:sz w:val="18"/>
              </w:rPr>
              <w:t>Tree-cover-loss events</w:t>
            </w:r>
          </w:p>
        </w:tc>
        <w:tc>
          <w:tcPr>
            <w:tcW w:type="dxa" w:w="1944"/>
            <w:vAlign w:val="top"/>
          </w:tcPr>
          <w:p>
            <w:pPr>
              <w:keepNext w:val="0"/>
              <w:spacing w:after="0" w:line="240" w:lineRule="auto"/>
              <w:jc w:val="left"/>
            </w:pPr>
            <w:r>
              <w:rPr>
                <w:sz w:val="18"/>
              </w:rPr>
            </w:r>
            <w:r>
              <w:rPr>
                <w:rFonts w:ascii="Times New Roman" w:hAnsi="Times New Roman"/>
                <w:b/>
                <w:sz w:val="18"/>
              </w:rPr>
              <w:t>Agricultural-expansion events</w:t>
            </w:r>
          </w:p>
        </w:tc>
        <w:tc>
          <w:tcPr>
            <w:tcW w:type="dxa" w:w="936"/>
            <w:vAlign w:val="top"/>
          </w:tcPr>
          <w:p>
            <w:pPr>
              <w:keepNext w:val="0"/>
              <w:spacing w:after="0" w:line="240" w:lineRule="auto"/>
              <w:jc w:val="left"/>
            </w:pPr>
            <w:r>
              <w:rPr>
                <w:sz w:val="18"/>
              </w:rPr>
            </w:r>
            <w:r>
              <w:rPr>
                <w:rFonts w:ascii="Times New Roman" w:hAnsi="Times New Roman"/>
                <w:b/>
                <w:sz w:val="18"/>
              </w:rPr>
              <w:t>Included</w:t>
            </w:r>
          </w:p>
        </w:tc>
      </w:tr>
      <w:tr>
        <w:tc>
          <w:tcPr>
            <w:tcW w:type="dxa" w:w="2160"/>
            <w:vAlign w:val="top"/>
          </w:tcPr>
          <w:p>
            <w:pPr>
              <w:keepNext w:val="0"/>
              <w:spacing w:after="0" w:line="240" w:lineRule="auto"/>
              <w:jc w:val="left"/>
            </w:pPr>
            <w:r>
              <w:rPr>
                <w:sz w:val="18"/>
              </w:rPr>
            </w:r>
            <w:r>
              <w:rPr>
                <w:rFonts w:ascii="Times New Roman" w:hAnsi="Times New Roman"/>
                <w:b w:val="0"/>
                <w:sz w:val="18"/>
              </w:rPr>
              <w:t>Depression</w:t>
            </w:r>
          </w:p>
        </w:tc>
        <w:tc>
          <w:tcPr>
            <w:tcW w:type="dxa" w:w="1440"/>
            <w:vAlign w:val="top"/>
          </w:tcPr>
          <w:p>
            <w:pPr>
              <w:keepNext w:val="0"/>
              <w:spacing w:after="0" w:line="240" w:lineRule="auto"/>
              <w:jc w:val="left"/>
            </w:pPr>
            <w:r>
              <w:rPr>
                <w:sz w:val="18"/>
              </w:rPr>
            </w:r>
            <w:r>
              <w:rPr>
                <w:rFonts w:ascii="Times New Roman" w:hAnsi="Times New Roman"/>
                <w:b w:val="0"/>
                <w:sz w:val="18"/>
              </w:rPr>
              <w:t>7,612 / 10,019</w:t>
            </w:r>
          </w:p>
        </w:tc>
        <w:tc>
          <w:tcPr>
            <w:tcW w:type="dxa" w:w="1800"/>
            <w:vAlign w:val="top"/>
          </w:tcPr>
          <w:p>
            <w:pPr>
              <w:keepNext w:val="0"/>
              <w:spacing w:after="0" w:line="240" w:lineRule="auto"/>
              <w:jc w:val="left"/>
            </w:pPr>
            <w:r>
              <w:rPr>
                <w:sz w:val="18"/>
              </w:rPr>
            </w:r>
            <w:r>
              <w:rPr>
                <w:rFonts w:ascii="Times New Roman" w:hAnsi="Times New Roman"/>
                <w:b w:val="0"/>
                <w:sz w:val="18"/>
              </w:rPr>
              <w:t>75,745 / 89,396</w:t>
            </w:r>
          </w:p>
        </w:tc>
        <w:tc>
          <w:tcPr>
            <w:tcW w:type="dxa" w:w="1800"/>
            <w:vAlign w:val="top"/>
          </w:tcPr>
          <w:p>
            <w:pPr>
              <w:keepNext w:val="0"/>
              <w:spacing w:after="0" w:line="240" w:lineRule="auto"/>
              <w:jc w:val="left"/>
            </w:pPr>
            <w:r>
              <w:rPr>
                <w:sz w:val="18"/>
              </w:rPr>
            </w:r>
            <w:r>
              <w:rPr>
                <w:rFonts w:ascii="Times New Roman" w:hAnsi="Times New Roman"/>
                <w:b w:val="0"/>
                <w:sz w:val="18"/>
              </w:rPr>
              <w:t>142 / 262</w:t>
            </w:r>
          </w:p>
        </w:tc>
        <w:tc>
          <w:tcPr>
            <w:tcW w:type="dxa" w:w="1944"/>
            <w:vAlign w:val="top"/>
          </w:tcPr>
          <w:p>
            <w:pPr>
              <w:keepNext w:val="0"/>
              <w:spacing w:after="0" w:line="240" w:lineRule="auto"/>
              <w:jc w:val="left"/>
            </w:pPr>
            <w:r>
              <w:rPr>
                <w:sz w:val="18"/>
              </w:rPr>
            </w:r>
            <w:r>
              <w:rPr>
                <w:rFonts w:ascii="Times New Roman" w:hAnsi="Times New Roman"/>
                <w:b w:val="0"/>
                <w:sz w:val="18"/>
              </w:rPr>
              <w:t>254 / 261</w:t>
            </w:r>
          </w:p>
        </w:tc>
        <w:tc>
          <w:tcPr>
            <w:tcW w:type="dxa" w:w="936"/>
            <w:vAlign w:val="top"/>
          </w:tcPr>
          <w:p>
            <w:pPr>
              <w:keepNext w:val="0"/>
              <w:spacing w:after="0" w:line="240" w:lineRule="auto"/>
              <w:jc w:val="left"/>
            </w:pPr>
            <w:r>
              <w:rPr>
                <w:sz w:val="18"/>
              </w:rPr>
            </w:r>
            <w:r>
              <w:rPr>
                <w:rFonts w:ascii="Times New Roman" w:hAnsi="Times New Roman"/>
                <w:b w:val="0"/>
                <w:sz w:val="18"/>
              </w:rPr>
              <w:t>Yes</w:t>
            </w:r>
          </w:p>
        </w:tc>
      </w:tr>
      <w:tr>
        <w:tc>
          <w:tcPr>
            <w:tcW w:type="dxa" w:w="2160"/>
            <w:vAlign w:val="top"/>
          </w:tcPr>
          <w:p>
            <w:pPr>
              <w:keepNext w:val="0"/>
              <w:spacing w:after="0" w:line="240" w:lineRule="auto"/>
              <w:jc w:val="left"/>
            </w:pPr>
            <w:r>
              <w:rPr>
                <w:sz w:val="18"/>
              </w:rPr>
            </w:r>
            <w:r>
              <w:rPr>
                <w:rFonts w:ascii="Times New Roman" w:hAnsi="Times New Roman"/>
                <w:b w:val="0"/>
                <w:sz w:val="18"/>
              </w:rPr>
              <w:t>Lufira Plain (outside inferential scope)</w:t>
            </w:r>
          </w:p>
        </w:tc>
        <w:tc>
          <w:tcPr>
            <w:tcW w:type="dxa" w:w="1440"/>
            <w:vAlign w:val="top"/>
          </w:tcPr>
          <w:p>
            <w:pPr>
              <w:keepNext w:val="0"/>
              <w:spacing w:after="0" w:line="240" w:lineRule="auto"/>
              <w:jc w:val="left"/>
            </w:pPr>
            <w:r>
              <w:rPr>
                <w:sz w:val="18"/>
              </w:rPr>
            </w:r>
            <w:r>
              <w:rPr>
                <w:rFonts w:ascii="Times New Roman" w:hAnsi="Times New Roman"/>
                <w:b w:val="0"/>
                <w:sz w:val="18"/>
              </w:rPr>
              <w:t>786 / 1,557</w:t>
            </w:r>
          </w:p>
        </w:tc>
        <w:tc>
          <w:tcPr>
            <w:tcW w:type="dxa" w:w="1800"/>
            <w:vAlign w:val="top"/>
          </w:tcPr>
          <w:p>
            <w:pPr>
              <w:keepNext w:val="0"/>
              <w:spacing w:after="0" w:line="240" w:lineRule="auto"/>
              <w:jc w:val="left"/>
            </w:pPr>
            <w:r>
              <w:rPr>
                <w:sz w:val="18"/>
              </w:rPr>
            </w:r>
            <w:r>
              <w:rPr>
                <w:rFonts w:ascii="Times New Roman" w:hAnsi="Times New Roman"/>
                <w:b w:val="0"/>
                <w:sz w:val="18"/>
              </w:rPr>
              <w:t>12,396 / 25,735</w:t>
            </w:r>
          </w:p>
        </w:tc>
        <w:tc>
          <w:tcPr>
            <w:tcW w:type="dxa" w:w="1800"/>
            <w:vAlign w:val="top"/>
          </w:tcPr>
          <w:p>
            <w:pPr>
              <w:keepNext w:val="0"/>
              <w:spacing w:after="0" w:line="240" w:lineRule="auto"/>
              <w:jc w:val="left"/>
            </w:pPr>
            <w:r>
              <w:rPr>
                <w:sz w:val="18"/>
              </w:rPr>
            </w:r>
            <w:r>
              <w:rPr>
                <w:rFonts w:ascii="Times New Roman" w:hAnsi="Times New Roman"/>
                <w:b w:val="0"/>
                <w:sz w:val="18"/>
              </w:rPr>
              <w:t>0 / 12</w:t>
            </w:r>
          </w:p>
        </w:tc>
        <w:tc>
          <w:tcPr>
            <w:tcW w:type="dxa" w:w="1944"/>
            <w:vAlign w:val="top"/>
          </w:tcPr>
          <w:p>
            <w:pPr>
              <w:keepNext w:val="0"/>
              <w:spacing w:after="0" w:line="240" w:lineRule="auto"/>
              <w:jc w:val="left"/>
            </w:pPr>
            <w:r>
              <w:rPr>
                <w:sz w:val="18"/>
              </w:rPr>
            </w:r>
            <w:r>
              <w:rPr>
                <w:rFonts w:ascii="Times New Roman" w:hAnsi="Times New Roman"/>
                <w:b w:val="0"/>
                <w:sz w:val="18"/>
              </w:rPr>
              <w:t>2 / 9</w:t>
            </w:r>
          </w:p>
        </w:tc>
        <w:tc>
          <w:tcPr>
            <w:tcW w:type="dxa" w:w="936"/>
            <w:vAlign w:val="top"/>
          </w:tcPr>
          <w:p>
            <w:pPr>
              <w:keepNext w:val="0"/>
              <w:spacing w:after="0" w:line="240" w:lineRule="auto"/>
              <w:jc w:val="left"/>
            </w:pPr>
            <w:r>
              <w:rPr>
                <w:sz w:val="18"/>
              </w:rPr>
            </w:r>
            <w:r>
              <w:rPr>
                <w:rFonts w:ascii="Times New Roman" w:hAnsi="Times New Roman"/>
                <w:b w:val="0"/>
                <w:sz w:val="18"/>
              </w:rPr>
              <w:t>No</w:t>
            </w:r>
          </w:p>
        </w:tc>
      </w:tr>
      <w:tr>
        <w:tc>
          <w:tcPr>
            <w:tcW w:type="dxa" w:w="2160"/>
            <w:vAlign w:val="top"/>
          </w:tcPr>
          <w:p>
            <w:pPr>
              <w:keepNext w:val="0"/>
              <w:spacing w:after="0" w:line="240" w:lineRule="auto"/>
              <w:jc w:val="left"/>
            </w:pPr>
            <w:r>
              <w:rPr>
                <w:sz w:val="18"/>
              </w:rPr>
            </w:r>
            <w:r>
              <w:rPr>
                <w:rFonts w:ascii="Times New Roman" w:hAnsi="Times New Roman"/>
                <w:b w:val="0"/>
                <w:sz w:val="18"/>
              </w:rPr>
              <w:t>Plateau</w:t>
            </w:r>
          </w:p>
        </w:tc>
        <w:tc>
          <w:tcPr>
            <w:tcW w:type="dxa" w:w="1440"/>
            <w:vAlign w:val="top"/>
          </w:tcPr>
          <w:p>
            <w:pPr>
              <w:keepNext w:val="0"/>
              <w:spacing w:after="0" w:line="240" w:lineRule="auto"/>
              <w:jc w:val="left"/>
            </w:pPr>
            <w:r>
              <w:rPr>
                <w:sz w:val="18"/>
              </w:rPr>
            </w:r>
            <w:r>
              <w:rPr>
                <w:rFonts w:ascii="Times New Roman" w:hAnsi="Times New Roman"/>
                <w:b w:val="0"/>
                <w:sz w:val="18"/>
              </w:rPr>
              <w:t>12,936 / 11,987</w:t>
            </w:r>
          </w:p>
        </w:tc>
        <w:tc>
          <w:tcPr>
            <w:tcW w:type="dxa" w:w="1800"/>
            <w:vAlign w:val="top"/>
          </w:tcPr>
          <w:p>
            <w:pPr>
              <w:keepNext w:val="0"/>
              <w:spacing w:after="0" w:line="240" w:lineRule="auto"/>
              <w:jc w:val="left"/>
            </w:pPr>
            <w:r>
              <w:rPr>
                <w:sz w:val="18"/>
              </w:rPr>
            </w:r>
            <w:r>
              <w:rPr>
                <w:rFonts w:ascii="Times New Roman" w:hAnsi="Times New Roman"/>
                <w:b w:val="0"/>
                <w:sz w:val="18"/>
              </w:rPr>
              <w:t>177,455 / 165,724</w:t>
            </w:r>
          </w:p>
        </w:tc>
        <w:tc>
          <w:tcPr>
            <w:tcW w:type="dxa" w:w="1800"/>
            <w:vAlign w:val="top"/>
          </w:tcPr>
          <w:p>
            <w:pPr>
              <w:keepNext w:val="0"/>
              <w:spacing w:after="0" w:line="240" w:lineRule="auto"/>
              <w:jc w:val="left"/>
            </w:pPr>
            <w:r>
              <w:rPr>
                <w:sz w:val="18"/>
              </w:rPr>
            </w:r>
            <w:r>
              <w:rPr>
                <w:rFonts w:ascii="Times New Roman" w:hAnsi="Times New Roman"/>
                <w:b w:val="0"/>
                <w:sz w:val="18"/>
              </w:rPr>
              <w:t>4 / 111</w:t>
            </w:r>
          </w:p>
        </w:tc>
        <w:tc>
          <w:tcPr>
            <w:tcW w:type="dxa" w:w="1944"/>
            <w:vAlign w:val="top"/>
          </w:tcPr>
          <w:p>
            <w:pPr>
              <w:keepNext w:val="0"/>
              <w:spacing w:after="0" w:line="240" w:lineRule="auto"/>
              <w:jc w:val="left"/>
            </w:pPr>
            <w:r>
              <w:rPr>
                <w:sz w:val="18"/>
              </w:rPr>
            </w:r>
            <w:r>
              <w:rPr>
                <w:rFonts w:ascii="Times New Roman" w:hAnsi="Times New Roman"/>
                <w:b w:val="0"/>
                <w:sz w:val="18"/>
              </w:rPr>
              <w:t>0 / 3</w:t>
            </w:r>
          </w:p>
        </w:tc>
        <w:tc>
          <w:tcPr>
            <w:tcW w:type="dxa" w:w="936"/>
            <w:vAlign w:val="top"/>
          </w:tcPr>
          <w:p>
            <w:pPr>
              <w:keepNext w:val="0"/>
              <w:spacing w:after="0" w:line="240" w:lineRule="auto"/>
              <w:jc w:val="left"/>
            </w:pPr>
            <w:r>
              <w:rPr>
                <w:sz w:val="18"/>
              </w:rPr>
            </w:r>
            <w:r>
              <w:rPr>
                <w:rFonts w:ascii="Times New Roman" w:hAnsi="Times New Roman"/>
                <w:b w:val="0"/>
                <w:sz w:val="18"/>
              </w:rPr>
              <w:t>Yes</w:t>
            </w:r>
          </w:p>
        </w:tc>
      </w:tr>
    </w:tbl>
    <w:p>
      <w:pPr>
        <w:widowControl/>
      </w:pPr>
    </w:p>
    <w:p>
      <w:pPr>
        <w:pStyle w:val="Caption"/>
        <w:widowControl/>
      </w:pPr>
      <w:r>
        <w:t>Table S6. Historical episode evidence supporting the frozen chronology. Each row records the operational interpretation, documented evidence, transition rationale, and sources. Episodes sharing a profile label are not assumed homogeneous. The profiles describe broad practical authority rather than governance quality, conservation intent, legitimacy, or exclusive sovereignty.</w:t>
      </w:r>
    </w:p>
    <w:tbl>
      <w:tr>
        <w:trPr>
          <w:tblHeader w:val="true"/>
          <w:tblHeader/>
        </w:trPr>
        <w:tc>
          <w:tcPr>
            <w:tcW w:type="dxa" w:w="10368"/>
          </w:tcPr>
          <w:p>
            <w:pPr>
              <w:keepNext w:val="0"/>
            </w:pPr>
            <w:r>
              <w:rPr>
                <w:b/>
                <w:sz w:val="18"/>
              </w:rPr>
              <w:t>Historical episode evidence</w:t>
            </w:r>
          </w:p>
        </w:tc>
      </w:tr>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0368"/>
      </w:tblGrid>
      <w:tr>
        <w:trPr/>
        <w:tc>
          <w:tcPr>
            <w:tcW w:type="dxa" w:w="10368"/>
            <w:vAlign w:val="top"/>
          </w:tcPr>
          <w:p>
            <w:pPr>
              <w:keepNext w:val="0"/>
              <w:spacing w:after="0" w:line="240" w:lineRule="auto"/>
              <w:jc w:val="left"/>
            </w:pPr>
            <w:r>
              <w:rPr>
                <w:sz w:val="18"/>
              </w:rPr>
            </w:r>
            <w:r>
              <w:rPr>
                <w:rFonts w:ascii="Times New Roman" w:hAnsi="Times New Roman"/>
                <w:b w:val="0"/>
                <w:sz w:val="18"/>
              </w:rPr>
              <w:t>Depression, 2001-2003 (Fragmented control)</w:t>
              <w:br/>
              <w:t>Interpretation: Weak, spatially limited park authority in the Kamalondo Depression with locally negotiated access and no consolidated militia territorial control.</w:t>
              <w:br/>
              <w:t>Evidence: Armed actors were reported using Upemba as refuge from 2002. Emergency assistance and follow-up provisioning during 2000-2002 enabled only a limited resumption of patrol activity, concentrated principally around the Plateau core, while ICCN leadership continued to rely heavily on negotiation and contact with armed actors. OKA convened a November 2003 table ronde involving customary authorities and ICCN, showing negotiated conservation rather than consolidated enforcement.</w:t>
              <w:br/>
              <w:t>Transition: The study window imposes the 2001 start. The episode ends in 2003 because the 28 May 2004 Lusinga attack marks a dated rupture from weak negotiated authority to open militia-centred coercion and park withdrawal.</w:t>
              <w:br/>
              <w:t>Sources: Hasson 2003; Nouvelles Approches 2002-2004; OKA Kanyundu 2018; Van Leeuwe et al. 2009; Hasson 2015</w:t>
            </w:r>
          </w:p>
        </w:tc>
      </w:tr>
      <w:tr>
        <w:tc>
          <w:tcPr>
            <w:tcW w:type="dxa" w:w="10368"/>
            <w:vAlign w:val="top"/>
          </w:tcPr>
          <w:p>
            <w:pPr>
              <w:keepNext w:val="0"/>
              <w:spacing w:after="0" w:line="240" w:lineRule="auto"/>
              <w:jc w:val="left"/>
            </w:pPr>
            <w:r>
              <w:rPr>
                <w:sz w:val="18"/>
              </w:rPr>
            </w:r>
            <w:r>
              <w:rPr>
                <w:rFonts w:ascii="Times New Roman" w:hAnsi="Times New Roman"/>
                <w:b w:val="0"/>
                <w:sz w:val="18"/>
              </w:rPr>
              <w:t>Depression, 2004-2006 (Militia-centred control)</w:t>
              <w:br/>
              <w:t>Interpretation: Militia and military coercion dominated practical access conditions after the Lusinga attack; lawful park authority retreated from the Depression and routine enforcement collapsed.</w:t>
              <w:br/>
              <w:t>Evidence: On 28 May 2004, around forty Mai-Mai fighters attacked Lusinga, killing park staff and family members, taking hostages, burning tourist rondavels, looting archives and possessions, and precipitating withdrawal from the Kamalondo Depression. The government then deployed roughly 85-100 FARDC soldiers to Lusinga for about two years, while reports describe military-linked poaching and constrained ranger authority. The broader Mitwaba-Pweto-Manono conflict displaced villages and disrupted access routes; Gédéon surrendered at Mitwaba on 16 May 2006.</w:t>
              <w:br/>
              <w:t>Transition: The 2004 start is anchored by the dated Lusinga attack. The 2006 end follows Gédéon's surrender and demobilization dynamics, but the following period is coded as fragmented rather than park-centred because reopening and ranger salary restoration did not restore consolidated park control.</w:t>
              <w:br/>
              <w:t>Sources: Van Leeuwe et al. 2009; Hasson 2015; Nouvelles Approches 2002-2004; Hecht 2006; Human Rights Watch 2006</w:t>
            </w:r>
          </w:p>
        </w:tc>
      </w:tr>
      <w:tr>
        <w:tc>
          <w:tcPr>
            <w:tcW w:type="dxa" w:w="10368"/>
            <w:vAlign w:val="top"/>
          </w:tcPr>
          <w:p>
            <w:pPr>
              <w:keepNext w:val="0"/>
              <w:spacing w:after="0" w:line="240" w:lineRule="auto"/>
              <w:jc w:val="left"/>
            </w:pPr>
            <w:r>
              <w:rPr>
                <w:sz w:val="18"/>
              </w:rPr>
            </w:r>
            <w:r>
              <w:rPr>
                <w:rFonts w:ascii="Times New Roman" w:hAnsi="Times New Roman"/>
                <w:b w:val="0"/>
                <w:sz w:val="18"/>
              </w:rPr>
              <w:t>Depression, 2007-2012 (Fragmented control)</w:t>
              <w:br/>
              <w:t>Interpretation: Post-demobilization conditions combined residual armed presence, negotiated conservation through customary authorities, and limited conservation re-entry without dominant park control in the Depression.</w:t>
              <w:br/>
              <w:t>Evidence: From 2007 BAK lobbied for renewed support, and BAK-ICCN formalized a contract in April 2008. FZS scouting and the WCS survey in 2008 documented catastrophic governance conditions, rent-seeking allegations, and residual Mai-Mai presence around Mbwe along the Lufira. OKA and BAK activity, including the 2010 Chief Kayumba declaration recognizing the 1975 boundary, indicate negotiated recognition of park space. FZS technical support from 2011 remained concentrated around Lusinga and the plateaus; the Depression stayed beyond effective operational reach.</w:t>
              <w:br/>
              <w:t>Transition: The 2007 start follows Gédéon's 2006 surrender and partial re-entry. The Depression episode continues through 2012 because donor-supported operations strengthened primarily around Lusinga and the Plateau, while evidence for systematic Depression penetration appears only in late 2016 and early 2017.</w:t>
              <w:br/>
              <w:t>Sources: Van Leeuwe et al. 2009; Hasson 2015; FZS 2009; OKA Kanyundu 2018; Chief Kayumba 2010</w:t>
            </w:r>
          </w:p>
        </w:tc>
      </w:tr>
      <w:tr>
        <w:tc>
          <w:tcPr>
            <w:tcW w:type="dxa" w:w="10368"/>
            <w:vAlign w:val="top"/>
          </w:tcPr>
          <w:p>
            <w:pPr>
              <w:keepNext w:val="0"/>
              <w:spacing w:after="0" w:line="240" w:lineRule="auto"/>
              <w:jc w:val="left"/>
            </w:pPr>
            <w:r>
              <w:rPr>
                <w:sz w:val="18"/>
              </w:rPr>
              <w:t>Depression, 2013-2016 (Militia-centred control)</w:t>
              <w:br/>
              <w:t>Interpretation: Renewed armed insecurity and weak state or park access made militia-linked control and coercive access constraints more important than park-centred authority in the Depression.</w:t>
              <w:br/>
              <w:t>Evidence: After Gedeon's 2011 escape, Bakata Katanga activity intensified across 2013-2016. OCHA described renewed insecurity with large-scale displacement and more than 1,000 houses burned in 70 villages between October 2013 and mid-January 2014. MONUSCO reported separation of 82 children from Mai-Mai in August 2013, Radio Okapi linked the Mbwe corridor inside Upemba to armed territorial and extractive control in April 2013, and later reporting described displacement, weak state access, elephant-poaching networks, and constrained park penetration. Katembo's appointment in 2015 strengthened leadership, but systematic Depression penetration is documented only in late 2016 and early 2017.</w:t>
              <w:br/>
              <w:t>Transition: The 2013 start follows renewed armed mobilization and 2012-2013 incidents around Mbwe. The episode ends in 2016 because late-2016 operations begin to penetrate the Depression, but the Depression transition to park-centred control is coded in 2017 because operational reach becomes clear only then.</w:t>
              <w:br/>
              <w:t>Sources: OCHA 2013; MONUSCO 2013; Radio Okapi 2013; Katanga Protection Cluster 2015; Ngoy 2015; Huisman 2017; Katembo 2016; Katembo 2017</w:t>
            </w:r>
          </w:p>
        </w:tc>
      </w:tr>
      <w:tr>
        <w:tc>
          <w:tcPr>
            <w:tcW w:type="dxa" w:w="10368"/>
            <w:vAlign w:val="top"/>
          </w:tcPr>
          <w:p>
            <w:pPr>
              <w:keepNext w:val="0"/>
              <w:spacing w:after="0" w:line="240" w:lineRule="auto"/>
              <w:jc w:val="left"/>
            </w:pPr>
            <w:r>
              <w:rPr>
                <w:sz w:val="18"/>
              </w:rPr>
            </w:r>
            <w:r>
              <w:rPr>
                <w:rFonts w:ascii="Times New Roman" w:hAnsi="Times New Roman"/>
                <w:b w:val="0"/>
                <w:sz w:val="18"/>
              </w:rPr>
              <w:t>Depression, 2017-2022 (Park-centred control)</w:t>
              <w:br/>
              <w:t>Interpretation: Expanded park operational reach, public-private management capacity, and renewed patrol penetration made park authority the central practical control actor in the Depression, though control remained incomplete and insecurity persisted.</w:t>
              <w:br/>
              <w:t>Evidence: Late-2016 and early-2017 elephant-protection operations under Rodrigue Katembo deployed ranger teams along the Bukama-Lake Kabwe-Kasale axis and toward Manono and Malemba-Nkulu, documenting renewed patrol penetration beyond the Plateau core into the Kamalondo Depression. The formal public-private partnership began in July 2017 after creation of the Upemba-Kundelungu Complex in June 2016 and appointment of Robert Muir as chief park warden. Later professionalization included ranger training in 2019-2020 and disruption of elephant-poaching networks, while the Bakata Katanga incursion and disarmament crisis in Mitwaba in early 2022 showed that control remained partial rather than exclusive.</w:t>
              <w:br/>
              <w:t>Transition: The Depression transition is one year later than the Plateau because the evidence for systematic reach into the Depression becomes clear only in late 2016 and early 2017, whereas Plateau strengthening began earlier around the operational core.</w:t>
              <w:br/>
              <w:t>Sources: Katembo 2016; Katembo 2017; Brugière 2020; d'Huart 2017; Villaespesa 2020; IUCN NL 2021; Radio Okapi 2022a; Radio Okapi 2022b</w:t>
            </w:r>
          </w:p>
        </w:tc>
      </w:tr>
      <w:tr>
        <w:tc>
          <w:tcPr>
            <w:tcW w:type="dxa" w:w="10368"/>
            <w:vAlign w:val="top"/>
          </w:tcPr>
          <w:p>
            <w:pPr>
              <w:keepNext w:val="0"/>
              <w:spacing w:after="0" w:line="240" w:lineRule="auto"/>
              <w:jc w:val="left"/>
            </w:pPr>
            <w:r>
              <w:rPr>
                <w:sz w:val="18"/>
              </w:rPr>
            </w:r>
            <w:r>
              <w:rPr>
                <w:rFonts w:ascii="Times New Roman" w:hAnsi="Times New Roman"/>
                <w:b w:val="0"/>
                <w:sz w:val="18"/>
              </w:rPr>
              <w:t>Plateau, 2001-2003 (Fragmented control)</w:t>
              <w:br/>
              <w:t>Interpretation: Weak but not absent park authority persisted around the Plateau core, supported by modest relief and negotiation, while no actor consolidated territorial control.</w:t>
              <w:br/>
              <w:t>Evidence: Armed actors were reported using Upemba as refuge from 2002. Emergency assistance and follow-up provisioning during 2000-2002 enabled only a limited resumption of patrol activity, concentrated principally around the Plateau core, while ICCN leadership continued to rely heavily on negotiation and contact with armed actors rather than consolidated coercive capacity. OKA convened a November 2003 table ronde involving customary authorities and ICCN, showing fragmented, negotiated conservation rather than dominant enforcement.</w:t>
              <w:br/>
              <w:t>Transition: The 2001 start is imposed by the remote-sensing study period. The episode ends in 2003 because the May 2004 Lusinga attack produced a dated collapse of the Plateau headquarters and shifted access conditions toward militia-centred coercion.</w:t>
              <w:br/>
              <w:t>Sources: Hasson 2003; Nouvelles Approches 2002-2004; OKA Kanyundu 2018; Van Leeuwe et al. 2009; Hasson 2015</w:t>
            </w:r>
          </w:p>
        </w:tc>
      </w:tr>
      <w:tr>
        <w:tc>
          <w:tcPr>
            <w:tcW w:type="dxa" w:w="10368"/>
            <w:vAlign w:val="top"/>
          </w:tcPr>
          <w:p>
            <w:pPr>
              <w:keepNext w:val="0"/>
              <w:spacing w:after="0" w:line="240" w:lineRule="auto"/>
              <w:jc w:val="left"/>
            </w:pPr>
            <w:r>
              <w:rPr>
                <w:sz w:val="18"/>
              </w:rPr>
            </w:r>
            <w:r>
              <w:rPr>
                <w:rFonts w:ascii="Times New Roman" w:hAnsi="Times New Roman"/>
                <w:b w:val="0"/>
                <w:sz w:val="18"/>
              </w:rPr>
              <w:t>Plateau, 2004-2006 (Militia-centred control)</w:t>
              <w:br/>
              <w:t>Interpretation: Militia attack and regional armed conflict directly undermined the Plateau headquarters and made militia-centred coercion the dominant practical condition around Lusinga and Mitwaba.</w:t>
              <w:br/>
              <w:t>Evidence: The 28 May 2004 attack on Lusinga killed staff and family members, destroyed infrastructure, looted archives, and forced staff families to flee. FARDC soldiers were deployed to Lusinga for about two years, and reports describe heavy military-linked poaching. The same period coincided with peak Mai-Mai strength in the Mitwaba zone and the wider Triangle of Death, with village burnings, displacement, and disrupted road access. Gédéon's May 2006 surrender ended the first conflict episode.</w:t>
              <w:br/>
              <w:t>Transition: The 2004 start is the dated attack on the Plateau headquarters. The 2006 end follows Gédéon's surrender and demobilization, but 2007 is fragmented rather than park-centred because residual Mai-Mai presence and weak institutional capacity persisted.</w:t>
              <w:br/>
              <w:t>Sources: Van Leeuwe et al. 2009; Hasson 2015; Nouvelles Approches 2002-2004; Hecht 2006; Human Rights Watch 2006</w:t>
            </w:r>
          </w:p>
        </w:tc>
      </w:tr>
      <w:tr>
        <w:tc>
          <w:tcPr>
            <w:tcW w:type="dxa" w:w="10368"/>
            <w:vAlign w:val="top"/>
          </w:tcPr>
          <w:p>
            <w:pPr>
              <w:keepNext w:val="0"/>
              <w:spacing w:after="0" w:line="240" w:lineRule="auto"/>
              <w:jc w:val="left"/>
            </w:pPr>
            <w:r>
              <w:rPr>
                <w:sz w:val="18"/>
              </w:rPr>
            </w:r>
            <w:r>
              <w:rPr>
                <w:rFonts w:ascii="Times New Roman" w:hAnsi="Times New Roman"/>
                <w:b w:val="0"/>
                <w:sz w:val="18"/>
              </w:rPr>
              <w:t>Plateau, 2007-2010 (Fragmented control)</w:t>
              <w:br/>
              <w:t>Interpretation: Residual militia presence, negotiated coexistence, and externally supported but still weak conservation activity produced fragmented access rather than militia-centred or park-centred dominance.</w:t>
              <w:br/>
              <w:t>Evidence: From 2007 BAK lobbied for EU support, a BAK-ICCN contract was signed in April 2008, FZS scouted in 2008, and WCS surveyed in 2008. Reports still described catastrophic governance, rent-seeking, and residual Mai-Mai in the park, with ICCN maintaining contact with a quiet Mbwe group. In 2010 Chief Kayumba recognized the 1975 boundary, indicating negotiated recognition. The Plateau episode ends in 2010 because the FZS technical-assistance phase began in 2010-2011 and materially strengthened operations around Lusinga and the Plateau core.</w:t>
              <w:br/>
              <w:t>Transition: The 2007 start follows demobilization after Gédéon's surrender. The 2010 end is justified by the transition to donor-supported technical assistance around Lusinga and the plateaus beginning in 2010-2011.</w:t>
              <w:br/>
              <w:t>Sources: Van Leeuwe et al. 2009; Hasson 2015; FZS 2009; OKA Kanyundu 2018; Chief Kayumba 2010</w:t>
            </w:r>
          </w:p>
        </w:tc>
      </w:tr>
      <w:tr>
        <w:tc>
          <w:tcPr>
            <w:tcW w:type="dxa" w:w="10368"/>
            <w:vAlign w:val="top"/>
          </w:tcPr>
          <w:p>
            <w:pPr>
              <w:keepNext w:val="0"/>
              <w:spacing w:after="0" w:line="240" w:lineRule="auto"/>
              <w:jc w:val="left"/>
            </w:pPr>
            <w:r>
              <w:rPr>
                <w:sz w:val="18"/>
              </w:rPr>
            </w:r>
            <w:r>
              <w:rPr>
                <w:rFonts w:ascii="Times New Roman" w:hAnsi="Times New Roman"/>
                <w:b w:val="0"/>
                <w:sz w:val="18"/>
              </w:rPr>
              <w:t>Plateau, 2011-2012 (Park-centred control)</w:t>
              <w:br/>
              <w:t>Interpretation: Relative park-centred configuration around Lusinga and the accessible Plateau core, with strengthened management and operational presence but not uniform or uncontested control across the wider park.</w:t>
              <w:br/>
              <w:t>Evidence: The EU-supported FZS technical-assistance phase began across 2010-2011 and strengthened infrastructure, management capacity, and operational presence around Lusinga and the accessible Plateau core. Hance reported renewed activity and raids around Lusinga in 2012, and Radio Okapi reported the killing of the park manager on 18 December 2012, indicating that park-centred control remained relative rather than uniform or uncontested.</w:t>
              <w:br/>
              <w:t>Transition: The frozen 2011 start reflects the beginning of the EU-supported technical-assistance phase across 2010-2011 and a relative strengthening around the Plateau core. The episode ends in 2012 because renewed attacks and abandonment of positions in 2013 mark a return to militia-centred coercive conditions on the Plateau.</w:t>
              <w:br/>
              <w:t>Sources: Hasson 2015; Aerden 2012; Hance 2012a; Hance 2012b; Radio Okapi 2012b</w:t>
            </w:r>
          </w:p>
        </w:tc>
      </w:tr>
      <w:tr>
        <w:tc>
          <w:tcPr>
            <w:tcW w:type="dxa" w:w="10368"/>
            <w:vAlign w:val="top"/>
          </w:tcPr>
          <w:p>
            <w:pPr>
              <w:keepNext w:val="0"/>
              <w:spacing w:after="0" w:line="240" w:lineRule="auto"/>
              <w:jc w:val="left"/>
            </w:pPr>
            <w:r>
              <w:rPr>
                <w:sz w:val="18"/>
              </w:rPr>
              <w:t>Plateau, 2013-2015 (Militia-centred control)</w:t>
              <w:br/>
              <w:t>Interpretation: Renewed Bakata Katanga and related armed activity contracted park reach around Plateau positions and made militia-centred coercive control the dominant practical condition.</w:t>
              <w:br/>
              <w:t>Evidence: After Gédéon's 2011 escape, Bakata Katanga activity increased and Mbwe was repeatedly linked to armed actors. In 2014 Radio Okapi reported attacks around park positions, ambushes, hostage-taking, theft of firearms, burning or destruction of guard posts, abandonment of posts, and retreat of guards and families to Lusinga. FARDC deployed in response, and reporting described hunting in zones escaping managerial control. Interview-based chronology indicates declining militia activity from 2015.</w:t>
              <w:br/>
              <w:t>Transition: The 2013 start follows renewed attacks and reported armed control around Mbwe and Mitwaba after 2012. The 2015 end reflects declining militia activity and precedes Gédéon's October 2016 surrender and renewed systematic park operations on the Plateau.</w:t>
              <w:br/>
              <w:t>Sources: OCHA 2013; Katanga Protection Cluster 2015; MONUSCO 2013; Radio Okapi 2013; Radio Okapi 2014a; Radio Okapi 2014b; Radio Okapi 2014c; Radio Okapi 2014d; Huisman 2017</w:t>
            </w:r>
          </w:p>
        </w:tc>
      </w:tr>
      <w:tr>
        <w:tc>
          <w:tcPr>
            <w:tcW w:type="dxa" w:w="10368"/>
            <w:vAlign w:val="top"/>
          </w:tcPr>
          <w:p>
            <w:pPr>
              <w:keepNext w:val="0"/>
              <w:spacing w:after="0" w:line="240" w:lineRule="auto"/>
              <w:jc w:val="left"/>
            </w:pPr>
            <w:r>
              <w:rPr>
                <w:sz w:val="18"/>
              </w:rPr>
            </w:r>
            <w:r>
              <w:rPr>
                <w:rFonts w:ascii="Times New Roman" w:hAnsi="Times New Roman"/>
                <w:b w:val="0"/>
                <w:sz w:val="18"/>
              </w:rPr>
              <w:t>Plateau, 2016-2022 (Park-centred control)</w:t>
              <w:br/>
              <w:t>Interpretation: Operational strengthening, renewed systematic patrols, and public-private management made park authority the central practical control actor around the Plateau core, while insecurity persisted.</w:t>
              <w:br/>
              <w:t>Evidence: Rodrigue Katembo's 2015 appointment and field leadership coincided with declining Mai-Mai activity and Gédéon's surrender in October 2016. A late-2016 elephant-protection operation reportedly deployed 60 rangers, with follow-up operations in early 2017. ICCN created the Upemba-Kundelungu Complex in June 2016 and appointed Robert Muir as chief park warden; a formal public-private management arrangement followed in July 2017. Ranger training and professionalization occurred in 2019-2020, while attacks in 2021 and 2022 show partial rather than exclusive control.</w:t>
              <w:br/>
              <w:t>Transition: The Plateau transition is coded in 2016 rather than 2017 because operational strengthening, Gédéon's surrender, and complex-level management preceded the formal PPP contract. The episode continues through 2022 because no later evidence supports a different frozen profile before the study endpoint.</w:t>
              <w:br/>
              <w:t>Sources: Katembo 2016; Katembo 2017; Huisman 2017; d'Huart 2017; Brugière 2020; Villaespesa 2020; IUCN NL 2021; Radio Okapi 2022a; Radio Okapi 2022b</w:t>
            </w:r>
          </w:p>
        </w:tc>
      </w:tr>
    </w:tbl>
    <w:p>
      <w:pPr>
        <w:widowControl/>
      </w:pPr>
    </w:p>
    <w:p>
      <w:pPr>
        <w:pStyle w:val="Caption"/>
        <w:widowControl/>
      </w:pPr>
      <w:r>
        <w:rPr>
          <w:b/>
        </w:rPr>
        <w:t xml:space="preserve">Table S7. </w:t>
      </w:r>
      <w:r>
        <w:t>Profile and episode support.</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728"/>
        <w:gridCol w:w="1728"/>
        <w:gridCol w:w="1728"/>
        <w:gridCol w:w="1728"/>
        <w:gridCol w:w="1728"/>
        <w:gridCol w:w="1728"/>
      </w:tblGrid>
      <w:tr>
        <w:trPr>
          <w:tblHeader w:val="true"/>
          <w:tblHeader/>
        </w:trPr>
        <w:tc>
          <w:tcPr>
            <w:tcW w:type="dxa" w:w="2160"/>
            <w:vAlign w:val="top"/>
          </w:tcPr>
          <w:p>
            <w:pPr>
              <w:keepNext w:val="0"/>
              <w:spacing w:after="0" w:line="240" w:lineRule="auto"/>
              <w:jc w:val="left"/>
            </w:pPr>
            <w:r>
              <w:rPr>
                <w:sz w:val="18"/>
              </w:rPr>
            </w:r>
            <w:r>
              <w:rPr>
                <w:rFonts w:ascii="Times New Roman" w:hAnsi="Times New Roman"/>
                <w:b/>
                <w:sz w:val="18"/>
              </w:rPr>
              <w:t>Profile</w:t>
            </w:r>
          </w:p>
        </w:tc>
        <w:tc>
          <w:tcPr>
            <w:tcW w:type="dxa" w:w="1872"/>
            <w:vAlign w:val="top"/>
          </w:tcPr>
          <w:p>
            <w:pPr>
              <w:keepNext w:val="0"/>
              <w:spacing w:after="0" w:line="240" w:lineRule="auto"/>
              <w:jc w:val="left"/>
            </w:pPr>
            <w:r>
              <w:rPr>
                <w:sz w:val="18"/>
              </w:rPr>
            </w:r>
            <w:r>
              <w:rPr>
                <w:rFonts w:ascii="Times New Roman" w:hAnsi="Times New Roman"/>
                <w:b/>
                <w:sz w:val="18"/>
              </w:rPr>
              <w:t>Landscape-group years</w:t>
            </w:r>
          </w:p>
        </w:tc>
        <w:tc>
          <w:tcPr>
            <w:tcW w:type="dxa" w:w="1440"/>
            <w:vAlign w:val="top"/>
          </w:tcPr>
          <w:p>
            <w:pPr>
              <w:keepNext w:val="0"/>
              <w:spacing w:after="0" w:line="240" w:lineRule="auto"/>
              <w:jc w:val="left"/>
            </w:pPr>
            <w:r>
              <w:rPr>
                <w:sz w:val="18"/>
              </w:rPr>
            </w:r>
            <w:r>
              <w:rPr>
                <w:rFonts w:ascii="Times New Roman" w:hAnsi="Times New Roman"/>
                <w:b/>
                <w:sz w:val="18"/>
              </w:rPr>
              <w:t>Calendar years</w:t>
            </w:r>
          </w:p>
        </w:tc>
        <w:tc>
          <w:tcPr>
            <w:tcW w:type="dxa" w:w="1152"/>
            <w:vAlign w:val="top"/>
          </w:tcPr>
          <w:p>
            <w:pPr>
              <w:keepNext w:val="0"/>
              <w:spacing w:after="0" w:line="240" w:lineRule="auto"/>
              <w:jc w:val="left"/>
            </w:pPr>
            <w:r>
              <w:rPr>
                <w:sz w:val="18"/>
              </w:rPr>
            </w:r>
            <w:r>
              <w:rPr>
                <w:rFonts w:ascii="Times New Roman" w:hAnsi="Times New Roman"/>
                <w:b/>
                <w:sz w:val="18"/>
              </w:rPr>
              <w:t>Episodes</w:t>
            </w:r>
          </w:p>
        </w:tc>
        <w:tc>
          <w:tcPr>
            <w:tcW w:type="dxa" w:w="1584"/>
            <w:vAlign w:val="top"/>
          </w:tcPr>
          <w:p>
            <w:pPr>
              <w:keepNext w:val="0"/>
              <w:spacing w:after="0" w:line="240" w:lineRule="auto"/>
              <w:jc w:val="left"/>
            </w:pPr>
            <w:r>
              <w:rPr>
                <w:sz w:val="18"/>
              </w:rPr>
            </w:r>
            <w:r>
              <w:rPr>
                <w:rFonts w:ascii="Times New Roman" w:hAnsi="Times New Roman"/>
                <w:b/>
                <w:sz w:val="18"/>
              </w:rPr>
              <w:t>Depression years</w:t>
            </w:r>
          </w:p>
        </w:tc>
        <w:tc>
          <w:tcPr>
            <w:tcW w:type="dxa" w:w="1440"/>
            <w:vAlign w:val="top"/>
          </w:tcPr>
          <w:p>
            <w:pPr>
              <w:keepNext w:val="0"/>
              <w:spacing w:after="0" w:line="240" w:lineRule="auto"/>
              <w:jc w:val="left"/>
            </w:pPr>
            <w:r>
              <w:rPr>
                <w:sz w:val="18"/>
              </w:rPr>
            </w:r>
            <w:r>
              <w:rPr>
                <w:rFonts w:ascii="Times New Roman" w:hAnsi="Times New Roman"/>
                <w:b/>
                <w:sz w:val="18"/>
              </w:rPr>
              <w:t>Plateau years</w:t>
            </w:r>
          </w:p>
        </w:tc>
      </w:tr>
      <w:tr>
        <w:tc>
          <w:tcPr>
            <w:tcW w:type="dxa" w:w="2160"/>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872"/>
            <w:vAlign w:val="top"/>
          </w:tcPr>
          <w:p>
            <w:pPr>
              <w:keepNext w:val="0"/>
              <w:spacing w:after="0" w:line="240" w:lineRule="auto"/>
              <w:jc w:val="left"/>
            </w:pPr>
            <w:r>
              <w:rPr>
                <w:sz w:val="18"/>
              </w:rPr>
            </w:r>
            <w:r>
              <w:rPr>
                <w:rFonts w:ascii="Times New Roman" w:hAnsi="Times New Roman"/>
                <w:b w:val="0"/>
                <w:sz w:val="18"/>
              </w:rPr>
              <w:t>13</w:t>
            </w:r>
          </w:p>
        </w:tc>
        <w:tc>
          <w:tcPr>
            <w:tcW w:type="dxa" w:w="1440"/>
            <w:vAlign w:val="top"/>
          </w:tcPr>
          <w:p>
            <w:pPr>
              <w:keepNext w:val="0"/>
              <w:spacing w:after="0" w:line="240" w:lineRule="auto"/>
              <w:jc w:val="left"/>
            </w:pPr>
            <w:r>
              <w:rPr>
                <w:sz w:val="18"/>
              </w:rPr>
            </w:r>
            <w:r>
              <w:rPr>
                <w:rFonts w:ascii="Times New Roman" w:hAnsi="Times New Roman"/>
                <w:b w:val="0"/>
                <w:sz w:val="18"/>
              </w:rPr>
              <w:t>7</w:t>
            </w:r>
          </w:p>
        </w:tc>
        <w:tc>
          <w:tcPr>
            <w:tcW w:type="dxa" w:w="1152"/>
            <w:vAlign w:val="top"/>
          </w:tcPr>
          <w:p>
            <w:pPr>
              <w:keepNext w:val="0"/>
              <w:spacing w:after="0" w:line="240" w:lineRule="auto"/>
              <w:jc w:val="left"/>
            </w:pPr>
            <w:r>
              <w:rPr>
                <w:sz w:val="18"/>
              </w:rPr>
            </w:r>
            <w:r>
              <w:rPr>
                <w:rFonts w:ascii="Times New Roman" w:hAnsi="Times New Roman"/>
                <w:b w:val="0"/>
                <w:sz w:val="18"/>
              </w:rPr>
              <w:t>4</w:t>
            </w:r>
          </w:p>
        </w:tc>
        <w:tc>
          <w:tcPr>
            <w:tcW w:type="dxa" w:w="1584"/>
            <w:vAlign w:val="top"/>
          </w:tcPr>
          <w:p>
            <w:pPr>
              <w:keepNext w:val="0"/>
              <w:spacing w:after="0" w:line="240" w:lineRule="auto"/>
              <w:jc w:val="left"/>
            </w:pPr>
            <w:r>
              <w:rPr>
                <w:sz w:val="18"/>
              </w:rPr>
            </w:r>
            <w:r>
              <w:rPr>
                <w:rFonts w:ascii="Times New Roman" w:hAnsi="Times New Roman"/>
                <w:b w:val="0"/>
                <w:sz w:val="18"/>
              </w:rPr>
              <w:t>7</w:t>
            </w:r>
          </w:p>
        </w:tc>
        <w:tc>
          <w:tcPr>
            <w:tcW w:type="dxa" w:w="1440"/>
            <w:vAlign w:val="top"/>
          </w:tcPr>
          <w:p>
            <w:pPr>
              <w:keepNext w:val="0"/>
              <w:spacing w:after="0" w:line="240" w:lineRule="auto"/>
              <w:jc w:val="left"/>
            </w:pPr>
            <w:r>
              <w:rPr>
                <w:sz w:val="18"/>
              </w:rPr>
            </w:r>
            <w:r>
              <w:rPr>
                <w:rFonts w:ascii="Times New Roman" w:hAnsi="Times New Roman"/>
                <w:b w:val="0"/>
                <w:sz w:val="18"/>
              </w:rPr>
              <w:t>6</w:t>
            </w:r>
          </w:p>
        </w:tc>
      </w:tr>
      <w:tr>
        <w:tc>
          <w:tcPr>
            <w:tcW w:type="dxa" w:w="2160"/>
            <w:vAlign w:val="top"/>
          </w:tcPr>
          <w:p>
            <w:pPr>
              <w:keepNext w:val="0"/>
              <w:spacing w:after="0" w:line="240" w:lineRule="auto"/>
              <w:jc w:val="left"/>
            </w:pPr>
            <w:r>
              <w:rPr>
                <w:sz w:val="18"/>
              </w:rPr>
            </w:r>
            <w:r>
              <w:rPr>
                <w:rFonts w:ascii="Times New Roman" w:hAnsi="Times New Roman"/>
                <w:b w:val="0"/>
                <w:sz w:val="18"/>
              </w:rPr>
              <w:t>Fragmented control</w:t>
            </w:r>
          </w:p>
        </w:tc>
        <w:tc>
          <w:tcPr>
            <w:tcW w:type="dxa" w:w="1872"/>
            <w:vAlign w:val="top"/>
          </w:tcPr>
          <w:p>
            <w:pPr>
              <w:keepNext w:val="0"/>
              <w:spacing w:after="0" w:line="240" w:lineRule="auto"/>
              <w:jc w:val="left"/>
            </w:pPr>
            <w:r>
              <w:rPr>
                <w:sz w:val="18"/>
              </w:rPr>
            </w:r>
            <w:r>
              <w:rPr>
                <w:rFonts w:ascii="Times New Roman" w:hAnsi="Times New Roman"/>
                <w:b w:val="0"/>
                <w:sz w:val="18"/>
              </w:rPr>
              <w:t>16</w:t>
            </w:r>
          </w:p>
        </w:tc>
        <w:tc>
          <w:tcPr>
            <w:tcW w:type="dxa" w:w="1440"/>
            <w:vAlign w:val="top"/>
          </w:tcPr>
          <w:p>
            <w:pPr>
              <w:keepNext w:val="0"/>
              <w:spacing w:after="0" w:line="240" w:lineRule="auto"/>
              <w:jc w:val="left"/>
            </w:pPr>
            <w:r>
              <w:rPr>
                <w:sz w:val="18"/>
              </w:rPr>
            </w:r>
            <w:r>
              <w:rPr>
                <w:rFonts w:ascii="Times New Roman" w:hAnsi="Times New Roman"/>
                <w:b w:val="0"/>
                <w:sz w:val="18"/>
              </w:rPr>
              <w:t>9</w:t>
            </w:r>
          </w:p>
        </w:tc>
        <w:tc>
          <w:tcPr>
            <w:tcW w:type="dxa" w:w="1152"/>
            <w:vAlign w:val="top"/>
          </w:tcPr>
          <w:p>
            <w:pPr>
              <w:keepNext w:val="0"/>
              <w:spacing w:after="0" w:line="240" w:lineRule="auto"/>
              <w:jc w:val="left"/>
            </w:pPr>
            <w:r>
              <w:rPr>
                <w:sz w:val="18"/>
              </w:rPr>
            </w:r>
            <w:r>
              <w:rPr>
                <w:rFonts w:ascii="Times New Roman" w:hAnsi="Times New Roman"/>
                <w:b w:val="0"/>
                <w:sz w:val="18"/>
              </w:rPr>
              <w:t>4</w:t>
            </w:r>
          </w:p>
        </w:tc>
        <w:tc>
          <w:tcPr>
            <w:tcW w:type="dxa" w:w="1584"/>
            <w:vAlign w:val="top"/>
          </w:tcPr>
          <w:p>
            <w:pPr>
              <w:keepNext w:val="0"/>
              <w:spacing w:after="0" w:line="240" w:lineRule="auto"/>
              <w:jc w:val="left"/>
            </w:pPr>
            <w:r>
              <w:rPr>
                <w:sz w:val="18"/>
              </w:rPr>
            </w:r>
            <w:r>
              <w:rPr>
                <w:rFonts w:ascii="Times New Roman" w:hAnsi="Times New Roman"/>
                <w:b w:val="0"/>
                <w:sz w:val="18"/>
              </w:rPr>
              <w:t>9</w:t>
            </w:r>
          </w:p>
        </w:tc>
        <w:tc>
          <w:tcPr>
            <w:tcW w:type="dxa" w:w="1440"/>
            <w:vAlign w:val="top"/>
          </w:tcPr>
          <w:p>
            <w:pPr>
              <w:keepNext w:val="0"/>
              <w:spacing w:after="0" w:line="240" w:lineRule="auto"/>
              <w:jc w:val="left"/>
            </w:pPr>
            <w:r>
              <w:rPr>
                <w:sz w:val="18"/>
              </w:rPr>
            </w:r>
            <w:r>
              <w:rPr>
                <w:rFonts w:ascii="Times New Roman" w:hAnsi="Times New Roman"/>
                <w:b w:val="0"/>
                <w:sz w:val="18"/>
              </w:rPr>
              <w:t>7</w:t>
            </w:r>
          </w:p>
        </w:tc>
      </w:tr>
      <w:tr>
        <w:tc>
          <w:tcPr>
            <w:tcW w:type="dxa" w:w="2160"/>
            <w:vAlign w:val="top"/>
          </w:tcPr>
          <w:p>
            <w:pPr>
              <w:keepNext w:val="0"/>
              <w:spacing w:after="0" w:line="240" w:lineRule="auto"/>
              <w:jc w:val="left"/>
            </w:pPr>
            <w:r>
              <w:rPr>
                <w:sz w:val="18"/>
              </w:rPr>
            </w:r>
            <w:r>
              <w:rPr>
                <w:rFonts w:ascii="Times New Roman" w:hAnsi="Times New Roman"/>
                <w:b w:val="0"/>
                <w:sz w:val="18"/>
              </w:rPr>
              <w:t>Park-centred control</w:t>
            </w:r>
          </w:p>
        </w:tc>
        <w:tc>
          <w:tcPr>
            <w:tcW w:type="dxa" w:w="1872"/>
            <w:vAlign w:val="top"/>
          </w:tcPr>
          <w:p>
            <w:pPr>
              <w:keepNext w:val="0"/>
              <w:spacing w:after="0" w:line="240" w:lineRule="auto"/>
              <w:jc w:val="left"/>
            </w:pPr>
            <w:r>
              <w:rPr>
                <w:sz w:val="18"/>
              </w:rPr>
            </w:r>
            <w:r>
              <w:rPr>
                <w:rFonts w:ascii="Times New Roman" w:hAnsi="Times New Roman"/>
                <w:b w:val="0"/>
                <w:sz w:val="18"/>
              </w:rPr>
              <w:t>15</w:t>
            </w:r>
          </w:p>
        </w:tc>
        <w:tc>
          <w:tcPr>
            <w:tcW w:type="dxa" w:w="1440"/>
            <w:vAlign w:val="top"/>
          </w:tcPr>
          <w:p>
            <w:pPr>
              <w:keepNext w:val="0"/>
              <w:spacing w:after="0" w:line="240" w:lineRule="auto"/>
              <w:jc w:val="left"/>
            </w:pPr>
            <w:r>
              <w:rPr>
                <w:sz w:val="18"/>
              </w:rPr>
            </w:r>
            <w:r>
              <w:rPr>
                <w:rFonts w:ascii="Times New Roman" w:hAnsi="Times New Roman"/>
                <w:b w:val="0"/>
                <w:sz w:val="18"/>
              </w:rPr>
              <w:t>9</w:t>
            </w:r>
          </w:p>
        </w:tc>
        <w:tc>
          <w:tcPr>
            <w:tcW w:type="dxa" w:w="1152"/>
            <w:vAlign w:val="top"/>
          </w:tcPr>
          <w:p>
            <w:pPr>
              <w:keepNext w:val="0"/>
              <w:spacing w:after="0" w:line="240" w:lineRule="auto"/>
              <w:jc w:val="left"/>
            </w:pPr>
            <w:r>
              <w:rPr>
                <w:sz w:val="18"/>
              </w:rPr>
            </w:r>
            <w:r>
              <w:rPr>
                <w:rFonts w:ascii="Times New Roman" w:hAnsi="Times New Roman"/>
                <w:b w:val="0"/>
                <w:sz w:val="18"/>
              </w:rPr>
              <w:t>3</w:t>
            </w:r>
          </w:p>
        </w:tc>
        <w:tc>
          <w:tcPr>
            <w:tcW w:type="dxa" w:w="1584"/>
            <w:vAlign w:val="top"/>
          </w:tcPr>
          <w:p>
            <w:pPr>
              <w:keepNext w:val="0"/>
              <w:spacing w:after="0" w:line="240" w:lineRule="auto"/>
              <w:jc w:val="left"/>
            </w:pPr>
            <w:r>
              <w:rPr>
                <w:sz w:val="18"/>
              </w:rPr>
            </w:r>
            <w:r>
              <w:rPr>
                <w:rFonts w:ascii="Times New Roman" w:hAnsi="Times New Roman"/>
                <w:b w:val="0"/>
                <w:sz w:val="18"/>
              </w:rPr>
              <w:t>6</w:t>
            </w:r>
          </w:p>
        </w:tc>
        <w:tc>
          <w:tcPr>
            <w:tcW w:type="dxa" w:w="1440"/>
            <w:vAlign w:val="top"/>
          </w:tcPr>
          <w:p>
            <w:pPr>
              <w:keepNext w:val="0"/>
              <w:spacing w:after="0" w:line="240" w:lineRule="auto"/>
              <w:jc w:val="left"/>
            </w:pPr>
            <w:r>
              <w:rPr>
                <w:sz w:val="18"/>
              </w:rPr>
            </w:r>
            <w:r>
              <w:rPr>
                <w:rFonts w:ascii="Times New Roman" w:hAnsi="Times New Roman"/>
                <w:b w:val="0"/>
                <w:sz w:val="18"/>
              </w:rPr>
              <w:t>9</w:t>
            </w:r>
          </w:p>
        </w:tc>
      </w:tr>
    </w:tbl>
    <w:p>
      <w:pPr>
        <w:widowControl/>
      </w:pPr>
    </w:p>
    <w:p>
      <w:pPr>
        <w:pStyle w:val="Caption"/>
        <w:widowControl/>
      </w:pPr>
      <w:r>
        <w:t>Table S8. Primary pooled profile-specific inside–outside log-odds contrasts. All estimates use the 25% event definition within the symmetric 10 km corridor and summarise landscape-group years assigned to each broad profile.</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481"/>
        <w:gridCol w:w="1481"/>
        <w:gridCol w:w="1481"/>
        <w:gridCol w:w="1481"/>
        <w:gridCol w:w="1481"/>
        <w:gridCol w:w="1481"/>
        <w:gridCol w:w="1481"/>
      </w:tblGrid>
      <w:tr>
        <w:trPr>
          <w:tblHeader w:val="true"/>
          <w:tblHeader/>
        </w:trPr>
        <w:tc>
          <w:tcPr>
            <w:tcW w:type="dxa" w:w="1512"/>
            <w:vAlign w:val="top"/>
          </w:tcPr>
          <w:p>
            <w:pPr>
              <w:keepNext w:val="0"/>
              <w:spacing w:after="0" w:line="240" w:lineRule="auto"/>
              <w:jc w:val="left"/>
            </w:pPr>
            <w:r>
              <w:rPr>
                <w:sz w:val="18"/>
              </w:rPr>
            </w:r>
            <w:r>
              <w:rPr>
                <w:rFonts w:ascii="Times New Roman" w:hAnsi="Times New Roman"/>
                <w:b/>
                <w:sz w:val="18"/>
              </w:rPr>
              <w:t>Outcome</w:t>
            </w:r>
          </w:p>
        </w:tc>
        <w:tc>
          <w:tcPr>
            <w:tcW w:type="dxa" w:w="2088"/>
            <w:vAlign w:val="top"/>
          </w:tcPr>
          <w:p>
            <w:pPr>
              <w:keepNext w:val="0"/>
              <w:spacing w:after="0" w:line="240" w:lineRule="auto"/>
              <w:jc w:val="left"/>
            </w:pPr>
            <w:r>
              <w:rPr>
                <w:sz w:val="18"/>
              </w:rPr>
            </w:r>
            <w:r>
              <w:rPr>
                <w:rFonts w:ascii="Times New Roman" w:hAnsi="Times New Roman"/>
                <w:b/>
                <w:sz w:val="18"/>
              </w:rPr>
              <w:t>Profile</w:t>
            </w:r>
          </w:p>
        </w:tc>
        <w:tc>
          <w:tcPr>
            <w:tcW w:type="dxa" w:w="936"/>
            <w:vAlign w:val="top"/>
          </w:tcPr>
          <w:p>
            <w:pPr>
              <w:keepNext w:val="0"/>
              <w:spacing w:after="0" w:line="240" w:lineRule="auto"/>
              <w:jc w:val="left"/>
            </w:pPr>
            <w:r>
              <w:rPr>
                <w:sz w:val="18"/>
              </w:rPr>
            </w:r>
            <w:r>
              <w:rPr>
                <w:rFonts w:ascii="Times New Roman" w:hAnsi="Times New Roman"/>
                <w:b/>
                <w:sz w:val="18"/>
              </w:rPr>
              <w:t>Estimate</w:t>
            </w:r>
          </w:p>
        </w:tc>
        <w:tc>
          <w:tcPr>
            <w:tcW w:type="dxa" w:w="792"/>
            <w:vAlign w:val="top"/>
          </w:tcPr>
          <w:p>
            <w:pPr>
              <w:keepNext w:val="0"/>
              <w:spacing w:after="0" w:line="240" w:lineRule="auto"/>
              <w:jc w:val="left"/>
            </w:pPr>
            <w:r>
              <w:rPr>
                <w:sz w:val="18"/>
              </w:rPr>
            </w:r>
            <w:r>
              <w:rPr>
                <w:rFonts w:ascii="Times New Roman" w:hAnsi="Times New Roman"/>
                <w:b/>
                <w:sz w:val="18"/>
              </w:rPr>
              <w:t>SE</w:t>
            </w:r>
          </w:p>
        </w:tc>
        <w:tc>
          <w:tcPr>
            <w:tcW w:type="dxa" w:w="1512"/>
            <w:vAlign w:val="top"/>
          </w:tcPr>
          <w:p>
            <w:pPr>
              <w:keepNext w:val="0"/>
              <w:spacing w:after="0" w:line="240" w:lineRule="auto"/>
              <w:jc w:val="left"/>
            </w:pPr>
            <w:r>
              <w:rPr>
                <w:sz w:val="18"/>
              </w:rPr>
            </w:r>
            <w:r>
              <w:rPr>
                <w:rFonts w:ascii="Times New Roman" w:hAnsi="Times New Roman"/>
                <w:b/>
                <w:sz w:val="18"/>
              </w:rPr>
              <w:t>95% CI</w:t>
            </w:r>
          </w:p>
        </w:tc>
        <w:tc>
          <w:tcPr>
            <w:tcW w:type="dxa" w:w="1584"/>
            <w:vAlign w:val="top"/>
          </w:tcPr>
          <w:p>
            <w:pPr>
              <w:keepNext w:val="0"/>
              <w:spacing w:after="0" w:line="240" w:lineRule="auto"/>
              <w:jc w:val="left"/>
            </w:pPr>
            <w:r>
              <w:rPr>
                <w:sz w:val="18"/>
              </w:rPr>
            </w:r>
            <w:r>
              <w:rPr>
                <w:rFonts w:ascii="Times New Roman" w:hAnsi="Times New Roman"/>
                <w:b/>
                <w:sz w:val="18"/>
              </w:rPr>
              <w:t>Model</w:t>
            </w:r>
          </w:p>
        </w:tc>
        <w:tc>
          <w:tcPr>
            <w:tcW w:type="dxa" w:w="1872"/>
            <w:vAlign w:val="top"/>
          </w:tcPr>
          <w:p>
            <w:pPr>
              <w:keepNext w:val="0"/>
              <w:spacing w:after="0" w:line="240" w:lineRule="auto"/>
              <w:jc w:val="left"/>
            </w:pPr>
            <w:r>
              <w:rPr>
                <w:sz w:val="18"/>
              </w:rPr>
            </w:r>
            <w:r>
              <w:rPr>
                <w:rFonts w:ascii="Times New Roman" w:hAnsi="Times New Roman"/>
                <w:b/>
                <w:sz w:val="18"/>
              </w:rPr>
              <w:t>Support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2088"/>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936"/>
            <w:vAlign w:val="top"/>
          </w:tcPr>
          <w:p>
            <w:pPr>
              <w:keepNext w:val="0"/>
              <w:spacing w:after="0" w:line="240" w:lineRule="auto"/>
              <w:jc w:val="left"/>
            </w:pPr>
            <w:r>
              <w:rPr>
                <w:sz w:val="18"/>
              </w:rPr>
            </w:r>
            <w:r>
              <w:rPr>
                <w:rFonts w:ascii="Times New Roman" w:hAnsi="Times New Roman"/>
                <w:b w:val="0"/>
                <w:sz w:val="18"/>
              </w:rPr>
              <w:t>0.011</w:t>
            </w:r>
          </w:p>
        </w:tc>
        <w:tc>
          <w:tcPr>
            <w:tcW w:type="dxa" w:w="792"/>
            <w:vAlign w:val="top"/>
          </w:tcPr>
          <w:p>
            <w:pPr>
              <w:keepNext w:val="0"/>
              <w:spacing w:after="0" w:line="240" w:lineRule="auto"/>
              <w:jc w:val="left"/>
            </w:pPr>
            <w:r>
              <w:rPr>
                <w:sz w:val="18"/>
              </w:rPr>
            </w:r>
            <w:r>
              <w:rPr>
                <w:rFonts w:ascii="Times New Roman" w:hAnsi="Times New Roman"/>
                <w:b w:val="0"/>
                <w:sz w:val="18"/>
              </w:rPr>
              <w:t>0.033</w:t>
            </w:r>
          </w:p>
        </w:tc>
        <w:tc>
          <w:tcPr>
            <w:tcW w:type="dxa" w:w="1512"/>
            <w:vAlign w:val="top"/>
          </w:tcPr>
          <w:p>
            <w:pPr>
              <w:keepNext w:val="0"/>
              <w:spacing w:after="0" w:line="240" w:lineRule="auto"/>
              <w:jc w:val="left"/>
            </w:pPr>
            <w:r>
              <w:rPr>
                <w:sz w:val="18"/>
              </w:rPr>
            </w:r>
            <w:r>
              <w:rPr>
                <w:rFonts w:ascii="Times New Roman" w:hAnsi="Times New Roman"/>
                <w:b w:val="0"/>
                <w:sz w:val="18"/>
              </w:rPr>
              <w:t>−0.054, 0.075</w:t>
            </w:r>
          </w:p>
        </w:tc>
        <w:tc>
          <w:tcPr>
            <w:tcW w:type="dxa" w:w="1584"/>
            <w:vAlign w:val="top"/>
          </w:tcPr>
          <w:p>
            <w:pPr>
              <w:keepNext w:val="0"/>
              <w:spacing w:after="0" w:line="240" w:lineRule="auto"/>
              <w:jc w:val="left"/>
            </w:pPr>
            <w:r>
              <w:rPr>
                <w:sz w:val="18"/>
              </w:rPr>
            </w:r>
            <w:r>
              <w:rPr>
                <w:rFonts w:ascii="Times New Roman" w:hAnsi="Times New Roman"/>
                <w:b w:val="0"/>
                <w:sz w:val="18"/>
              </w:rPr>
              <w:t>Beta-binomial</w:t>
            </w:r>
          </w:p>
        </w:tc>
        <w:tc>
          <w:tcPr>
            <w:tcW w:type="dxa" w:w="1872"/>
            <w:vAlign w:val="top"/>
          </w:tcPr>
          <w:p>
            <w:pPr>
              <w:keepNext w:val="0"/>
              <w:spacing w:after="0" w:line="240" w:lineRule="auto"/>
              <w:jc w:val="left"/>
            </w:pPr>
            <w:r>
              <w:rPr>
                <w:sz w:val="18"/>
              </w:rPr>
            </w:r>
            <w:r>
              <w:rPr>
                <w:rFonts w:ascii="Times New Roman" w:hAnsi="Times New Roman"/>
                <w:b w:val="0"/>
                <w:sz w:val="18"/>
              </w:rPr>
              <w:t>508,320 burned cell-years</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2088"/>
            <w:vAlign w:val="top"/>
          </w:tcPr>
          <w:p>
            <w:pPr>
              <w:keepNext w:val="0"/>
              <w:spacing w:after="0" w:line="240" w:lineRule="auto"/>
              <w:jc w:val="left"/>
            </w:pPr>
            <w:r>
              <w:rPr>
                <w:sz w:val="18"/>
              </w:rPr>
            </w:r>
            <w:r>
              <w:rPr>
                <w:rFonts w:ascii="Times New Roman" w:hAnsi="Times New Roman"/>
                <w:b w:val="0"/>
                <w:sz w:val="18"/>
              </w:rPr>
              <w:t>Fragmented control</w:t>
            </w:r>
          </w:p>
        </w:tc>
        <w:tc>
          <w:tcPr>
            <w:tcW w:type="dxa" w:w="936"/>
            <w:vAlign w:val="top"/>
          </w:tcPr>
          <w:p>
            <w:pPr>
              <w:keepNext w:val="0"/>
              <w:spacing w:after="0" w:line="240" w:lineRule="auto"/>
              <w:jc w:val="left"/>
            </w:pPr>
            <w:r>
              <w:rPr>
                <w:sz w:val="18"/>
              </w:rPr>
            </w:r>
            <w:r>
              <w:rPr>
                <w:rFonts w:ascii="Times New Roman" w:hAnsi="Times New Roman"/>
                <w:b w:val="0"/>
                <w:sz w:val="18"/>
              </w:rPr>
              <w:t>0.170</w:t>
            </w:r>
          </w:p>
        </w:tc>
        <w:tc>
          <w:tcPr>
            <w:tcW w:type="dxa" w:w="792"/>
            <w:vAlign w:val="top"/>
          </w:tcPr>
          <w:p>
            <w:pPr>
              <w:keepNext w:val="0"/>
              <w:spacing w:after="0" w:line="240" w:lineRule="auto"/>
              <w:jc w:val="left"/>
            </w:pPr>
            <w:r>
              <w:rPr>
                <w:sz w:val="18"/>
              </w:rPr>
            </w:r>
            <w:r>
              <w:rPr>
                <w:rFonts w:ascii="Times New Roman" w:hAnsi="Times New Roman"/>
                <w:b w:val="0"/>
                <w:sz w:val="18"/>
              </w:rPr>
              <w:t>0.030</w:t>
            </w:r>
          </w:p>
        </w:tc>
        <w:tc>
          <w:tcPr>
            <w:tcW w:type="dxa" w:w="1512"/>
            <w:vAlign w:val="top"/>
          </w:tcPr>
          <w:p>
            <w:pPr>
              <w:keepNext w:val="0"/>
              <w:spacing w:after="0" w:line="240" w:lineRule="auto"/>
              <w:jc w:val="left"/>
            </w:pPr>
            <w:r>
              <w:rPr>
                <w:sz w:val="18"/>
              </w:rPr>
            </w:r>
            <w:r>
              <w:rPr>
                <w:rFonts w:ascii="Times New Roman" w:hAnsi="Times New Roman"/>
                <w:b w:val="0"/>
                <w:sz w:val="18"/>
              </w:rPr>
              <w:t>0.112, 0.229</w:t>
            </w:r>
          </w:p>
        </w:tc>
        <w:tc>
          <w:tcPr>
            <w:tcW w:type="dxa" w:w="1584"/>
            <w:vAlign w:val="top"/>
          </w:tcPr>
          <w:p>
            <w:pPr>
              <w:keepNext w:val="0"/>
              <w:spacing w:after="0" w:line="240" w:lineRule="auto"/>
              <w:jc w:val="left"/>
            </w:pPr>
            <w:r>
              <w:rPr>
                <w:sz w:val="18"/>
              </w:rPr>
            </w:r>
            <w:r>
              <w:rPr>
                <w:rFonts w:ascii="Times New Roman" w:hAnsi="Times New Roman"/>
                <w:b w:val="0"/>
                <w:sz w:val="18"/>
              </w:rPr>
              <w:t>Beta-binomial</w:t>
            </w:r>
          </w:p>
        </w:tc>
        <w:tc>
          <w:tcPr>
            <w:tcW w:type="dxa" w:w="1872"/>
            <w:vAlign w:val="top"/>
          </w:tcPr>
          <w:p>
            <w:pPr>
              <w:keepNext w:val="0"/>
              <w:spacing w:after="0" w:line="240" w:lineRule="auto"/>
              <w:jc w:val="left"/>
            </w:pPr>
            <w:r>
              <w:rPr>
                <w:sz w:val="18"/>
              </w:rPr>
            </w:r>
            <w:r>
              <w:rPr>
                <w:rFonts w:ascii="Times New Roman" w:hAnsi="Times New Roman"/>
                <w:b w:val="0"/>
                <w:sz w:val="18"/>
              </w:rPr>
              <w:t>508,320 burned cell-years</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2088"/>
            <w:vAlign w:val="top"/>
          </w:tcPr>
          <w:p>
            <w:pPr>
              <w:keepNext w:val="0"/>
              <w:spacing w:after="0" w:line="240" w:lineRule="auto"/>
              <w:jc w:val="left"/>
            </w:pPr>
            <w:r>
              <w:rPr>
                <w:sz w:val="18"/>
              </w:rPr>
            </w:r>
            <w:r>
              <w:rPr>
                <w:rFonts w:ascii="Times New Roman" w:hAnsi="Times New Roman"/>
                <w:b w:val="0"/>
                <w:sz w:val="18"/>
              </w:rPr>
              <w:t>Park-centred control</w:t>
            </w:r>
          </w:p>
        </w:tc>
        <w:tc>
          <w:tcPr>
            <w:tcW w:type="dxa" w:w="936"/>
            <w:vAlign w:val="top"/>
          </w:tcPr>
          <w:p>
            <w:pPr>
              <w:keepNext w:val="0"/>
              <w:spacing w:after="0" w:line="240" w:lineRule="auto"/>
              <w:jc w:val="left"/>
            </w:pPr>
            <w:r>
              <w:rPr>
                <w:sz w:val="18"/>
              </w:rPr>
            </w:r>
            <w:r>
              <w:rPr>
                <w:rFonts w:ascii="Times New Roman" w:hAnsi="Times New Roman"/>
                <w:b w:val="0"/>
                <w:sz w:val="18"/>
              </w:rPr>
              <w:t>0.068</w:t>
            </w:r>
          </w:p>
        </w:tc>
        <w:tc>
          <w:tcPr>
            <w:tcW w:type="dxa" w:w="792"/>
            <w:vAlign w:val="top"/>
          </w:tcPr>
          <w:p>
            <w:pPr>
              <w:keepNext w:val="0"/>
              <w:spacing w:after="0" w:line="240" w:lineRule="auto"/>
              <w:jc w:val="left"/>
            </w:pPr>
            <w:r>
              <w:rPr>
                <w:sz w:val="18"/>
              </w:rPr>
            </w:r>
            <w:r>
              <w:rPr>
                <w:rFonts w:ascii="Times New Roman" w:hAnsi="Times New Roman"/>
                <w:b w:val="0"/>
                <w:sz w:val="18"/>
              </w:rPr>
              <w:t>0.031</w:t>
            </w:r>
          </w:p>
        </w:tc>
        <w:tc>
          <w:tcPr>
            <w:tcW w:type="dxa" w:w="1512"/>
            <w:vAlign w:val="top"/>
          </w:tcPr>
          <w:p>
            <w:pPr>
              <w:keepNext w:val="0"/>
              <w:spacing w:after="0" w:line="240" w:lineRule="auto"/>
              <w:jc w:val="left"/>
            </w:pPr>
            <w:r>
              <w:rPr>
                <w:sz w:val="18"/>
              </w:rPr>
            </w:r>
            <w:r>
              <w:rPr>
                <w:rFonts w:ascii="Times New Roman" w:hAnsi="Times New Roman"/>
                <w:b w:val="0"/>
                <w:sz w:val="18"/>
              </w:rPr>
              <w:t>0.008, 0.128</w:t>
            </w:r>
          </w:p>
        </w:tc>
        <w:tc>
          <w:tcPr>
            <w:tcW w:type="dxa" w:w="1584"/>
            <w:vAlign w:val="top"/>
          </w:tcPr>
          <w:p>
            <w:pPr>
              <w:keepNext w:val="0"/>
              <w:spacing w:after="0" w:line="240" w:lineRule="auto"/>
              <w:jc w:val="left"/>
            </w:pPr>
            <w:r>
              <w:rPr>
                <w:sz w:val="18"/>
              </w:rPr>
            </w:r>
            <w:r>
              <w:rPr>
                <w:rFonts w:ascii="Times New Roman" w:hAnsi="Times New Roman"/>
                <w:b w:val="0"/>
                <w:sz w:val="18"/>
              </w:rPr>
              <w:t>Beta-binomial</w:t>
            </w:r>
          </w:p>
        </w:tc>
        <w:tc>
          <w:tcPr>
            <w:tcW w:type="dxa" w:w="1872"/>
            <w:vAlign w:val="top"/>
          </w:tcPr>
          <w:p>
            <w:pPr>
              <w:keepNext w:val="0"/>
              <w:spacing w:after="0" w:line="240" w:lineRule="auto"/>
              <w:jc w:val="left"/>
            </w:pPr>
            <w:r>
              <w:rPr>
                <w:sz w:val="18"/>
              </w:rPr>
            </w:r>
            <w:r>
              <w:rPr>
                <w:rFonts w:ascii="Times New Roman" w:hAnsi="Times New Roman"/>
                <w:b w:val="0"/>
                <w:sz w:val="18"/>
              </w:rPr>
              <w:t>508,320 burned cell-years</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2088"/>
            <w:vAlign w:val="top"/>
          </w:tcPr>
          <w:p>
            <w:pPr>
              <w:keepNext w:val="0"/>
              <w:spacing w:after="0" w:line="240" w:lineRule="auto"/>
              <w:jc w:val="left"/>
            </w:pPr>
            <w:r>
              <w:rPr>
                <w:sz w:val="18"/>
              </w:rPr>
            </w:r>
            <w:r>
              <w:rPr>
                <w:rFonts w:ascii="Times New Roman" w:hAnsi="Times New Roman"/>
                <w:b w:val="0"/>
                <w:sz w:val="18"/>
              </w:rPr>
              <w:t>Fragmented control</w:t>
            </w:r>
          </w:p>
        </w:tc>
        <w:tc>
          <w:tcPr>
            <w:tcW w:type="dxa" w:w="936"/>
            <w:vAlign w:val="top"/>
          </w:tcPr>
          <w:p>
            <w:pPr>
              <w:keepNext w:val="0"/>
              <w:spacing w:after="0" w:line="240" w:lineRule="auto"/>
              <w:jc w:val="left"/>
            </w:pPr>
            <w:r>
              <w:rPr>
                <w:sz w:val="18"/>
              </w:rPr>
            </w:r>
            <w:r>
              <w:rPr>
                <w:rFonts w:ascii="Times New Roman" w:hAnsi="Times New Roman"/>
                <w:b w:val="0"/>
                <w:sz w:val="18"/>
              </w:rPr>
              <w:t>−0.846</w:t>
            </w:r>
          </w:p>
        </w:tc>
        <w:tc>
          <w:tcPr>
            <w:tcW w:type="dxa" w:w="792"/>
            <w:vAlign w:val="top"/>
          </w:tcPr>
          <w:p>
            <w:pPr>
              <w:keepNext w:val="0"/>
              <w:spacing w:after="0" w:line="240" w:lineRule="auto"/>
              <w:jc w:val="left"/>
            </w:pPr>
            <w:r>
              <w:rPr>
                <w:sz w:val="18"/>
              </w:rPr>
            </w:r>
            <w:r>
              <w:rPr>
                <w:rFonts w:ascii="Times New Roman" w:hAnsi="Times New Roman"/>
                <w:b w:val="0"/>
                <w:sz w:val="18"/>
              </w:rPr>
              <w:t>0.228</w:t>
            </w:r>
          </w:p>
        </w:tc>
        <w:tc>
          <w:tcPr>
            <w:tcW w:type="dxa" w:w="1512"/>
            <w:vAlign w:val="top"/>
          </w:tcPr>
          <w:p>
            <w:pPr>
              <w:keepNext w:val="0"/>
              <w:spacing w:after="0" w:line="240" w:lineRule="auto"/>
              <w:jc w:val="left"/>
            </w:pPr>
            <w:r>
              <w:rPr>
                <w:sz w:val="18"/>
              </w:rPr>
            </w:r>
            <w:r>
              <w:rPr>
                <w:rFonts w:ascii="Times New Roman" w:hAnsi="Times New Roman"/>
                <w:b w:val="0"/>
                <w:sz w:val="18"/>
              </w:rPr>
              <w:t>−1.293, −0.399</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519 first events</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2088"/>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936"/>
            <w:vAlign w:val="top"/>
          </w:tcPr>
          <w:p>
            <w:pPr>
              <w:keepNext w:val="0"/>
              <w:spacing w:after="0" w:line="240" w:lineRule="auto"/>
              <w:jc w:val="left"/>
            </w:pPr>
            <w:r>
              <w:rPr>
                <w:sz w:val="18"/>
              </w:rPr>
            </w:r>
            <w:r>
              <w:rPr>
                <w:rFonts w:ascii="Times New Roman" w:hAnsi="Times New Roman"/>
                <w:b w:val="0"/>
                <w:sz w:val="18"/>
              </w:rPr>
              <w:t>−0.898</w:t>
            </w:r>
          </w:p>
        </w:tc>
        <w:tc>
          <w:tcPr>
            <w:tcW w:type="dxa" w:w="792"/>
            <w:vAlign w:val="top"/>
          </w:tcPr>
          <w:p>
            <w:pPr>
              <w:keepNext w:val="0"/>
              <w:spacing w:after="0" w:line="240" w:lineRule="auto"/>
              <w:jc w:val="left"/>
            </w:pPr>
            <w:r>
              <w:rPr>
                <w:sz w:val="18"/>
              </w:rPr>
            </w:r>
            <w:r>
              <w:rPr>
                <w:rFonts w:ascii="Times New Roman" w:hAnsi="Times New Roman"/>
                <w:b w:val="0"/>
                <w:sz w:val="18"/>
              </w:rPr>
              <w:t>0.312</w:t>
            </w:r>
          </w:p>
        </w:tc>
        <w:tc>
          <w:tcPr>
            <w:tcW w:type="dxa" w:w="1512"/>
            <w:vAlign w:val="top"/>
          </w:tcPr>
          <w:p>
            <w:pPr>
              <w:keepNext w:val="0"/>
              <w:spacing w:after="0" w:line="240" w:lineRule="auto"/>
              <w:jc w:val="left"/>
            </w:pPr>
            <w:r>
              <w:rPr>
                <w:sz w:val="18"/>
              </w:rPr>
            </w:r>
            <w:r>
              <w:rPr>
                <w:rFonts w:ascii="Times New Roman" w:hAnsi="Times New Roman"/>
                <w:b w:val="0"/>
                <w:sz w:val="18"/>
              </w:rPr>
              <w:t>−1.509, −0.287</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519 first events</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2088"/>
            <w:vAlign w:val="top"/>
          </w:tcPr>
          <w:p>
            <w:pPr>
              <w:keepNext w:val="0"/>
              <w:spacing w:after="0" w:line="240" w:lineRule="auto"/>
              <w:jc w:val="left"/>
            </w:pPr>
            <w:r>
              <w:rPr>
                <w:sz w:val="18"/>
              </w:rPr>
            </w:r>
            <w:r>
              <w:rPr>
                <w:rFonts w:ascii="Times New Roman" w:hAnsi="Times New Roman"/>
                <w:b w:val="0"/>
                <w:sz w:val="18"/>
              </w:rPr>
              <w:t>Park-centred control</w:t>
            </w:r>
          </w:p>
        </w:tc>
        <w:tc>
          <w:tcPr>
            <w:tcW w:type="dxa" w:w="936"/>
            <w:vAlign w:val="top"/>
          </w:tcPr>
          <w:p>
            <w:pPr>
              <w:keepNext w:val="0"/>
              <w:spacing w:after="0" w:line="240" w:lineRule="auto"/>
              <w:jc w:val="left"/>
            </w:pPr>
            <w:r>
              <w:rPr>
                <w:sz w:val="18"/>
              </w:rPr>
            </w:r>
            <w:r>
              <w:rPr>
                <w:rFonts w:ascii="Times New Roman" w:hAnsi="Times New Roman"/>
                <w:b w:val="0"/>
                <w:sz w:val="18"/>
              </w:rPr>
              <w:t>−1.430</w:t>
            </w:r>
          </w:p>
        </w:tc>
        <w:tc>
          <w:tcPr>
            <w:tcW w:type="dxa" w:w="792"/>
            <w:vAlign w:val="top"/>
          </w:tcPr>
          <w:p>
            <w:pPr>
              <w:keepNext w:val="0"/>
              <w:spacing w:after="0" w:line="240" w:lineRule="auto"/>
              <w:jc w:val="left"/>
            </w:pPr>
            <w:r>
              <w:rPr>
                <w:sz w:val="18"/>
              </w:rPr>
            </w:r>
            <w:r>
              <w:rPr>
                <w:rFonts w:ascii="Times New Roman" w:hAnsi="Times New Roman"/>
                <w:b w:val="0"/>
                <w:sz w:val="18"/>
              </w:rPr>
              <w:t>0.261</w:t>
            </w:r>
          </w:p>
        </w:tc>
        <w:tc>
          <w:tcPr>
            <w:tcW w:type="dxa" w:w="1512"/>
            <w:vAlign w:val="top"/>
          </w:tcPr>
          <w:p>
            <w:pPr>
              <w:keepNext w:val="0"/>
              <w:spacing w:after="0" w:line="240" w:lineRule="auto"/>
              <w:jc w:val="left"/>
            </w:pPr>
            <w:r>
              <w:rPr>
                <w:sz w:val="18"/>
              </w:rPr>
            </w:r>
            <w:r>
              <w:rPr>
                <w:rFonts w:ascii="Times New Roman" w:hAnsi="Times New Roman"/>
                <w:b w:val="0"/>
                <w:sz w:val="18"/>
              </w:rPr>
              <w:t>−1.941, −0.919</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519 first events</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088"/>
            <w:vAlign w:val="top"/>
          </w:tcPr>
          <w:p>
            <w:pPr>
              <w:keepNext w:val="0"/>
              <w:spacing w:after="0" w:line="240" w:lineRule="auto"/>
              <w:jc w:val="left"/>
            </w:pPr>
            <w:r>
              <w:rPr>
                <w:sz w:val="18"/>
              </w:rPr>
            </w:r>
            <w:r>
              <w:rPr>
                <w:rFonts w:ascii="Times New Roman" w:hAnsi="Times New Roman"/>
                <w:b w:val="0"/>
                <w:sz w:val="18"/>
              </w:rPr>
              <w:t>Fragmented control</w:t>
            </w:r>
          </w:p>
        </w:tc>
        <w:tc>
          <w:tcPr>
            <w:tcW w:type="dxa" w:w="936"/>
            <w:vAlign w:val="top"/>
          </w:tcPr>
          <w:p>
            <w:pPr>
              <w:keepNext w:val="0"/>
              <w:spacing w:after="0" w:line="240" w:lineRule="auto"/>
              <w:jc w:val="left"/>
            </w:pPr>
            <w:r>
              <w:rPr>
                <w:sz w:val="18"/>
              </w:rPr>
            </w:r>
            <w:r>
              <w:rPr>
                <w:rFonts w:ascii="Times New Roman" w:hAnsi="Times New Roman"/>
                <w:b w:val="0"/>
                <w:sz w:val="18"/>
              </w:rPr>
              <w:t>0.286</w:t>
            </w:r>
          </w:p>
        </w:tc>
        <w:tc>
          <w:tcPr>
            <w:tcW w:type="dxa" w:w="792"/>
            <w:vAlign w:val="top"/>
          </w:tcPr>
          <w:p>
            <w:pPr>
              <w:keepNext w:val="0"/>
              <w:spacing w:after="0" w:line="240" w:lineRule="auto"/>
              <w:jc w:val="left"/>
            </w:pPr>
            <w:r>
              <w:rPr>
                <w:sz w:val="18"/>
              </w:rPr>
            </w:r>
            <w:r>
              <w:rPr>
                <w:rFonts w:ascii="Times New Roman" w:hAnsi="Times New Roman"/>
                <w:b w:val="0"/>
                <w:sz w:val="18"/>
              </w:rPr>
              <w:t>0.230</w:t>
            </w:r>
          </w:p>
        </w:tc>
        <w:tc>
          <w:tcPr>
            <w:tcW w:type="dxa" w:w="1512"/>
            <w:vAlign w:val="top"/>
          </w:tcPr>
          <w:p>
            <w:pPr>
              <w:keepNext w:val="0"/>
              <w:spacing w:after="0" w:line="240" w:lineRule="auto"/>
              <w:jc w:val="left"/>
            </w:pPr>
            <w:r>
              <w:rPr>
                <w:sz w:val="18"/>
              </w:rPr>
            </w:r>
            <w:r>
              <w:rPr>
                <w:rFonts w:ascii="Times New Roman" w:hAnsi="Times New Roman"/>
                <w:b w:val="0"/>
                <w:sz w:val="18"/>
              </w:rPr>
              <w:t>−0.164, 0.737</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518 first events</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088"/>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936"/>
            <w:vAlign w:val="top"/>
          </w:tcPr>
          <w:p>
            <w:pPr>
              <w:keepNext w:val="0"/>
              <w:spacing w:after="0" w:line="240" w:lineRule="auto"/>
              <w:jc w:val="left"/>
            </w:pPr>
            <w:r>
              <w:rPr>
                <w:sz w:val="18"/>
              </w:rPr>
            </w:r>
            <w:r>
              <w:rPr>
                <w:rFonts w:ascii="Times New Roman" w:hAnsi="Times New Roman"/>
                <w:b w:val="0"/>
                <w:sz w:val="18"/>
              </w:rPr>
              <w:t>0.222</w:t>
            </w:r>
          </w:p>
        </w:tc>
        <w:tc>
          <w:tcPr>
            <w:tcW w:type="dxa" w:w="792"/>
            <w:vAlign w:val="top"/>
          </w:tcPr>
          <w:p>
            <w:pPr>
              <w:keepNext w:val="0"/>
              <w:spacing w:after="0" w:line="240" w:lineRule="auto"/>
              <w:jc w:val="left"/>
            </w:pPr>
            <w:r>
              <w:rPr>
                <w:sz w:val="18"/>
              </w:rPr>
            </w:r>
            <w:r>
              <w:rPr>
                <w:rFonts w:ascii="Times New Roman" w:hAnsi="Times New Roman"/>
                <w:b w:val="0"/>
                <w:sz w:val="18"/>
              </w:rPr>
              <w:t>0.138</w:t>
            </w:r>
          </w:p>
        </w:tc>
        <w:tc>
          <w:tcPr>
            <w:tcW w:type="dxa" w:w="1512"/>
            <w:vAlign w:val="top"/>
          </w:tcPr>
          <w:p>
            <w:pPr>
              <w:keepNext w:val="0"/>
              <w:spacing w:after="0" w:line="240" w:lineRule="auto"/>
              <w:jc w:val="left"/>
            </w:pPr>
            <w:r>
              <w:rPr>
                <w:sz w:val="18"/>
              </w:rPr>
            </w:r>
            <w:r>
              <w:rPr>
                <w:rFonts w:ascii="Times New Roman" w:hAnsi="Times New Roman"/>
                <w:b w:val="0"/>
                <w:sz w:val="18"/>
              </w:rPr>
              <w:t>−0.048, 0.492</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518 first events</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088"/>
            <w:vAlign w:val="top"/>
          </w:tcPr>
          <w:p>
            <w:pPr>
              <w:keepNext w:val="0"/>
              <w:spacing w:after="0" w:line="240" w:lineRule="auto"/>
              <w:jc w:val="left"/>
            </w:pPr>
            <w:r>
              <w:rPr>
                <w:sz w:val="18"/>
              </w:rPr>
            </w:r>
            <w:r>
              <w:rPr>
                <w:rFonts w:ascii="Times New Roman" w:hAnsi="Times New Roman"/>
                <w:b w:val="0"/>
                <w:sz w:val="18"/>
              </w:rPr>
              <w:t>Park-centred control</w:t>
            </w:r>
          </w:p>
        </w:tc>
        <w:tc>
          <w:tcPr>
            <w:tcW w:type="dxa" w:w="936"/>
            <w:vAlign w:val="top"/>
          </w:tcPr>
          <w:p>
            <w:pPr>
              <w:keepNext w:val="0"/>
              <w:spacing w:after="0" w:line="240" w:lineRule="auto"/>
              <w:jc w:val="left"/>
            </w:pPr>
            <w:r>
              <w:rPr>
                <w:sz w:val="18"/>
              </w:rPr>
            </w:r>
            <w:r>
              <w:rPr>
                <w:rFonts w:ascii="Times New Roman" w:hAnsi="Times New Roman"/>
                <w:b w:val="0"/>
                <w:sz w:val="18"/>
              </w:rPr>
              <w:t>−0.347</w:t>
            </w:r>
          </w:p>
        </w:tc>
        <w:tc>
          <w:tcPr>
            <w:tcW w:type="dxa" w:w="792"/>
            <w:vAlign w:val="top"/>
          </w:tcPr>
          <w:p>
            <w:pPr>
              <w:keepNext w:val="0"/>
              <w:spacing w:after="0" w:line="240" w:lineRule="auto"/>
              <w:jc w:val="left"/>
            </w:pPr>
            <w:r>
              <w:rPr>
                <w:sz w:val="18"/>
              </w:rPr>
            </w:r>
            <w:r>
              <w:rPr>
                <w:rFonts w:ascii="Times New Roman" w:hAnsi="Times New Roman"/>
                <w:b w:val="0"/>
                <w:sz w:val="18"/>
              </w:rPr>
              <w:t>0.158</w:t>
            </w:r>
          </w:p>
        </w:tc>
        <w:tc>
          <w:tcPr>
            <w:tcW w:type="dxa" w:w="1512"/>
            <w:vAlign w:val="top"/>
          </w:tcPr>
          <w:p>
            <w:pPr>
              <w:keepNext w:val="0"/>
              <w:spacing w:after="0" w:line="240" w:lineRule="auto"/>
              <w:jc w:val="left"/>
            </w:pPr>
            <w:r>
              <w:rPr>
                <w:sz w:val="18"/>
              </w:rPr>
            </w:r>
            <w:r>
              <w:rPr>
                <w:rFonts w:ascii="Times New Roman" w:hAnsi="Times New Roman"/>
                <w:b w:val="0"/>
                <w:sz w:val="18"/>
              </w:rPr>
              <w:t>−0.657, −0.037</w:t>
            </w:r>
          </w:p>
        </w:tc>
        <w:tc>
          <w:tcPr>
            <w:tcW w:type="dxa" w:w="1584"/>
            <w:vAlign w:val="top"/>
          </w:tcPr>
          <w:p>
            <w:pPr>
              <w:keepNext w:val="0"/>
              <w:spacing w:after="0" w:line="240" w:lineRule="auto"/>
              <w:jc w:val="left"/>
            </w:pPr>
            <w:r>
              <w:rPr>
                <w:sz w:val="18"/>
              </w:rPr>
            </w:r>
            <w:r>
              <w:rPr>
                <w:rFonts w:ascii="Times New Roman" w:hAnsi="Times New Roman"/>
                <w:b w:val="0"/>
                <w:sz w:val="18"/>
              </w:rPr>
              <w:t>Two-stage HC3</w:t>
            </w:r>
          </w:p>
        </w:tc>
        <w:tc>
          <w:tcPr>
            <w:tcW w:type="dxa" w:w="1872"/>
            <w:vAlign w:val="top"/>
          </w:tcPr>
          <w:p>
            <w:pPr>
              <w:keepNext w:val="0"/>
              <w:spacing w:after="0" w:line="240" w:lineRule="auto"/>
              <w:jc w:val="left"/>
            </w:pPr>
            <w:r>
              <w:rPr>
                <w:sz w:val="18"/>
              </w:rPr>
            </w:r>
            <w:r>
              <w:rPr>
                <w:rFonts w:ascii="Times New Roman" w:hAnsi="Times New Roman"/>
                <w:b w:val="0"/>
                <w:sz w:val="18"/>
              </w:rPr>
              <w:t>518 first events</w:t>
            </w:r>
          </w:p>
        </w:tc>
      </w:tr>
    </w:tbl>
    <w:p>
      <w:pPr>
        <w:widowControl/>
      </w:pPr>
    </w:p>
    <w:p>
      <w:pPr>
        <w:pStyle w:val="Caption"/>
        <w:widowControl/>
      </w:pPr>
      <w:r>
        <w:t>Table S9. Primary pairwise differences between pooled profile-specific contrasts. All estimates use the 25% event definition within the symmetric 10 km corridor. The intervals are conditional model-based summaries rather than uncertainty from independent historical replications.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728"/>
        <w:gridCol w:w="1728"/>
        <w:gridCol w:w="1728"/>
        <w:gridCol w:w="1728"/>
        <w:gridCol w:w="1728"/>
        <w:gridCol w:w="1728"/>
      </w:tblGrid>
      <w:tr>
        <w:trPr>
          <w:tblHeader w:val="true"/>
          <w:tblHeader/>
        </w:trPr>
        <w:tc>
          <w:tcPr>
            <w:tcW w:type="dxa" w:w="1584"/>
            <w:vAlign w:val="top"/>
          </w:tcPr>
          <w:p>
            <w:pPr>
              <w:keepNext w:val="0"/>
              <w:spacing w:after="0" w:line="240" w:lineRule="auto"/>
              <w:jc w:val="left"/>
            </w:pPr>
            <w:r>
              <w:rPr>
                <w:sz w:val="18"/>
              </w:rPr>
            </w:r>
            <w:r>
              <w:rPr>
                <w:rFonts w:ascii="Times New Roman" w:hAnsi="Times New Roman"/>
                <w:b/>
                <w:sz w:val="18"/>
              </w:rPr>
              <w:t>Outcome</w:t>
            </w:r>
          </w:p>
        </w:tc>
        <w:tc>
          <w:tcPr>
            <w:tcW w:type="dxa" w:w="3240"/>
            <w:vAlign w:val="top"/>
          </w:tcPr>
          <w:p>
            <w:pPr>
              <w:keepNext w:val="0"/>
              <w:spacing w:after="0" w:line="240" w:lineRule="auto"/>
              <w:jc w:val="left"/>
            </w:pPr>
            <w:r>
              <w:rPr>
                <w:sz w:val="18"/>
              </w:rPr>
            </w:r>
            <w:r>
              <w:rPr>
                <w:rFonts w:ascii="Times New Roman" w:hAnsi="Times New Roman"/>
                <w:b/>
                <w:sz w:val="18"/>
              </w:rPr>
              <w:t>Comparison</w:t>
            </w:r>
          </w:p>
        </w:tc>
        <w:tc>
          <w:tcPr>
            <w:tcW w:type="dxa" w:w="1008"/>
            <w:vAlign w:val="top"/>
          </w:tcPr>
          <w:p>
            <w:pPr>
              <w:keepNext w:val="0"/>
              <w:spacing w:after="0" w:line="240" w:lineRule="auto"/>
              <w:jc w:val="left"/>
            </w:pPr>
            <w:r>
              <w:rPr>
                <w:sz w:val="18"/>
              </w:rPr>
            </w:r>
            <w:r>
              <w:rPr>
                <w:rFonts w:ascii="Times New Roman" w:hAnsi="Times New Roman"/>
                <w:b/>
                <w:sz w:val="18"/>
              </w:rPr>
              <w:t>Estimate</w:t>
            </w:r>
          </w:p>
        </w:tc>
        <w:tc>
          <w:tcPr>
            <w:tcW w:type="dxa" w:w="792"/>
            <w:vAlign w:val="top"/>
          </w:tcPr>
          <w:p>
            <w:pPr>
              <w:keepNext w:val="0"/>
              <w:spacing w:after="0" w:line="240" w:lineRule="auto"/>
              <w:jc w:val="left"/>
            </w:pPr>
            <w:r>
              <w:rPr>
                <w:sz w:val="18"/>
              </w:rPr>
            </w:r>
            <w:r>
              <w:rPr>
                <w:rFonts w:ascii="Times New Roman" w:hAnsi="Times New Roman"/>
                <w:b/>
                <w:sz w:val="18"/>
              </w:rPr>
              <w:t>SE</w:t>
            </w:r>
          </w:p>
        </w:tc>
        <w:tc>
          <w:tcPr>
            <w:tcW w:type="dxa" w:w="1656"/>
            <w:vAlign w:val="top"/>
          </w:tcPr>
          <w:p>
            <w:pPr>
              <w:keepNext w:val="0"/>
              <w:spacing w:after="0" w:line="240" w:lineRule="auto"/>
              <w:jc w:val="left"/>
            </w:pPr>
            <w:r>
              <w:rPr>
                <w:sz w:val="18"/>
              </w:rPr>
            </w:r>
            <w:r>
              <w:rPr>
                <w:rFonts w:ascii="Times New Roman" w:hAnsi="Times New Roman"/>
                <w:b/>
                <w:sz w:val="18"/>
              </w:rPr>
              <w:t>95% CI</w:t>
            </w:r>
          </w:p>
        </w:tc>
        <w:tc>
          <w:tcPr>
            <w:tcW w:type="dxa" w:w="1728"/>
            <w:vAlign w:val="top"/>
          </w:tcPr>
          <w:p>
            <w:pPr>
              <w:keepNext w:val="0"/>
              <w:spacing w:after="0" w:line="240" w:lineRule="auto"/>
              <w:jc w:val="left"/>
            </w:pPr>
            <w:r>
              <w:rPr>
                <w:sz w:val="18"/>
              </w:rPr>
            </w:r>
            <w:r>
              <w:rPr>
                <w:rFonts w:ascii="Times New Roman" w:hAnsi="Times New Roman"/>
                <w:b/>
                <w:sz w:val="18"/>
              </w:rPr>
              <w:t>Model</w:t>
            </w:r>
          </w:p>
        </w:tc>
      </w:tr>
      <w:tr>
        <w:tc>
          <w:tcPr>
            <w:tcW w:type="dxa" w:w="1584"/>
            <w:vAlign w:val="top"/>
          </w:tcPr>
          <w:p>
            <w:pPr>
              <w:keepNext w:val="0"/>
              <w:spacing w:after="0" w:line="240" w:lineRule="auto"/>
              <w:jc w:val="left"/>
            </w:pPr>
            <w:r>
              <w:rPr>
                <w:sz w:val="18"/>
              </w:rPr>
            </w:r>
            <w:r>
              <w:rPr>
                <w:rFonts w:ascii="Times New Roman" w:hAnsi="Times New Roman"/>
                <w:b w:val="0"/>
                <w:sz w:val="18"/>
              </w:rPr>
              <w:t>Fire</w:t>
            </w:r>
          </w:p>
        </w:tc>
        <w:tc>
          <w:tcPr>
            <w:tcW w:type="dxa" w:w="324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−0.160</w:t>
            </w:r>
          </w:p>
        </w:tc>
        <w:tc>
          <w:tcPr>
            <w:tcW w:type="dxa" w:w="792"/>
            <w:vAlign w:val="top"/>
          </w:tcPr>
          <w:p>
            <w:pPr>
              <w:keepNext w:val="0"/>
              <w:spacing w:after="0" w:line="240" w:lineRule="auto"/>
              <w:jc w:val="left"/>
            </w:pPr>
            <w:r>
              <w:rPr>
                <w:sz w:val="18"/>
              </w:rPr>
            </w:r>
            <w:r>
              <w:rPr>
                <w:rFonts w:ascii="Times New Roman" w:hAnsi="Times New Roman"/>
                <w:b w:val="0"/>
                <w:sz w:val="18"/>
              </w:rPr>
              <w:t>0.044</w:t>
            </w:r>
          </w:p>
        </w:tc>
        <w:tc>
          <w:tcPr>
            <w:tcW w:type="dxa" w:w="1656"/>
            <w:vAlign w:val="top"/>
          </w:tcPr>
          <w:p>
            <w:pPr>
              <w:keepNext w:val="0"/>
              <w:spacing w:after="0" w:line="240" w:lineRule="auto"/>
              <w:jc w:val="left"/>
            </w:pPr>
            <w:r>
              <w:rPr>
                <w:sz w:val="18"/>
              </w:rPr>
            </w:r>
            <w:r>
              <w:rPr>
                <w:rFonts w:ascii="Times New Roman" w:hAnsi="Times New Roman"/>
                <w:b w:val="0"/>
                <w:sz w:val="18"/>
              </w:rPr>
              <w:t>−0.247, −0.072</w:t>
            </w:r>
          </w:p>
        </w:tc>
        <w:tc>
          <w:tcPr>
            <w:tcW w:type="dxa" w:w="1728"/>
            <w:vAlign w:val="top"/>
          </w:tcPr>
          <w:p>
            <w:pPr>
              <w:keepNext w:val="0"/>
              <w:spacing w:after="0" w:line="240" w:lineRule="auto"/>
              <w:jc w:val="left"/>
            </w:pPr>
            <w:r>
              <w:rPr>
                <w:sz w:val="18"/>
              </w:rPr>
            </w:r>
            <w:r>
              <w:rPr>
                <w:rFonts w:ascii="Times New Roman" w:hAnsi="Times New Roman"/>
                <w:b w:val="0"/>
                <w:sz w:val="18"/>
              </w:rPr>
              <w:t>Beta-binomial</w:t>
            </w:r>
          </w:p>
        </w:tc>
      </w:tr>
      <w:tr>
        <w:tc>
          <w:tcPr>
            <w:tcW w:type="dxa" w:w="1584"/>
            <w:vAlign w:val="top"/>
          </w:tcPr>
          <w:p>
            <w:pPr>
              <w:keepNext w:val="0"/>
              <w:spacing w:after="0" w:line="240" w:lineRule="auto"/>
              <w:jc w:val="left"/>
            </w:pPr>
            <w:r>
              <w:rPr>
                <w:sz w:val="18"/>
              </w:rPr>
            </w:r>
            <w:r>
              <w:rPr>
                <w:rFonts w:ascii="Times New Roman" w:hAnsi="Times New Roman"/>
                <w:b w:val="0"/>
                <w:sz w:val="18"/>
              </w:rPr>
              <w:t>Fire</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008"/>
            <w:vAlign w:val="top"/>
          </w:tcPr>
          <w:p>
            <w:pPr>
              <w:keepNext w:val="0"/>
              <w:spacing w:after="0" w:line="240" w:lineRule="auto"/>
              <w:jc w:val="left"/>
            </w:pPr>
            <w:r>
              <w:rPr>
                <w:sz w:val="18"/>
              </w:rPr>
            </w:r>
            <w:r>
              <w:rPr>
                <w:rFonts w:ascii="Times New Roman" w:hAnsi="Times New Roman"/>
                <w:b w:val="0"/>
                <w:sz w:val="18"/>
              </w:rPr>
              <w:t>0.057</w:t>
            </w:r>
          </w:p>
        </w:tc>
        <w:tc>
          <w:tcPr>
            <w:tcW w:type="dxa" w:w="792"/>
            <w:vAlign w:val="top"/>
          </w:tcPr>
          <w:p>
            <w:pPr>
              <w:keepNext w:val="0"/>
              <w:spacing w:after="0" w:line="240" w:lineRule="auto"/>
              <w:jc w:val="left"/>
            </w:pPr>
            <w:r>
              <w:rPr>
                <w:sz w:val="18"/>
              </w:rPr>
            </w:r>
            <w:r>
              <w:rPr>
                <w:rFonts w:ascii="Times New Roman" w:hAnsi="Times New Roman"/>
                <w:b w:val="0"/>
                <w:sz w:val="18"/>
              </w:rPr>
              <w:t>0.045</w:t>
            </w:r>
          </w:p>
        </w:tc>
        <w:tc>
          <w:tcPr>
            <w:tcW w:type="dxa" w:w="1656"/>
            <w:vAlign w:val="top"/>
          </w:tcPr>
          <w:p>
            <w:pPr>
              <w:keepNext w:val="0"/>
              <w:spacing w:after="0" w:line="240" w:lineRule="auto"/>
              <w:jc w:val="left"/>
            </w:pPr>
            <w:r>
              <w:rPr>
                <w:sz w:val="18"/>
              </w:rPr>
            </w:r>
            <w:r>
              <w:rPr>
                <w:rFonts w:ascii="Times New Roman" w:hAnsi="Times New Roman"/>
                <w:b w:val="0"/>
                <w:sz w:val="18"/>
              </w:rPr>
              <w:t>−0.031, 0.145</w:t>
            </w:r>
          </w:p>
        </w:tc>
        <w:tc>
          <w:tcPr>
            <w:tcW w:type="dxa" w:w="1728"/>
            <w:vAlign w:val="top"/>
          </w:tcPr>
          <w:p>
            <w:pPr>
              <w:keepNext w:val="0"/>
              <w:spacing w:after="0" w:line="240" w:lineRule="auto"/>
              <w:jc w:val="left"/>
            </w:pPr>
            <w:r>
              <w:rPr>
                <w:sz w:val="18"/>
              </w:rPr>
            </w:r>
            <w:r>
              <w:rPr>
                <w:rFonts w:ascii="Times New Roman" w:hAnsi="Times New Roman"/>
                <w:b w:val="0"/>
                <w:sz w:val="18"/>
              </w:rPr>
              <w:t>Beta-binomial</w:t>
            </w:r>
          </w:p>
        </w:tc>
      </w:tr>
      <w:tr>
        <w:tc>
          <w:tcPr>
            <w:tcW w:type="dxa" w:w="1584"/>
            <w:vAlign w:val="top"/>
          </w:tcPr>
          <w:p>
            <w:pPr>
              <w:keepNext w:val="0"/>
              <w:spacing w:after="0" w:line="240" w:lineRule="auto"/>
              <w:jc w:val="left"/>
            </w:pPr>
            <w:r>
              <w:rPr>
                <w:sz w:val="18"/>
              </w:rPr>
            </w:r>
            <w:r>
              <w:rPr>
                <w:rFonts w:ascii="Times New Roman" w:hAnsi="Times New Roman"/>
                <w:b w:val="0"/>
                <w:sz w:val="18"/>
              </w:rPr>
              <w:t>Fire</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−0.102</w:t>
            </w:r>
          </w:p>
        </w:tc>
        <w:tc>
          <w:tcPr>
            <w:tcW w:type="dxa" w:w="792"/>
            <w:vAlign w:val="top"/>
          </w:tcPr>
          <w:p>
            <w:pPr>
              <w:keepNext w:val="0"/>
              <w:spacing w:after="0" w:line="240" w:lineRule="auto"/>
              <w:jc w:val="left"/>
            </w:pPr>
            <w:r>
              <w:rPr>
                <w:sz w:val="18"/>
              </w:rPr>
            </w:r>
            <w:r>
              <w:rPr>
                <w:rFonts w:ascii="Times New Roman" w:hAnsi="Times New Roman"/>
                <w:b w:val="0"/>
                <w:sz w:val="18"/>
              </w:rPr>
              <w:t>0.043</w:t>
            </w:r>
          </w:p>
        </w:tc>
        <w:tc>
          <w:tcPr>
            <w:tcW w:type="dxa" w:w="1656"/>
            <w:vAlign w:val="top"/>
          </w:tcPr>
          <w:p>
            <w:pPr>
              <w:keepNext w:val="0"/>
              <w:spacing w:after="0" w:line="240" w:lineRule="auto"/>
              <w:jc w:val="left"/>
            </w:pPr>
            <w:r>
              <w:rPr>
                <w:sz w:val="18"/>
              </w:rPr>
            </w:r>
            <w:r>
              <w:rPr>
                <w:rFonts w:ascii="Times New Roman" w:hAnsi="Times New Roman"/>
                <w:b w:val="0"/>
                <w:sz w:val="18"/>
              </w:rPr>
              <w:t>−0.186, −0.019</w:t>
            </w:r>
          </w:p>
        </w:tc>
        <w:tc>
          <w:tcPr>
            <w:tcW w:type="dxa" w:w="1728"/>
            <w:vAlign w:val="top"/>
          </w:tcPr>
          <w:p>
            <w:pPr>
              <w:keepNext w:val="0"/>
              <w:spacing w:after="0" w:line="240" w:lineRule="auto"/>
              <w:jc w:val="left"/>
            </w:pPr>
            <w:r>
              <w:rPr>
                <w:sz w:val="18"/>
              </w:rPr>
            </w:r>
            <w:r>
              <w:rPr>
                <w:rFonts w:ascii="Times New Roman" w:hAnsi="Times New Roman"/>
                <w:b w:val="0"/>
                <w:sz w:val="18"/>
              </w:rPr>
              <w:t>Beta-binomial</w:t>
            </w:r>
          </w:p>
        </w:tc>
      </w:tr>
      <w:tr>
        <w:tc>
          <w:tcPr>
            <w:tcW w:type="dxa" w:w="1584"/>
            <w:vAlign w:val="top"/>
          </w:tcPr>
          <w:p>
            <w:pPr>
              <w:keepNext w:val="0"/>
              <w:spacing w:after="0" w:line="240" w:lineRule="auto"/>
              <w:jc w:val="left"/>
            </w:pPr>
            <w:r>
              <w:rPr>
                <w:sz w:val="18"/>
              </w:rPr>
            </w:r>
            <w:r>
              <w:rPr>
                <w:rFonts w:ascii="Times New Roman" w:hAnsi="Times New Roman"/>
                <w:b w:val="0"/>
                <w:sz w:val="18"/>
              </w:rPr>
              <w:t>Tree-cover loss</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−0.584</w:t>
            </w:r>
          </w:p>
        </w:tc>
        <w:tc>
          <w:tcPr>
            <w:tcW w:type="dxa" w:w="792"/>
            <w:vAlign w:val="top"/>
          </w:tcPr>
          <w:p>
            <w:pPr>
              <w:keepNext w:val="0"/>
              <w:spacing w:after="0" w:line="240" w:lineRule="auto"/>
              <w:jc w:val="left"/>
            </w:pPr>
            <w:r>
              <w:rPr>
                <w:sz w:val="18"/>
              </w:rPr>
            </w:r>
            <w:r>
              <w:rPr>
                <w:rFonts w:ascii="Times New Roman" w:hAnsi="Times New Roman"/>
                <w:b w:val="0"/>
                <w:sz w:val="18"/>
              </w:rPr>
              <w:t>0.342</w:t>
            </w:r>
          </w:p>
        </w:tc>
        <w:tc>
          <w:tcPr>
            <w:tcW w:type="dxa" w:w="1656"/>
            <w:vAlign w:val="top"/>
          </w:tcPr>
          <w:p>
            <w:pPr>
              <w:keepNext w:val="0"/>
              <w:spacing w:after="0" w:line="240" w:lineRule="auto"/>
              <w:jc w:val="left"/>
            </w:pPr>
            <w:r>
              <w:rPr>
                <w:sz w:val="18"/>
              </w:rPr>
            </w:r>
            <w:r>
              <w:rPr>
                <w:rFonts w:ascii="Times New Roman" w:hAnsi="Times New Roman"/>
                <w:b w:val="0"/>
                <w:sz w:val="18"/>
              </w:rPr>
              <w:t>−1.255, 0.087</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r>
        <w:tc>
          <w:tcPr>
            <w:tcW w:type="dxa" w:w="1584"/>
            <w:vAlign w:val="top"/>
          </w:tcPr>
          <w:p>
            <w:pPr>
              <w:keepNext w:val="0"/>
              <w:spacing w:after="0" w:line="240" w:lineRule="auto"/>
              <w:jc w:val="left"/>
            </w:pPr>
            <w:r>
              <w:rPr>
                <w:sz w:val="18"/>
              </w:rPr>
            </w:r>
            <w:r>
              <w:rPr>
                <w:rFonts w:ascii="Times New Roman" w:hAnsi="Times New Roman"/>
                <w:b w:val="0"/>
                <w:sz w:val="18"/>
              </w:rPr>
              <w:t>Tree-cover loss</w:t>
            </w:r>
          </w:p>
        </w:tc>
        <w:tc>
          <w:tcPr>
            <w:tcW w:type="dxa" w:w="324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−0.052</w:t>
            </w:r>
          </w:p>
        </w:tc>
        <w:tc>
          <w:tcPr>
            <w:tcW w:type="dxa" w:w="792"/>
            <w:vAlign w:val="top"/>
          </w:tcPr>
          <w:p>
            <w:pPr>
              <w:keepNext w:val="0"/>
              <w:spacing w:after="0" w:line="240" w:lineRule="auto"/>
              <w:jc w:val="left"/>
            </w:pPr>
            <w:r>
              <w:rPr>
                <w:sz w:val="18"/>
              </w:rPr>
            </w:r>
            <w:r>
              <w:rPr>
                <w:rFonts w:ascii="Times New Roman" w:hAnsi="Times New Roman"/>
                <w:b w:val="0"/>
                <w:sz w:val="18"/>
              </w:rPr>
              <w:t>0.389</w:t>
            </w:r>
          </w:p>
        </w:tc>
        <w:tc>
          <w:tcPr>
            <w:tcW w:type="dxa" w:w="1656"/>
            <w:vAlign w:val="top"/>
          </w:tcPr>
          <w:p>
            <w:pPr>
              <w:keepNext w:val="0"/>
              <w:spacing w:after="0" w:line="240" w:lineRule="auto"/>
              <w:jc w:val="left"/>
            </w:pPr>
            <w:r>
              <w:rPr>
                <w:sz w:val="18"/>
              </w:rPr>
            </w:r>
            <w:r>
              <w:rPr>
                <w:rFonts w:ascii="Times New Roman" w:hAnsi="Times New Roman"/>
                <w:b w:val="0"/>
                <w:sz w:val="18"/>
              </w:rPr>
              <w:t>−0.814, 0.711</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r>
        <w:tc>
          <w:tcPr>
            <w:tcW w:type="dxa" w:w="1584"/>
            <w:vAlign w:val="top"/>
          </w:tcPr>
          <w:p>
            <w:pPr>
              <w:keepNext w:val="0"/>
              <w:spacing w:after="0" w:line="240" w:lineRule="auto"/>
              <w:jc w:val="left"/>
            </w:pPr>
            <w:r>
              <w:rPr>
                <w:sz w:val="18"/>
              </w:rPr>
            </w:r>
            <w:r>
              <w:rPr>
                <w:rFonts w:ascii="Times New Roman" w:hAnsi="Times New Roman"/>
                <w:b w:val="0"/>
                <w:sz w:val="18"/>
              </w:rPr>
              <w:t>Tree-cover loss</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008"/>
            <w:vAlign w:val="top"/>
          </w:tcPr>
          <w:p>
            <w:pPr>
              <w:keepNext w:val="0"/>
              <w:spacing w:after="0" w:line="240" w:lineRule="auto"/>
              <w:jc w:val="left"/>
            </w:pPr>
            <w:r>
              <w:rPr>
                <w:sz w:val="18"/>
              </w:rPr>
            </w:r>
            <w:r>
              <w:rPr>
                <w:rFonts w:ascii="Times New Roman" w:hAnsi="Times New Roman"/>
                <w:b w:val="0"/>
                <w:sz w:val="18"/>
              </w:rPr>
              <w:t>−0.532</w:t>
            </w:r>
          </w:p>
        </w:tc>
        <w:tc>
          <w:tcPr>
            <w:tcW w:type="dxa" w:w="792"/>
            <w:vAlign w:val="top"/>
          </w:tcPr>
          <w:p>
            <w:pPr>
              <w:keepNext w:val="0"/>
              <w:spacing w:after="0" w:line="240" w:lineRule="auto"/>
              <w:jc w:val="left"/>
            </w:pPr>
            <w:r>
              <w:rPr>
                <w:sz w:val="18"/>
              </w:rPr>
            </w:r>
            <w:r>
              <w:rPr>
                <w:rFonts w:ascii="Times New Roman" w:hAnsi="Times New Roman"/>
                <w:b w:val="0"/>
                <w:sz w:val="18"/>
              </w:rPr>
              <w:t>0.402</w:t>
            </w:r>
          </w:p>
        </w:tc>
        <w:tc>
          <w:tcPr>
            <w:tcW w:type="dxa" w:w="1656"/>
            <w:vAlign w:val="top"/>
          </w:tcPr>
          <w:p>
            <w:pPr>
              <w:keepNext w:val="0"/>
              <w:spacing w:after="0" w:line="240" w:lineRule="auto"/>
              <w:jc w:val="left"/>
            </w:pPr>
            <w:r>
              <w:rPr>
                <w:sz w:val="18"/>
              </w:rPr>
            </w:r>
            <w:r>
              <w:rPr>
                <w:rFonts w:ascii="Times New Roman" w:hAnsi="Times New Roman"/>
                <w:b w:val="0"/>
                <w:sz w:val="18"/>
              </w:rPr>
              <w:t>−1.321, 0.256</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r>
        <w:tc>
          <w:tcPr>
            <w:tcW w:type="dxa" w:w="1584"/>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−0.633</w:t>
            </w:r>
          </w:p>
        </w:tc>
        <w:tc>
          <w:tcPr>
            <w:tcW w:type="dxa" w:w="792"/>
            <w:vAlign w:val="top"/>
          </w:tcPr>
          <w:p>
            <w:pPr>
              <w:keepNext w:val="0"/>
              <w:spacing w:after="0" w:line="240" w:lineRule="auto"/>
              <w:jc w:val="left"/>
            </w:pPr>
            <w:r>
              <w:rPr>
                <w:sz w:val="18"/>
              </w:rPr>
            </w:r>
            <w:r>
              <w:rPr>
                <w:rFonts w:ascii="Times New Roman" w:hAnsi="Times New Roman"/>
                <w:b w:val="0"/>
                <w:sz w:val="18"/>
              </w:rPr>
              <w:t>0.311</w:t>
            </w:r>
          </w:p>
        </w:tc>
        <w:tc>
          <w:tcPr>
            <w:tcW w:type="dxa" w:w="1656"/>
            <w:vAlign w:val="top"/>
          </w:tcPr>
          <w:p>
            <w:pPr>
              <w:keepNext w:val="0"/>
              <w:spacing w:after="0" w:line="240" w:lineRule="auto"/>
              <w:jc w:val="left"/>
            </w:pPr>
            <w:r>
              <w:rPr>
                <w:sz w:val="18"/>
              </w:rPr>
            </w:r>
            <w:r>
              <w:rPr>
                <w:rFonts w:ascii="Times New Roman" w:hAnsi="Times New Roman"/>
                <w:b w:val="0"/>
                <w:sz w:val="18"/>
              </w:rPr>
              <w:t>−1.244, −0.023</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r>
        <w:tc>
          <w:tcPr>
            <w:tcW w:type="dxa" w:w="1584"/>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24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008"/>
            <w:vAlign w:val="top"/>
          </w:tcPr>
          <w:p>
            <w:pPr>
              <w:keepNext w:val="0"/>
              <w:spacing w:after="0" w:line="240" w:lineRule="auto"/>
              <w:jc w:val="left"/>
            </w:pPr>
            <w:r>
              <w:rPr>
                <w:sz w:val="18"/>
              </w:rPr>
            </w:r>
            <w:r>
              <w:rPr>
                <w:rFonts w:ascii="Times New Roman" w:hAnsi="Times New Roman"/>
                <w:b w:val="0"/>
                <w:sz w:val="18"/>
              </w:rPr>
              <w:t>−0.065</w:t>
            </w:r>
          </w:p>
        </w:tc>
        <w:tc>
          <w:tcPr>
            <w:tcW w:type="dxa" w:w="792"/>
            <w:vAlign w:val="top"/>
          </w:tcPr>
          <w:p>
            <w:pPr>
              <w:keepNext w:val="0"/>
              <w:spacing w:after="0" w:line="240" w:lineRule="auto"/>
              <w:jc w:val="left"/>
            </w:pPr>
            <w:r>
              <w:rPr>
                <w:sz w:val="18"/>
              </w:rPr>
            </w:r>
            <w:r>
              <w:rPr>
                <w:rFonts w:ascii="Times New Roman" w:hAnsi="Times New Roman"/>
                <w:b w:val="0"/>
                <w:sz w:val="18"/>
              </w:rPr>
              <w:t>0.291</w:t>
            </w:r>
          </w:p>
        </w:tc>
        <w:tc>
          <w:tcPr>
            <w:tcW w:type="dxa" w:w="1656"/>
            <w:vAlign w:val="top"/>
          </w:tcPr>
          <w:p>
            <w:pPr>
              <w:keepNext w:val="0"/>
              <w:spacing w:after="0" w:line="240" w:lineRule="auto"/>
              <w:jc w:val="left"/>
            </w:pPr>
            <w:r>
              <w:rPr>
                <w:sz w:val="18"/>
              </w:rPr>
            </w:r>
            <w:r>
              <w:rPr>
                <w:rFonts w:ascii="Times New Roman" w:hAnsi="Times New Roman"/>
                <w:b w:val="0"/>
                <w:sz w:val="18"/>
              </w:rPr>
              <w:t>−0.634, 0.505</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r>
        <w:tc>
          <w:tcPr>
            <w:tcW w:type="dxa" w:w="1584"/>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24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008"/>
            <w:vAlign w:val="top"/>
          </w:tcPr>
          <w:p>
            <w:pPr>
              <w:keepNext w:val="0"/>
              <w:spacing w:after="0" w:line="240" w:lineRule="auto"/>
              <w:jc w:val="left"/>
            </w:pPr>
            <w:r>
              <w:rPr>
                <w:sz w:val="18"/>
              </w:rPr>
            </w:r>
            <w:r>
              <w:rPr>
                <w:rFonts w:ascii="Times New Roman" w:hAnsi="Times New Roman"/>
                <w:b w:val="0"/>
                <w:sz w:val="18"/>
              </w:rPr>
              <w:t>−0.569</w:t>
            </w:r>
          </w:p>
        </w:tc>
        <w:tc>
          <w:tcPr>
            <w:tcW w:type="dxa" w:w="792"/>
            <w:vAlign w:val="top"/>
          </w:tcPr>
          <w:p>
            <w:pPr>
              <w:keepNext w:val="0"/>
              <w:spacing w:after="0" w:line="240" w:lineRule="auto"/>
              <w:jc w:val="left"/>
            </w:pPr>
            <w:r>
              <w:rPr>
                <w:sz w:val="18"/>
              </w:rPr>
            </w:r>
            <w:r>
              <w:rPr>
                <w:rFonts w:ascii="Times New Roman" w:hAnsi="Times New Roman"/>
                <w:b w:val="0"/>
                <w:sz w:val="18"/>
              </w:rPr>
              <w:t>0.221</w:t>
            </w:r>
          </w:p>
        </w:tc>
        <w:tc>
          <w:tcPr>
            <w:tcW w:type="dxa" w:w="1656"/>
            <w:vAlign w:val="top"/>
          </w:tcPr>
          <w:p>
            <w:pPr>
              <w:keepNext w:val="0"/>
              <w:spacing w:after="0" w:line="240" w:lineRule="auto"/>
              <w:jc w:val="left"/>
            </w:pPr>
            <w:r>
              <w:rPr>
                <w:sz w:val="18"/>
              </w:rPr>
            </w:r>
            <w:r>
              <w:rPr>
                <w:rFonts w:ascii="Times New Roman" w:hAnsi="Times New Roman"/>
                <w:b w:val="0"/>
                <w:sz w:val="18"/>
              </w:rPr>
              <w:t>−1.001, −0.137</w:t>
            </w:r>
          </w:p>
        </w:tc>
        <w:tc>
          <w:tcPr>
            <w:tcW w:type="dxa" w:w="1728"/>
            <w:vAlign w:val="top"/>
          </w:tcPr>
          <w:p>
            <w:pPr>
              <w:keepNext w:val="0"/>
              <w:spacing w:after="0" w:line="240" w:lineRule="auto"/>
              <w:jc w:val="left"/>
            </w:pPr>
            <w:r>
              <w:rPr>
                <w:sz w:val="18"/>
              </w:rPr>
            </w:r>
            <w:r>
              <w:rPr>
                <w:rFonts w:ascii="Times New Roman" w:hAnsi="Times New Roman"/>
                <w:b w:val="0"/>
                <w:sz w:val="18"/>
              </w:rPr>
              <w:t>Two-stage HC3</w:t>
            </w:r>
          </w:p>
        </w:tc>
      </w:tr>
    </w:tbl>
    <w:p>
      <w:pPr>
        <w:widowControl/>
      </w:pPr>
    </w:p>
    <w:p>
      <w:pPr>
        <w:pStyle w:val="Caption"/>
        <w:widowControl/>
      </w:pPr>
      <w:r>
        <w:rPr>
          <w:b/>
        </w:rPr>
        <w:t xml:space="preserve">Table S10. </w:t>
      </w:r>
      <w:r>
        <w:t>Weighted primary and unweighted sparse-outcome estimates. Cells contain estimate [95% CI].</w:t>
      </w:r>
    </w:p>
    <w:p>
      <w:pPr>
        <w:pStyle w:val="BodyText"/>
        <w:keepNext/>
        <w:widowControl/>
      </w:pPr>
      <w:r>
        <w:rPr>
          <w:b/>
        </w:rPr>
        <w:t>Panel A. Profile-specific contrasts.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592"/>
        <w:gridCol w:w="2592"/>
        <w:gridCol w:w="2592"/>
        <w:gridCol w:w="2592"/>
      </w:tblGrid>
      <w:tr>
        <w:trPr>
          <w:tblHeader w:val="true"/>
          <w:tblHeader/>
        </w:trPr>
        <w:tc>
          <w:tcPr>
            <w:tcW w:type="dxa" w:w="2160"/>
            <w:vAlign w:val="top"/>
          </w:tcPr>
          <w:p>
            <w:pPr>
              <w:keepNext w:val="0"/>
              <w:spacing w:after="0" w:line="240" w:lineRule="auto"/>
              <w:jc w:val="left"/>
            </w:pPr>
            <w:r>
              <w:rPr>
                <w:sz w:val="18"/>
              </w:rPr>
            </w:r>
            <w:r>
              <w:rPr>
                <w:rFonts w:ascii="Times New Roman" w:hAnsi="Times New Roman"/>
                <w:b/>
                <w:sz w:val="18"/>
              </w:rPr>
              <w:t>Outcome</w:t>
            </w:r>
          </w:p>
        </w:tc>
        <w:tc>
          <w:tcPr>
            <w:tcW w:type="dxa" w:w="2448"/>
            <w:vAlign w:val="top"/>
          </w:tcPr>
          <w:p>
            <w:pPr>
              <w:keepNext w:val="0"/>
              <w:spacing w:after="0" w:line="240" w:lineRule="auto"/>
              <w:jc w:val="left"/>
            </w:pPr>
            <w:r>
              <w:rPr>
                <w:sz w:val="18"/>
              </w:rPr>
            </w:r>
            <w:r>
              <w:rPr>
                <w:rFonts w:ascii="Times New Roman" w:hAnsi="Times New Roman"/>
                <w:b/>
                <w:sz w:val="18"/>
              </w:rPr>
              <w:t>Profile</w:t>
            </w:r>
          </w:p>
        </w:tc>
        <w:tc>
          <w:tcPr>
            <w:tcW w:type="dxa" w:w="2448"/>
            <w:vAlign w:val="top"/>
          </w:tcPr>
          <w:p>
            <w:pPr>
              <w:keepNext w:val="0"/>
              <w:spacing w:after="0" w:line="240" w:lineRule="auto"/>
              <w:jc w:val="left"/>
            </w:pPr>
            <w:r>
              <w:rPr>
                <w:sz w:val="18"/>
              </w:rPr>
            </w:r>
            <w:r>
              <w:rPr>
                <w:rFonts w:ascii="Times New Roman" w:hAnsi="Times New Roman"/>
                <w:b/>
                <w:sz w:val="18"/>
              </w:rPr>
              <w:t>Weighted primary</w:t>
            </w:r>
          </w:p>
        </w:tc>
        <w:tc>
          <w:tcPr>
            <w:tcW w:type="dxa" w:w="2448"/>
            <w:vAlign w:val="top"/>
          </w:tcPr>
          <w:p>
            <w:pPr>
              <w:keepNext w:val="0"/>
              <w:spacing w:after="0" w:line="240" w:lineRule="auto"/>
              <w:jc w:val="left"/>
            </w:pPr>
            <w:r>
              <w:rPr>
                <w:sz w:val="18"/>
              </w:rPr>
            </w:r>
            <w:r>
              <w:rPr>
                <w:rFonts w:ascii="Times New Roman" w:hAnsi="Times New Roman"/>
                <w:b/>
                <w:sz w:val="18"/>
              </w:rPr>
              <w:t>Unweighted sensitivity</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2448"/>
            <w:vAlign w:val="top"/>
          </w:tcPr>
          <w:p>
            <w:pPr>
              <w:keepNext w:val="0"/>
              <w:spacing w:after="0" w:line="240" w:lineRule="auto"/>
              <w:jc w:val="left"/>
            </w:pPr>
            <w:r>
              <w:rPr>
                <w:sz w:val="18"/>
              </w:rPr>
            </w:r>
            <w:r>
              <w:rPr>
                <w:rFonts w:ascii="Times New Roman" w:hAnsi="Times New Roman"/>
                <w:b w:val="0"/>
                <w:sz w:val="18"/>
              </w:rPr>
              <w:t>Fragmented control</w:t>
            </w:r>
          </w:p>
        </w:tc>
        <w:tc>
          <w:tcPr>
            <w:tcW w:type="dxa" w:w="2448"/>
            <w:vAlign w:val="top"/>
          </w:tcPr>
          <w:p>
            <w:pPr>
              <w:keepNext w:val="0"/>
              <w:spacing w:after="0" w:line="240" w:lineRule="auto"/>
              <w:jc w:val="left"/>
            </w:pPr>
            <w:r>
              <w:rPr>
                <w:sz w:val="18"/>
              </w:rPr>
            </w:r>
            <w:r>
              <w:rPr>
                <w:rFonts w:ascii="Times New Roman" w:hAnsi="Times New Roman"/>
                <w:b w:val="0"/>
                <w:sz w:val="18"/>
              </w:rPr>
              <w:t>-0.846 [-1.293, -0.399]</w:t>
            </w:r>
          </w:p>
        </w:tc>
        <w:tc>
          <w:tcPr>
            <w:tcW w:type="dxa" w:w="2448"/>
            <w:vAlign w:val="top"/>
          </w:tcPr>
          <w:p>
            <w:pPr>
              <w:keepNext w:val="0"/>
              <w:spacing w:after="0" w:line="240" w:lineRule="auto"/>
              <w:jc w:val="left"/>
            </w:pPr>
            <w:r>
              <w:rPr>
                <w:sz w:val="18"/>
              </w:rPr>
            </w:r>
            <w:r>
              <w:rPr>
                <w:rFonts w:ascii="Times New Roman" w:hAnsi="Times New Roman"/>
                <w:b w:val="0"/>
                <w:sz w:val="18"/>
              </w:rPr>
              <w:t>-0.881 [-1.357, -0.405]</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2448"/>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2448"/>
            <w:vAlign w:val="top"/>
          </w:tcPr>
          <w:p>
            <w:pPr>
              <w:keepNext w:val="0"/>
              <w:spacing w:after="0" w:line="240" w:lineRule="auto"/>
              <w:jc w:val="left"/>
            </w:pPr>
            <w:r>
              <w:rPr>
                <w:sz w:val="18"/>
              </w:rPr>
            </w:r>
            <w:r>
              <w:rPr>
                <w:rFonts w:ascii="Times New Roman" w:hAnsi="Times New Roman"/>
                <w:b w:val="0"/>
                <w:sz w:val="18"/>
              </w:rPr>
              <w:t>-0.898 [-1.509, -0.287]</w:t>
            </w:r>
          </w:p>
        </w:tc>
        <w:tc>
          <w:tcPr>
            <w:tcW w:type="dxa" w:w="2448"/>
            <w:vAlign w:val="top"/>
          </w:tcPr>
          <w:p>
            <w:pPr>
              <w:keepNext w:val="0"/>
              <w:spacing w:after="0" w:line="240" w:lineRule="auto"/>
              <w:jc w:val="left"/>
            </w:pPr>
            <w:r>
              <w:rPr>
                <w:sz w:val="18"/>
              </w:rPr>
            </w:r>
            <w:r>
              <w:rPr>
                <w:rFonts w:ascii="Times New Roman" w:hAnsi="Times New Roman"/>
                <w:b w:val="0"/>
                <w:sz w:val="18"/>
              </w:rPr>
              <w:t>-0.881 [-1.591, -0.170]</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2448"/>
            <w:vAlign w:val="top"/>
          </w:tcPr>
          <w:p>
            <w:pPr>
              <w:keepNext w:val="0"/>
              <w:spacing w:after="0" w:line="240" w:lineRule="auto"/>
              <w:jc w:val="left"/>
            </w:pPr>
            <w:r>
              <w:rPr>
                <w:sz w:val="18"/>
              </w:rPr>
            </w:r>
            <w:r>
              <w:rPr>
                <w:rFonts w:ascii="Times New Roman" w:hAnsi="Times New Roman"/>
                <w:b w:val="0"/>
                <w:sz w:val="18"/>
              </w:rPr>
              <w:t>Park-centred control</w:t>
            </w:r>
          </w:p>
        </w:tc>
        <w:tc>
          <w:tcPr>
            <w:tcW w:type="dxa" w:w="2448"/>
            <w:vAlign w:val="top"/>
          </w:tcPr>
          <w:p>
            <w:pPr>
              <w:keepNext w:val="0"/>
              <w:spacing w:after="0" w:line="240" w:lineRule="auto"/>
              <w:jc w:val="left"/>
            </w:pPr>
            <w:r>
              <w:rPr>
                <w:sz w:val="18"/>
              </w:rPr>
            </w:r>
            <w:r>
              <w:rPr>
                <w:rFonts w:ascii="Times New Roman" w:hAnsi="Times New Roman"/>
                <w:b w:val="0"/>
                <w:sz w:val="18"/>
              </w:rPr>
              <w:t>-1.430 [-1.941, -0.919]</w:t>
            </w:r>
          </w:p>
        </w:tc>
        <w:tc>
          <w:tcPr>
            <w:tcW w:type="dxa" w:w="2448"/>
            <w:vAlign w:val="top"/>
          </w:tcPr>
          <w:p>
            <w:pPr>
              <w:keepNext w:val="0"/>
              <w:spacing w:after="0" w:line="240" w:lineRule="auto"/>
              <w:jc w:val="left"/>
            </w:pPr>
            <w:r>
              <w:rPr>
                <w:sz w:val="18"/>
              </w:rPr>
            </w:r>
            <w:r>
              <w:rPr>
                <w:rFonts w:ascii="Times New Roman" w:hAnsi="Times New Roman"/>
                <w:b w:val="0"/>
                <w:sz w:val="18"/>
              </w:rPr>
              <w:t>-1.762 [-2.370, -1.153]</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448"/>
            <w:vAlign w:val="top"/>
          </w:tcPr>
          <w:p>
            <w:pPr>
              <w:keepNext w:val="0"/>
              <w:spacing w:after="0" w:line="240" w:lineRule="auto"/>
              <w:jc w:val="left"/>
            </w:pPr>
            <w:r>
              <w:rPr>
                <w:sz w:val="18"/>
              </w:rPr>
            </w:r>
            <w:r>
              <w:rPr>
                <w:rFonts w:ascii="Times New Roman" w:hAnsi="Times New Roman"/>
                <w:b w:val="0"/>
                <w:sz w:val="18"/>
              </w:rPr>
              <w:t>Fragmented control</w:t>
            </w:r>
          </w:p>
        </w:tc>
        <w:tc>
          <w:tcPr>
            <w:tcW w:type="dxa" w:w="2448"/>
            <w:vAlign w:val="top"/>
          </w:tcPr>
          <w:p>
            <w:pPr>
              <w:keepNext w:val="0"/>
              <w:spacing w:after="0" w:line="240" w:lineRule="auto"/>
              <w:jc w:val="left"/>
            </w:pPr>
            <w:r>
              <w:rPr>
                <w:sz w:val="18"/>
              </w:rPr>
            </w:r>
            <w:r>
              <w:rPr>
                <w:rFonts w:ascii="Times New Roman" w:hAnsi="Times New Roman"/>
                <w:b w:val="0"/>
                <w:sz w:val="18"/>
              </w:rPr>
              <w:t>0.286 [-0.164, 0.737]</w:t>
            </w:r>
          </w:p>
        </w:tc>
        <w:tc>
          <w:tcPr>
            <w:tcW w:type="dxa" w:w="2448"/>
            <w:vAlign w:val="top"/>
          </w:tcPr>
          <w:p>
            <w:pPr>
              <w:keepNext w:val="0"/>
              <w:spacing w:after="0" w:line="240" w:lineRule="auto"/>
              <w:jc w:val="left"/>
            </w:pPr>
            <w:r>
              <w:rPr>
                <w:sz w:val="18"/>
              </w:rPr>
            </w:r>
            <w:r>
              <w:rPr>
                <w:rFonts w:ascii="Times New Roman" w:hAnsi="Times New Roman"/>
                <w:b w:val="0"/>
                <w:sz w:val="18"/>
              </w:rPr>
              <w:t>0.241 [-0.060, 0.542]</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448"/>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2448"/>
            <w:vAlign w:val="top"/>
          </w:tcPr>
          <w:p>
            <w:pPr>
              <w:keepNext w:val="0"/>
              <w:spacing w:after="0" w:line="240" w:lineRule="auto"/>
              <w:jc w:val="left"/>
            </w:pPr>
            <w:r>
              <w:rPr>
                <w:sz w:val="18"/>
              </w:rPr>
            </w:r>
            <w:r>
              <w:rPr>
                <w:rFonts w:ascii="Times New Roman" w:hAnsi="Times New Roman"/>
                <w:b w:val="0"/>
                <w:sz w:val="18"/>
              </w:rPr>
              <w:t>0.222 [-0.048, 0.492]</w:t>
            </w:r>
          </w:p>
        </w:tc>
        <w:tc>
          <w:tcPr>
            <w:tcW w:type="dxa" w:w="2448"/>
            <w:vAlign w:val="top"/>
          </w:tcPr>
          <w:p>
            <w:pPr>
              <w:keepNext w:val="0"/>
              <w:spacing w:after="0" w:line="240" w:lineRule="auto"/>
              <w:jc w:val="left"/>
            </w:pPr>
            <w:r>
              <w:rPr>
                <w:sz w:val="18"/>
              </w:rPr>
            </w:r>
            <w:r>
              <w:rPr>
                <w:rFonts w:ascii="Times New Roman" w:hAnsi="Times New Roman"/>
                <w:b w:val="0"/>
                <w:sz w:val="18"/>
              </w:rPr>
              <w:t>-0.053 [-0.599, 0.492]</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2448"/>
            <w:vAlign w:val="top"/>
          </w:tcPr>
          <w:p>
            <w:pPr>
              <w:keepNext w:val="0"/>
              <w:spacing w:after="0" w:line="240" w:lineRule="auto"/>
              <w:jc w:val="left"/>
            </w:pPr>
            <w:r>
              <w:rPr>
                <w:sz w:val="18"/>
              </w:rPr>
            </w:r>
            <w:r>
              <w:rPr>
                <w:rFonts w:ascii="Times New Roman" w:hAnsi="Times New Roman"/>
                <w:b w:val="0"/>
                <w:sz w:val="18"/>
              </w:rPr>
              <w:t>Park-centred control</w:t>
            </w:r>
          </w:p>
        </w:tc>
        <w:tc>
          <w:tcPr>
            <w:tcW w:type="dxa" w:w="2448"/>
            <w:vAlign w:val="top"/>
          </w:tcPr>
          <w:p>
            <w:pPr>
              <w:keepNext w:val="0"/>
              <w:spacing w:after="0" w:line="240" w:lineRule="auto"/>
              <w:jc w:val="left"/>
            </w:pPr>
            <w:r>
              <w:rPr>
                <w:sz w:val="18"/>
              </w:rPr>
            </w:r>
            <w:r>
              <w:rPr>
                <w:rFonts w:ascii="Times New Roman" w:hAnsi="Times New Roman"/>
                <w:b w:val="0"/>
                <w:sz w:val="18"/>
              </w:rPr>
              <w:t>-0.347 [-0.657, -0.037]</w:t>
            </w:r>
          </w:p>
        </w:tc>
        <w:tc>
          <w:tcPr>
            <w:tcW w:type="dxa" w:w="2448"/>
            <w:vAlign w:val="top"/>
          </w:tcPr>
          <w:p>
            <w:pPr>
              <w:keepNext w:val="0"/>
              <w:spacing w:after="0" w:line="240" w:lineRule="auto"/>
              <w:jc w:val="left"/>
            </w:pPr>
            <w:r>
              <w:rPr>
                <w:sz w:val="18"/>
              </w:rPr>
            </w:r>
            <w:r>
              <w:rPr>
                <w:rFonts w:ascii="Times New Roman" w:hAnsi="Times New Roman"/>
                <w:b w:val="0"/>
                <w:sz w:val="18"/>
              </w:rPr>
              <w:t>-0.285 [-0.557, -0.013]</w:t>
            </w:r>
          </w:p>
        </w:tc>
      </w:tr>
    </w:tbl>
    <w:p>
      <w:pPr>
        <w:widowControl/>
      </w:pPr>
    </w:p>
    <w:p>
      <w:pPr>
        <w:pStyle w:val="BodyText"/>
        <w:keepNext/>
        <w:widowControl/>
      </w:pPr>
      <w:r>
        <w:rPr>
          <w:b/>
        </w:rPr>
        <w:t>Panel B. Pairwise differences.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592"/>
        <w:gridCol w:w="2592"/>
        <w:gridCol w:w="2592"/>
        <w:gridCol w:w="2592"/>
      </w:tblGrid>
      <w:tr>
        <w:trPr>
          <w:tblHeader w:val="true"/>
          <w:tblHeader/>
        </w:trPr>
        <w:tc>
          <w:tcPr>
            <w:tcW w:type="dxa" w:w="2160"/>
            <w:vAlign w:val="top"/>
          </w:tcPr>
          <w:p>
            <w:pPr>
              <w:keepNext w:val="0"/>
              <w:spacing w:after="0" w:line="240" w:lineRule="auto"/>
              <w:jc w:val="left"/>
            </w:pPr>
            <w:r>
              <w:rPr>
                <w:sz w:val="18"/>
              </w:rPr>
            </w:r>
            <w:r>
              <w:rPr>
                <w:rFonts w:ascii="Times New Roman" w:hAnsi="Times New Roman"/>
                <w:b/>
                <w:sz w:val="18"/>
              </w:rPr>
              <w:t>Outcome</w:t>
            </w:r>
          </w:p>
        </w:tc>
        <w:tc>
          <w:tcPr>
            <w:tcW w:type="dxa" w:w="3024"/>
            <w:vAlign w:val="top"/>
          </w:tcPr>
          <w:p>
            <w:pPr>
              <w:keepNext w:val="0"/>
              <w:spacing w:after="0" w:line="240" w:lineRule="auto"/>
              <w:jc w:val="left"/>
            </w:pPr>
            <w:r>
              <w:rPr>
                <w:sz w:val="18"/>
              </w:rPr>
            </w:r>
            <w:r>
              <w:rPr>
                <w:rFonts w:ascii="Times New Roman" w:hAnsi="Times New Roman"/>
                <w:b/>
                <w:sz w:val="18"/>
              </w:rPr>
              <w:t>Comparison</w:t>
            </w:r>
          </w:p>
        </w:tc>
        <w:tc>
          <w:tcPr>
            <w:tcW w:type="dxa" w:w="2448"/>
            <w:vAlign w:val="top"/>
          </w:tcPr>
          <w:p>
            <w:pPr>
              <w:keepNext w:val="0"/>
              <w:spacing w:after="0" w:line="240" w:lineRule="auto"/>
              <w:jc w:val="left"/>
            </w:pPr>
            <w:r>
              <w:rPr>
                <w:sz w:val="18"/>
              </w:rPr>
            </w:r>
            <w:r>
              <w:rPr>
                <w:rFonts w:ascii="Times New Roman" w:hAnsi="Times New Roman"/>
                <w:b/>
                <w:sz w:val="18"/>
              </w:rPr>
              <w:t>Weighted primary</w:t>
            </w:r>
          </w:p>
        </w:tc>
        <w:tc>
          <w:tcPr>
            <w:tcW w:type="dxa" w:w="2448"/>
            <w:vAlign w:val="top"/>
          </w:tcPr>
          <w:p>
            <w:pPr>
              <w:keepNext w:val="0"/>
              <w:spacing w:after="0" w:line="240" w:lineRule="auto"/>
              <w:jc w:val="left"/>
            </w:pPr>
            <w:r>
              <w:rPr>
                <w:sz w:val="18"/>
              </w:rPr>
            </w:r>
            <w:r>
              <w:rPr>
                <w:rFonts w:ascii="Times New Roman" w:hAnsi="Times New Roman"/>
                <w:b/>
                <w:sz w:val="18"/>
              </w:rPr>
              <w:t>Unweighted sensitivity</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3024"/>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2448"/>
            <w:vAlign w:val="top"/>
          </w:tcPr>
          <w:p>
            <w:pPr>
              <w:keepNext w:val="0"/>
              <w:spacing w:after="0" w:line="240" w:lineRule="auto"/>
              <w:jc w:val="left"/>
            </w:pPr>
            <w:r>
              <w:rPr>
                <w:sz w:val="18"/>
              </w:rPr>
            </w:r>
            <w:r>
              <w:rPr>
                <w:rFonts w:ascii="Times New Roman" w:hAnsi="Times New Roman"/>
                <w:b w:val="0"/>
                <w:sz w:val="18"/>
              </w:rPr>
              <w:t>-0.052 [-0.814, 0.711]</w:t>
            </w:r>
          </w:p>
        </w:tc>
        <w:tc>
          <w:tcPr>
            <w:tcW w:type="dxa" w:w="2448"/>
            <w:vAlign w:val="top"/>
          </w:tcPr>
          <w:p>
            <w:pPr>
              <w:keepNext w:val="0"/>
              <w:spacing w:after="0" w:line="240" w:lineRule="auto"/>
              <w:jc w:val="left"/>
            </w:pPr>
            <w:r>
              <w:rPr>
                <w:sz w:val="18"/>
              </w:rPr>
            </w:r>
            <w:r>
              <w:rPr>
                <w:rFonts w:ascii="Times New Roman" w:hAnsi="Times New Roman"/>
                <w:b w:val="0"/>
                <w:sz w:val="18"/>
              </w:rPr>
              <w:t>0.001 [-0.852, 0.853]</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3024"/>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2448"/>
            <w:vAlign w:val="top"/>
          </w:tcPr>
          <w:p>
            <w:pPr>
              <w:keepNext w:val="0"/>
              <w:spacing w:after="0" w:line="240" w:lineRule="auto"/>
              <w:jc w:val="left"/>
            </w:pPr>
            <w:r>
              <w:rPr>
                <w:sz w:val="18"/>
              </w:rPr>
            </w:r>
            <w:r>
              <w:rPr>
                <w:rFonts w:ascii="Times New Roman" w:hAnsi="Times New Roman"/>
                <w:b w:val="0"/>
                <w:sz w:val="18"/>
              </w:rPr>
              <w:t>-0.584 [-1.255, 0.087]</w:t>
            </w:r>
          </w:p>
        </w:tc>
        <w:tc>
          <w:tcPr>
            <w:tcW w:type="dxa" w:w="2448"/>
            <w:vAlign w:val="top"/>
          </w:tcPr>
          <w:p>
            <w:pPr>
              <w:keepNext w:val="0"/>
              <w:spacing w:after="0" w:line="240" w:lineRule="auto"/>
              <w:jc w:val="left"/>
            </w:pPr>
            <w:r>
              <w:rPr>
                <w:sz w:val="18"/>
              </w:rPr>
            </w:r>
            <w:r>
              <w:rPr>
                <w:rFonts w:ascii="Times New Roman" w:hAnsi="Times New Roman"/>
                <w:b w:val="0"/>
                <w:sz w:val="18"/>
              </w:rPr>
              <w:t>-0.880 [-1.664, -0.096]</w:t>
            </w:r>
          </w:p>
        </w:tc>
      </w:tr>
      <w:tr>
        <w:tc>
          <w:tcPr>
            <w:tcW w:type="dxa" w:w="2160"/>
            <w:vAlign w:val="top"/>
          </w:tcPr>
          <w:p>
            <w:pPr>
              <w:keepNext w:val="0"/>
              <w:spacing w:after="0" w:line="240" w:lineRule="auto"/>
              <w:jc w:val="left"/>
            </w:pPr>
            <w:r>
              <w:rPr>
                <w:sz w:val="18"/>
              </w:rPr>
            </w:r>
            <w:r>
              <w:rPr>
                <w:rFonts w:ascii="Times New Roman" w:hAnsi="Times New Roman"/>
                <w:b w:val="0"/>
                <w:sz w:val="18"/>
              </w:rPr>
              <w:t>Tree-cover loss</w:t>
            </w:r>
          </w:p>
        </w:tc>
        <w:tc>
          <w:tcPr>
            <w:tcW w:type="dxa" w:w="3024"/>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2448"/>
            <w:vAlign w:val="top"/>
          </w:tcPr>
          <w:p>
            <w:pPr>
              <w:keepNext w:val="0"/>
              <w:spacing w:after="0" w:line="240" w:lineRule="auto"/>
              <w:jc w:val="left"/>
            </w:pPr>
            <w:r>
              <w:rPr>
                <w:sz w:val="18"/>
              </w:rPr>
            </w:r>
            <w:r>
              <w:rPr>
                <w:rFonts w:ascii="Times New Roman" w:hAnsi="Times New Roman"/>
                <w:b w:val="0"/>
                <w:sz w:val="18"/>
              </w:rPr>
              <w:t>-0.532 [-1.321, 0.256]</w:t>
            </w:r>
          </w:p>
        </w:tc>
        <w:tc>
          <w:tcPr>
            <w:tcW w:type="dxa" w:w="2448"/>
            <w:vAlign w:val="top"/>
          </w:tcPr>
          <w:p>
            <w:pPr>
              <w:keepNext w:val="0"/>
              <w:spacing w:after="0" w:line="240" w:lineRule="auto"/>
              <w:jc w:val="left"/>
            </w:pPr>
            <w:r>
              <w:rPr>
                <w:sz w:val="18"/>
              </w:rPr>
            </w:r>
            <w:r>
              <w:rPr>
                <w:rFonts w:ascii="Times New Roman" w:hAnsi="Times New Roman"/>
                <w:b w:val="0"/>
                <w:sz w:val="18"/>
              </w:rPr>
              <w:t>-0.881 [-1.814, 0.052]</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024"/>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2448"/>
            <w:vAlign w:val="top"/>
          </w:tcPr>
          <w:p>
            <w:pPr>
              <w:keepNext w:val="0"/>
              <w:spacing w:after="0" w:line="240" w:lineRule="auto"/>
              <w:jc w:val="left"/>
            </w:pPr>
            <w:r>
              <w:rPr>
                <w:sz w:val="18"/>
              </w:rPr>
            </w:r>
            <w:r>
              <w:rPr>
                <w:rFonts w:ascii="Times New Roman" w:hAnsi="Times New Roman"/>
                <w:b w:val="0"/>
                <w:sz w:val="18"/>
              </w:rPr>
              <w:t>-0.065 [-0.634, 0.505]</w:t>
            </w:r>
          </w:p>
        </w:tc>
        <w:tc>
          <w:tcPr>
            <w:tcW w:type="dxa" w:w="2448"/>
            <w:vAlign w:val="top"/>
          </w:tcPr>
          <w:p>
            <w:pPr>
              <w:keepNext w:val="0"/>
              <w:spacing w:after="0" w:line="240" w:lineRule="auto"/>
              <w:jc w:val="left"/>
            </w:pPr>
            <w:r>
              <w:rPr>
                <w:sz w:val="18"/>
              </w:rPr>
            </w:r>
            <w:r>
              <w:rPr>
                <w:rFonts w:ascii="Times New Roman" w:hAnsi="Times New Roman"/>
                <w:b w:val="0"/>
                <w:sz w:val="18"/>
              </w:rPr>
              <w:t>-0.294 [-0.937, 0.348]</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024"/>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2448"/>
            <w:vAlign w:val="top"/>
          </w:tcPr>
          <w:p>
            <w:pPr>
              <w:keepNext w:val="0"/>
              <w:spacing w:after="0" w:line="240" w:lineRule="auto"/>
              <w:jc w:val="left"/>
            </w:pPr>
            <w:r>
              <w:rPr>
                <w:sz w:val="18"/>
              </w:rPr>
            </w:r>
            <w:r>
              <w:rPr>
                <w:rFonts w:ascii="Times New Roman" w:hAnsi="Times New Roman"/>
                <w:b w:val="0"/>
                <w:sz w:val="18"/>
              </w:rPr>
              <w:t>-0.633 [-1.244, -0.023]</w:t>
            </w:r>
          </w:p>
        </w:tc>
        <w:tc>
          <w:tcPr>
            <w:tcW w:type="dxa" w:w="2448"/>
            <w:vAlign w:val="top"/>
          </w:tcPr>
          <w:p>
            <w:pPr>
              <w:keepNext w:val="0"/>
              <w:spacing w:after="0" w:line="240" w:lineRule="auto"/>
              <w:jc w:val="left"/>
            </w:pPr>
            <w:r>
              <w:rPr>
                <w:sz w:val="18"/>
              </w:rPr>
            </w:r>
            <w:r>
              <w:rPr>
                <w:rFonts w:ascii="Times New Roman" w:hAnsi="Times New Roman"/>
                <w:b w:val="0"/>
                <w:sz w:val="18"/>
              </w:rPr>
              <w:t>-0.526 [-0.916, -0.135]</w:t>
            </w:r>
          </w:p>
        </w:tc>
      </w:tr>
      <w:tr>
        <w:tc>
          <w:tcPr>
            <w:tcW w:type="dxa" w:w="216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3024"/>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2448"/>
            <w:vAlign w:val="top"/>
          </w:tcPr>
          <w:p>
            <w:pPr>
              <w:keepNext w:val="0"/>
              <w:spacing w:after="0" w:line="240" w:lineRule="auto"/>
              <w:jc w:val="left"/>
            </w:pPr>
            <w:r>
              <w:rPr>
                <w:sz w:val="18"/>
              </w:rPr>
            </w:r>
            <w:r>
              <w:rPr>
                <w:rFonts w:ascii="Times New Roman" w:hAnsi="Times New Roman"/>
                <w:b w:val="0"/>
                <w:sz w:val="18"/>
              </w:rPr>
              <w:t>-0.569 [-1.001, -0.137]</w:t>
            </w:r>
          </w:p>
        </w:tc>
        <w:tc>
          <w:tcPr>
            <w:tcW w:type="dxa" w:w="2448"/>
            <w:vAlign w:val="top"/>
          </w:tcPr>
          <w:p>
            <w:pPr>
              <w:keepNext w:val="0"/>
              <w:spacing w:after="0" w:line="240" w:lineRule="auto"/>
              <w:jc w:val="left"/>
            </w:pPr>
            <w:r>
              <w:rPr>
                <w:sz w:val="18"/>
              </w:rPr>
            </w:r>
            <w:r>
              <w:rPr>
                <w:rFonts w:ascii="Times New Roman" w:hAnsi="Times New Roman"/>
                <w:b w:val="0"/>
                <w:sz w:val="18"/>
              </w:rPr>
              <w:t>-0.232 [-0.812, 0.349]</w:t>
            </w:r>
          </w:p>
        </w:tc>
      </w:tr>
    </w:tbl>
    <w:p>
      <w:pPr>
        <w:widowControl/>
      </w:pPr>
    </w:p>
    <w:p>
      <w:pPr>
        <w:pStyle w:val="Caption"/>
        <w:widowControl/>
      </w:pPr>
      <w:r>
        <w:t>Table S11. Measurement-threshold and spatial-domain sensitivity of pooled profile-specific contrasts and pairwise profile differences. Cells contain estimate [95% CI] where available. The 25% / 10 km specification is primary. At the 50% tree-cover-loss threshold, only 79 events remained and all three profile estimates attenuated towards zero.</w:t>
      </w:r>
    </w:p>
    <w:p>
      <w:pPr>
        <w:pStyle w:val="BodyText"/>
        <w:keepNext/>
        <w:widowControl/>
      </w:pPr>
      <w:r>
        <w:rPr>
          <w:b/>
        </w:rPr>
        <w:t>Panel A. Measurement-threshold sensitivity within the 10 km corridor.</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728"/>
        <w:gridCol w:w="1728"/>
        <w:gridCol w:w="1728"/>
        <w:gridCol w:w="1728"/>
        <w:gridCol w:w="1728"/>
        <w:gridCol w:w="1728"/>
      </w:tblGrid>
      <w:tr>
        <w:trPr>
          <w:tblHeader w:val="true"/>
          <w:tblHeader/>
        </w:trPr>
        <w:tc>
          <w:tcPr>
            <w:tcW w:type="dxa" w:w="1512"/>
            <w:vAlign w:val="top"/>
          </w:tcPr>
          <w:p>
            <w:pPr>
              <w:keepNext w:val="0"/>
              <w:spacing w:after="0" w:line="240" w:lineRule="auto"/>
              <w:jc w:val="left"/>
            </w:pPr>
            <w:r>
              <w:rPr>
                <w:sz w:val="18"/>
              </w:rPr>
            </w:r>
            <w:r>
              <w:rPr>
                <w:rFonts w:ascii="Times New Roman" w:hAnsi="Times New Roman"/>
                <w:b/>
                <w:sz w:val="18"/>
              </w:rPr>
              <w:t>Outcome</w:t>
            </w:r>
          </w:p>
        </w:tc>
        <w:tc>
          <w:tcPr>
            <w:tcW w:type="dxa" w:w="1296"/>
            <w:vAlign w:val="top"/>
          </w:tcPr>
          <w:p>
            <w:pPr>
              <w:keepNext w:val="0"/>
              <w:spacing w:after="0" w:line="240" w:lineRule="auto"/>
              <w:jc w:val="left"/>
            </w:pPr>
            <w:r>
              <w:rPr>
                <w:sz w:val="18"/>
              </w:rPr>
            </w:r>
            <w:r>
              <w:rPr>
                <w:rFonts w:ascii="Times New Roman" w:hAnsi="Times New Roman"/>
                <w:b/>
                <w:sz w:val="18"/>
              </w:rPr>
              <w:t>Contrast type</w:t>
            </w:r>
          </w:p>
        </w:tc>
        <w:tc>
          <w:tcPr>
            <w:tcW w:type="dxa" w:w="2880"/>
            <w:vAlign w:val="top"/>
          </w:tcPr>
          <w:p>
            <w:pPr>
              <w:keepNext w:val="0"/>
              <w:spacing w:after="0" w:line="240" w:lineRule="auto"/>
              <w:jc w:val="left"/>
            </w:pPr>
            <w:r>
              <w:rPr>
                <w:sz w:val="18"/>
              </w:rPr>
            </w:r>
            <w:r>
              <w:rPr>
                <w:rFonts w:ascii="Times New Roman" w:hAnsi="Times New Roman"/>
                <w:b/>
                <w:sz w:val="18"/>
              </w:rPr>
              <w:t>Profile / pairwise difference</w:t>
            </w:r>
          </w:p>
        </w:tc>
        <w:tc>
          <w:tcPr>
            <w:tcW w:type="dxa" w:w="1440"/>
            <w:vAlign w:val="top"/>
          </w:tcPr>
          <w:p>
            <w:pPr>
              <w:keepNext w:val="0"/>
              <w:spacing w:after="0" w:line="240" w:lineRule="auto"/>
              <w:jc w:val="left"/>
            </w:pPr>
            <w:r>
              <w:rPr>
                <w:sz w:val="18"/>
              </w:rPr>
            </w:r>
            <w:r>
              <w:rPr>
                <w:rFonts w:ascii="Times New Roman" w:hAnsi="Times New Roman"/>
                <w:b/>
                <w:sz w:val="18"/>
              </w:rPr>
              <w:t>10%</w:t>
            </w:r>
          </w:p>
        </w:tc>
        <w:tc>
          <w:tcPr>
            <w:tcW w:type="dxa" w:w="1656"/>
            <w:vAlign w:val="top"/>
          </w:tcPr>
          <w:p>
            <w:pPr>
              <w:keepNext w:val="0"/>
              <w:spacing w:after="0" w:line="240" w:lineRule="auto"/>
              <w:jc w:val="left"/>
            </w:pPr>
            <w:r>
              <w:rPr>
                <w:sz w:val="18"/>
              </w:rPr>
            </w:r>
            <w:r>
              <w:rPr>
                <w:rFonts w:ascii="Times New Roman" w:hAnsi="Times New Roman"/>
                <w:b/>
                <w:sz w:val="18"/>
              </w:rPr>
              <w:t>25% (primary)</w:t>
            </w:r>
          </w:p>
        </w:tc>
        <w:tc>
          <w:tcPr>
            <w:tcW w:type="dxa" w:w="1440"/>
            <w:vAlign w:val="top"/>
          </w:tcPr>
          <w:p>
            <w:pPr>
              <w:keepNext w:val="0"/>
              <w:spacing w:after="0" w:line="240" w:lineRule="auto"/>
              <w:jc w:val="left"/>
            </w:pPr>
            <w:r>
              <w:rPr>
                <w:sz w:val="18"/>
              </w:rPr>
            </w:r>
            <w:r>
              <w:rPr>
                <w:rFonts w:ascii="Times New Roman" w:hAnsi="Times New Roman"/>
                <w:b/>
                <w:sz w:val="18"/>
              </w:rPr>
              <w:t>50%</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spacing w:after="0" w:line="240" w:lineRule="auto"/>
              <w:jc w:val="left"/>
            </w:pPr>
            <w:r>
              <w:rPr>
                <w:sz w:val="18"/>
              </w:rPr>
            </w:r>
            <w:r>
              <w:rPr>
                <w:rFonts w:ascii="Times New Roman" w:hAnsi="Times New Roman"/>
                <w:b w:val="0"/>
                <w:sz w:val="18"/>
              </w:rPr>
              <w:t>-0.883 [-1.204, -0.561]</w:t>
            </w:r>
          </w:p>
        </w:tc>
        <w:tc>
          <w:tcPr>
            <w:tcW w:type="dxa" w:w="1656"/>
            <w:vAlign w:val="top"/>
          </w:tcPr>
          <w:p>
            <w:pPr>
              <w:keepNext w:val="0"/>
              <w:spacing w:after="0" w:line="240" w:lineRule="auto"/>
              <w:jc w:val="left"/>
            </w:pPr>
            <w:r>
              <w:rPr>
                <w:sz w:val="18"/>
              </w:rPr>
            </w:r>
            <w:r>
              <w:rPr>
                <w:rFonts w:ascii="Times New Roman" w:hAnsi="Times New Roman"/>
                <w:b w:val="0"/>
                <w:sz w:val="18"/>
              </w:rPr>
              <w:t>-0.846 [-1.293, -0.399]</w:t>
            </w:r>
          </w:p>
        </w:tc>
        <w:tc>
          <w:tcPr>
            <w:tcW w:type="dxa" w:w="1440"/>
            <w:vAlign w:val="top"/>
          </w:tcPr>
          <w:p>
            <w:pPr>
              <w:keepNext w:val="0"/>
              <w:spacing w:after="0" w:line="240" w:lineRule="auto"/>
              <w:jc w:val="left"/>
            </w:pPr>
            <w:r>
              <w:rPr>
                <w:sz w:val="18"/>
              </w:rPr>
            </w:r>
            <w:r>
              <w:rPr>
                <w:rFonts w:ascii="Times New Roman" w:hAnsi="Times New Roman"/>
                <w:b w:val="0"/>
                <w:sz w:val="18"/>
              </w:rPr>
              <w:t>0.054 [-0.332, 0.440]</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spacing w:after="0" w:line="240" w:lineRule="auto"/>
              <w:jc w:val="left"/>
            </w:pPr>
            <w:r>
              <w:rPr>
                <w:sz w:val="18"/>
              </w:rPr>
            </w:r>
            <w:r>
              <w:rPr>
                <w:rFonts w:ascii="Times New Roman" w:hAnsi="Times New Roman"/>
                <w:b w:val="0"/>
                <w:sz w:val="18"/>
              </w:rPr>
              <w:t>-1.170 [-1.714, -0.626]</w:t>
            </w:r>
          </w:p>
        </w:tc>
        <w:tc>
          <w:tcPr>
            <w:tcW w:type="dxa" w:w="1656"/>
            <w:vAlign w:val="top"/>
          </w:tcPr>
          <w:p>
            <w:pPr>
              <w:keepNext w:val="0"/>
              <w:spacing w:after="0" w:line="240" w:lineRule="auto"/>
              <w:jc w:val="left"/>
            </w:pPr>
            <w:r>
              <w:rPr>
                <w:sz w:val="18"/>
              </w:rPr>
            </w:r>
            <w:r>
              <w:rPr>
                <w:rFonts w:ascii="Times New Roman" w:hAnsi="Times New Roman"/>
                <w:b w:val="0"/>
                <w:sz w:val="18"/>
              </w:rPr>
              <w:t>-0.898 [-1.509, -0.287]</w:t>
            </w:r>
          </w:p>
        </w:tc>
        <w:tc>
          <w:tcPr>
            <w:tcW w:type="dxa" w:w="1440"/>
            <w:vAlign w:val="top"/>
          </w:tcPr>
          <w:p>
            <w:pPr>
              <w:keepNext w:val="0"/>
              <w:spacing w:after="0" w:line="240" w:lineRule="auto"/>
              <w:jc w:val="left"/>
            </w:pPr>
            <w:r>
              <w:rPr>
                <w:sz w:val="18"/>
              </w:rPr>
            </w:r>
            <w:r>
              <w:rPr>
                <w:rFonts w:ascii="Times New Roman" w:hAnsi="Times New Roman"/>
                <w:b w:val="0"/>
                <w:sz w:val="18"/>
              </w:rPr>
              <w:t>-0.334 [-0.816, 0.147]</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spacing w:after="0" w:line="240" w:lineRule="auto"/>
              <w:jc w:val="left"/>
            </w:pPr>
            <w:r>
              <w:rPr>
                <w:sz w:val="18"/>
              </w:rPr>
            </w:r>
            <w:r>
              <w:rPr>
                <w:rFonts w:ascii="Times New Roman" w:hAnsi="Times New Roman"/>
                <w:b w:val="0"/>
                <w:sz w:val="18"/>
              </w:rPr>
              <w:t>-1.443 [-1.889, -0.997]</w:t>
            </w:r>
          </w:p>
        </w:tc>
        <w:tc>
          <w:tcPr>
            <w:tcW w:type="dxa" w:w="1656"/>
            <w:vAlign w:val="top"/>
          </w:tcPr>
          <w:p>
            <w:pPr>
              <w:keepNext w:val="0"/>
              <w:spacing w:after="0" w:line="240" w:lineRule="auto"/>
              <w:jc w:val="left"/>
            </w:pPr>
            <w:r>
              <w:rPr>
                <w:sz w:val="18"/>
              </w:rPr>
            </w:r>
            <w:r>
              <w:rPr>
                <w:rFonts w:ascii="Times New Roman" w:hAnsi="Times New Roman"/>
                <w:b w:val="0"/>
                <w:sz w:val="18"/>
              </w:rPr>
              <w:t>-1.430 [-1.941, -0.919]</w:t>
            </w:r>
          </w:p>
        </w:tc>
        <w:tc>
          <w:tcPr>
            <w:tcW w:type="dxa" w:w="1440"/>
            <w:vAlign w:val="top"/>
          </w:tcPr>
          <w:p>
            <w:pPr>
              <w:keepNext w:val="0"/>
              <w:spacing w:after="0" w:line="240" w:lineRule="auto"/>
              <w:jc w:val="left"/>
            </w:pPr>
            <w:r>
              <w:rPr>
                <w:sz w:val="18"/>
              </w:rPr>
            </w:r>
            <w:r>
              <w:rPr>
                <w:rFonts w:ascii="Times New Roman" w:hAnsi="Times New Roman"/>
                <w:b w:val="0"/>
                <w:sz w:val="18"/>
              </w:rPr>
              <w:t>-0.018 [-0.521, 0.484]</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-0.287 [-0.920, 0.345]</w:t>
            </w:r>
          </w:p>
        </w:tc>
        <w:tc>
          <w:tcPr>
            <w:tcW w:type="dxa" w:w="1656"/>
            <w:vAlign w:val="top"/>
          </w:tcPr>
          <w:p>
            <w:pPr>
              <w:keepNext w:val="0"/>
              <w:spacing w:after="0" w:line="240" w:lineRule="auto"/>
              <w:jc w:val="left"/>
            </w:pPr>
            <w:r>
              <w:rPr>
                <w:sz w:val="18"/>
              </w:rPr>
            </w:r>
            <w:r>
              <w:rPr>
                <w:rFonts w:ascii="Times New Roman" w:hAnsi="Times New Roman"/>
                <w:b w:val="0"/>
                <w:sz w:val="18"/>
              </w:rPr>
              <w:t>-0.052 [-0.814, 0.711]</w:t>
            </w:r>
          </w:p>
        </w:tc>
        <w:tc>
          <w:tcPr>
            <w:tcW w:type="dxa" w:w="1440"/>
            <w:vAlign w:val="top"/>
          </w:tcPr>
          <w:p>
            <w:pPr>
              <w:keepNext w:val="0"/>
              <w:spacing w:after="0" w:line="240" w:lineRule="auto"/>
              <w:jc w:val="left"/>
            </w:pPr>
            <w:r>
              <w:rPr>
                <w:sz w:val="18"/>
              </w:rPr>
            </w:r>
            <w:r>
              <w:rPr>
                <w:rFonts w:ascii="Times New Roman" w:hAnsi="Times New Roman"/>
                <w:b w:val="0"/>
                <w:sz w:val="18"/>
              </w:rPr>
              <w:t>-0.389 [-1.023, 0.246]</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-0.560 [-1.084, -0.036]</w:t>
            </w:r>
          </w:p>
        </w:tc>
        <w:tc>
          <w:tcPr>
            <w:tcW w:type="dxa" w:w="1656"/>
            <w:vAlign w:val="top"/>
          </w:tcPr>
          <w:p>
            <w:pPr>
              <w:keepNext w:val="0"/>
              <w:spacing w:after="0" w:line="240" w:lineRule="auto"/>
              <w:jc w:val="left"/>
            </w:pPr>
            <w:r>
              <w:rPr>
                <w:sz w:val="18"/>
              </w:rPr>
            </w:r>
            <w:r>
              <w:rPr>
                <w:rFonts w:ascii="Times New Roman" w:hAnsi="Times New Roman"/>
                <w:b w:val="0"/>
                <w:sz w:val="18"/>
              </w:rPr>
              <w:t>-0.584 [-1.255, 0.087]</w:t>
            </w:r>
          </w:p>
        </w:tc>
        <w:tc>
          <w:tcPr>
            <w:tcW w:type="dxa" w:w="1440"/>
            <w:vAlign w:val="top"/>
          </w:tcPr>
          <w:p>
            <w:pPr>
              <w:keepNext w:val="0"/>
              <w:spacing w:after="0" w:line="240" w:lineRule="auto"/>
              <w:jc w:val="left"/>
            </w:pPr>
            <w:r>
              <w:rPr>
                <w:sz w:val="18"/>
              </w:rPr>
            </w:r>
            <w:r>
              <w:rPr>
                <w:rFonts w:ascii="Times New Roman" w:hAnsi="Times New Roman"/>
                <w:b w:val="0"/>
                <w:sz w:val="18"/>
              </w:rPr>
              <w:t>-0.072 [-0.716, 0.572]</w:t>
            </w:r>
          </w:p>
        </w:tc>
      </w:tr>
      <w:tr>
        <w:tc>
          <w:tcPr>
            <w:tcW w:type="dxa" w:w="1512"/>
            <w:vAlign w:val="top"/>
          </w:tcPr>
          <w:p>
            <w:pPr>
              <w:keepNext w:val="0"/>
              <w:spacing w:after="0" w:line="240" w:lineRule="auto"/>
              <w:jc w:val="left"/>
            </w:pPr>
            <w:r>
              <w:rPr>
                <w:sz w:val="18"/>
              </w:rPr>
            </w:r>
            <w:r>
              <w:rPr>
                <w:rFonts w:ascii="Times New Roman" w:hAnsi="Times New Roman"/>
                <w:b w:val="0"/>
                <w:sz w:val="18"/>
              </w:rPr>
              <w:t>Tree-cover loss</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spacing w:after="0" w:line="240" w:lineRule="auto"/>
              <w:jc w:val="left"/>
            </w:pPr>
            <w:r>
              <w:rPr>
                <w:sz w:val="18"/>
              </w:rPr>
            </w:r>
            <w:r>
              <w:rPr>
                <w:rFonts w:ascii="Times New Roman" w:hAnsi="Times New Roman"/>
                <w:b w:val="0"/>
                <w:sz w:val="18"/>
              </w:rPr>
              <w:t>-0.273 [-0.954, 0.408]</w:t>
            </w:r>
          </w:p>
        </w:tc>
        <w:tc>
          <w:tcPr>
            <w:tcW w:type="dxa" w:w="1656"/>
            <w:vAlign w:val="top"/>
          </w:tcPr>
          <w:p>
            <w:pPr>
              <w:keepNext w:val="0"/>
              <w:spacing w:after="0" w:line="240" w:lineRule="auto"/>
              <w:jc w:val="left"/>
            </w:pPr>
            <w:r>
              <w:rPr>
                <w:sz w:val="18"/>
              </w:rPr>
            </w:r>
            <w:r>
              <w:rPr>
                <w:rFonts w:ascii="Times New Roman" w:hAnsi="Times New Roman"/>
                <w:b w:val="0"/>
                <w:sz w:val="18"/>
              </w:rPr>
              <w:t>-0.532 [-1.321, 0.256]</w:t>
            </w:r>
          </w:p>
        </w:tc>
        <w:tc>
          <w:tcPr>
            <w:tcW w:type="dxa" w:w="1440"/>
            <w:vAlign w:val="top"/>
          </w:tcPr>
          <w:p>
            <w:pPr>
              <w:keepNext w:val="0"/>
              <w:spacing w:after="0" w:line="240" w:lineRule="auto"/>
              <w:jc w:val="left"/>
            </w:pPr>
            <w:r>
              <w:rPr>
                <w:sz w:val="18"/>
              </w:rPr>
            </w:r>
            <w:r>
              <w:rPr>
                <w:rFonts w:ascii="Times New Roman" w:hAnsi="Times New Roman"/>
                <w:b w:val="0"/>
                <w:sz w:val="18"/>
              </w:rPr>
              <w:t>0.316 [-0.380, 1.013]</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pPr>
            <w:r>
              <w:rPr>
                <w:sz w:val="18"/>
              </w:rPr>
              <w:t>0.156 [0.095, 0.217]</w:t>
            </w:r>
          </w:p>
        </w:tc>
        <w:tc>
          <w:tcPr>
            <w:tcW w:type="dxa" w:w="1656"/>
            <w:vAlign w:val="top"/>
          </w:tcPr>
          <w:p>
            <w:pPr>
              <w:keepNext w:val="0"/>
            </w:pPr>
            <w:r>
              <w:rPr>
                <w:sz w:val="18"/>
              </w:rPr>
              <w:t>0.170 [0.112, 0.229]</w:t>
            </w:r>
          </w:p>
        </w:tc>
        <w:tc>
          <w:tcPr>
            <w:tcW w:type="dxa" w:w="1440"/>
            <w:vAlign w:val="top"/>
          </w:tcPr>
          <w:p>
            <w:pPr>
              <w:keepNext w:val="0"/>
            </w:pPr>
            <w:r>
              <w:rPr>
                <w:sz w:val="18"/>
              </w:rPr>
              <w:t>0.179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pPr>
            <w:r>
              <w:rPr>
                <w:sz w:val="18"/>
              </w:rPr>
              <w:t>-0.011 [-0.079, 0.057]</w:t>
            </w:r>
          </w:p>
        </w:tc>
        <w:tc>
          <w:tcPr>
            <w:tcW w:type="dxa" w:w="1656"/>
            <w:vAlign w:val="top"/>
          </w:tcPr>
          <w:p>
            <w:pPr>
              <w:keepNext w:val="0"/>
            </w:pPr>
            <w:r>
              <w:rPr>
                <w:sz w:val="18"/>
              </w:rPr>
              <w:t>0.011 [-0.054, 0.075]</w:t>
            </w:r>
          </w:p>
        </w:tc>
        <w:tc>
          <w:tcPr>
            <w:tcW w:type="dxa" w:w="1440"/>
            <w:vAlign w:val="top"/>
          </w:tcPr>
          <w:p>
            <w:pPr>
              <w:keepNext w:val="0"/>
            </w:pPr>
            <w:r>
              <w:rPr>
                <w:sz w:val="18"/>
              </w:rPr>
              <w:t>0.020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pPr>
            <w:r>
              <w:rPr>
                <w:sz w:val="18"/>
              </w:rPr>
              <w:t>0.044 [-0.019, 0.106]</w:t>
            </w:r>
          </w:p>
        </w:tc>
        <w:tc>
          <w:tcPr>
            <w:tcW w:type="dxa" w:w="1656"/>
            <w:vAlign w:val="top"/>
          </w:tcPr>
          <w:p>
            <w:pPr>
              <w:keepNext w:val="0"/>
            </w:pPr>
            <w:r>
              <w:rPr>
                <w:sz w:val="18"/>
              </w:rPr>
              <w:t>0.068 [0.008, 0.128]</w:t>
            </w:r>
          </w:p>
        </w:tc>
        <w:tc>
          <w:tcPr>
            <w:tcW w:type="dxa" w:w="1440"/>
            <w:vAlign w:val="top"/>
          </w:tcPr>
          <w:p>
            <w:pPr>
              <w:keepNext w:val="0"/>
            </w:pPr>
            <w:r>
              <w:rPr>
                <w:sz w:val="18"/>
              </w:rPr>
              <w:t>0.089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pPr>
            <w:r>
              <w:rPr>
                <w:sz w:val="18"/>
              </w:rPr>
              <w:t>-0.167 [-0.258, -0.075]</w:t>
            </w:r>
          </w:p>
        </w:tc>
        <w:tc>
          <w:tcPr>
            <w:tcW w:type="dxa" w:w="1656"/>
            <w:vAlign w:val="top"/>
          </w:tcPr>
          <w:p>
            <w:pPr>
              <w:keepNext w:val="0"/>
            </w:pPr>
            <w:r>
              <w:rPr>
                <w:sz w:val="18"/>
              </w:rPr>
              <w:t>-0.160 [-0.247, -0.072]</w:t>
            </w:r>
          </w:p>
        </w:tc>
        <w:tc>
          <w:tcPr>
            <w:tcW w:type="dxa" w:w="1440"/>
            <w:vAlign w:val="top"/>
          </w:tcPr>
          <w:p>
            <w:pPr>
              <w:keepNext w:val="0"/>
            </w:pPr>
            <w:r>
              <w:rPr>
                <w:sz w:val="18"/>
              </w:rPr>
              <w:t>-0.159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pPr>
            <w:r>
              <w:rPr>
                <w:sz w:val="18"/>
              </w:rPr>
              <w:t>-0.112 [-0.200, -0.025]</w:t>
            </w:r>
          </w:p>
        </w:tc>
        <w:tc>
          <w:tcPr>
            <w:tcW w:type="dxa" w:w="1656"/>
            <w:vAlign w:val="top"/>
          </w:tcPr>
          <w:p>
            <w:pPr>
              <w:keepNext w:val="0"/>
            </w:pPr>
            <w:r>
              <w:rPr>
                <w:sz w:val="18"/>
              </w:rPr>
              <w:t>-0.102 [-0.186, -0.019]</w:t>
            </w:r>
          </w:p>
        </w:tc>
        <w:tc>
          <w:tcPr>
            <w:tcW w:type="dxa" w:w="1440"/>
            <w:vAlign w:val="top"/>
          </w:tcPr>
          <w:p>
            <w:pPr>
              <w:keepNext w:val="0"/>
            </w:pPr>
            <w:r>
              <w:rPr>
                <w:sz w:val="18"/>
              </w:rPr>
              <w:t>-0.091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Fire</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pPr>
            <w:r>
              <w:rPr>
                <w:sz w:val="18"/>
              </w:rPr>
              <w:t>0.054 [-0.038, 0.147]</w:t>
            </w:r>
          </w:p>
        </w:tc>
        <w:tc>
          <w:tcPr>
            <w:tcW w:type="dxa" w:w="1656"/>
            <w:vAlign w:val="top"/>
          </w:tcPr>
          <w:p>
            <w:pPr>
              <w:keepNext w:val="0"/>
            </w:pPr>
            <w:r>
              <w:rPr>
                <w:sz w:val="18"/>
              </w:rPr>
              <w:t>0.057 [-0.031, 0.145]</w:t>
            </w:r>
          </w:p>
        </w:tc>
        <w:tc>
          <w:tcPr>
            <w:tcW w:type="dxa" w:w="1440"/>
            <w:vAlign w:val="top"/>
          </w:tcPr>
          <w:p>
            <w:pPr>
              <w:keepNext w:val="0"/>
            </w:pPr>
            <w:r>
              <w:rPr>
                <w:sz w:val="18"/>
              </w:rPr>
              <w:t>0.069 [non-strict fit]</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spacing w:after="0" w:line="240" w:lineRule="auto"/>
              <w:jc w:val="left"/>
            </w:pPr>
            <w:r>
              <w:rPr>
                <w:sz w:val="18"/>
              </w:rPr>
            </w:r>
            <w:r>
              <w:rPr>
                <w:rFonts w:ascii="Times New Roman" w:hAnsi="Times New Roman"/>
                <w:b w:val="0"/>
                <w:sz w:val="18"/>
              </w:rPr>
              <w:t>0.113 [-0.336, 0.562]</w:t>
            </w:r>
          </w:p>
        </w:tc>
        <w:tc>
          <w:tcPr>
            <w:tcW w:type="dxa" w:w="1656"/>
            <w:vAlign w:val="top"/>
          </w:tcPr>
          <w:p>
            <w:pPr>
              <w:keepNext w:val="0"/>
              <w:spacing w:after="0" w:line="240" w:lineRule="auto"/>
              <w:jc w:val="left"/>
            </w:pPr>
            <w:r>
              <w:rPr>
                <w:sz w:val="18"/>
              </w:rPr>
            </w:r>
            <w:r>
              <w:rPr>
                <w:rFonts w:ascii="Times New Roman" w:hAnsi="Times New Roman"/>
                <w:b w:val="0"/>
                <w:sz w:val="18"/>
              </w:rPr>
              <w:t>0.286 [-0.164, 0.737]</w:t>
            </w:r>
          </w:p>
        </w:tc>
        <w:tc>
          <w:tcPr>
            <w:tcW w:type="dxa" w:w="1440"/>
            <w:vAlign w:val="top"/>
          </w:tcPr>
          <w:p>
            <w:pPr>
              <w:keepNext w:val="0"/>
              <w:spacing w:after="0" w:line="240" w:lineRule="auto"/>
              <w:jc w:val="left"/>
            </w:pPr>
            <w:r>
              <w:rPr>
                <w:sz w:val="18"/>
              </w:rPr>
            </w:r>
            <w:r>
              <w:rPr>
                <w:rFonts w:ascii="Times New Roman" w:hAnsi="Times New Roman"/>
                <w:b w:val="0"/>
                <w:sz w:val="18"/>
              </w:rPr>
              <w:t>-0.214 [-0.525, 0.097]</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spacing w:after="0" w:line="240" w:lineRule="auto"/>
              <w:jc w:val="left"/>
            </w:pPr>
            <w:r>
              <w:rPr>
                <w:sz w:val="18"/>
              </w:rPr>
            </w:r>
            <w:r>
              <w:rPr>
                <w:rFonts w:ascii="Times New Roman" w:hAnsi="Times New Roman"/>
                <w:b w:val="0"/>
                <w:sz w:val="18"/>
              </w:rPr>
              <w:t>-0.318 [-0.595, -0.041]</w:t>
            </w:r>
          </w:p>
        </w:tc>
        <w:tc>
          <w:tcPr>
            <w:tcW w:type="dxa" w:w="1656"/>
            <w:vAlign w:val="top"/>
          </w:tcPr>
          <w:p>
            <w:pPr>
              <w:keepNext w:val="0"/>
              <w:spacing w:after="0" w:line="240" w:lineRule="auto"/>
              <w:jc w:val="left"/>
            </w:pPr>
            <w:r>
              <w:rPr>
                <w:sz w:val="18"/>
              </w:rPr>
            </w:r>
            <w:r>
              <w:rPr>
                <w:rFonts w:ascii="Times New Roman" w:hAnsi="Times New Roman"/>
                <w:b w:val="0"/>
                <w:sz w:val="18"/>
              </w:rPr>
              <w:t>0.222 [-0.048, 0.492]</w:t>
            </w:r>
          </w:p>
        </w:tc>
        <w:tc>
          <w:tcPr>
            <w:tcW w:type="dxa" w:w="1440"/>
            <w:vAlign w:val="top"/>
          </w:tcPr>
          <w:p>
            <w:pPr>
              <w:keepNext w:val="0"/>
              <w:spacing w:after="0" w:line="240" w:lineRule="auto"/>
              <w:jc w:val="left"/>
            </w:pPr>
            <w:r>
              <w:rPr>
                <w:sz w:val="18"/>
              </w:rPr>
            </w:r>
            <w:r>
              <w:rPr>
                <w:rFonts w:ascii="Times New Roman" w:hAnsi="Times New Roman"/>
                <w:b w:val="0"/>
                <w:sz w:val="18"/>
              </w:rPr>
              <w:t>0.117 [-0.192, 0.426]</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Profile-specific</w:t>
            </w:r>
          </w:p>
        </w:tc>
        <w:tc>
          <w:tcPr>
            <w:tcW w:type="dxa" w:w="2880"/>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spacing w:after="0" w:line="240" w:lineRule="auto"/>
              <w:jc w:val="left"/>
            </w:pPr>
            <w:r>
              <w:rPr>
                <w:sz w:val="18"/>
              </w:rPr>
            </w:r>
            <w:r>
              <w:rPr>
                <w:rFonts w:ascii="Times New Roman" w:hAnsi="Times New Roman"/>
                <w:b w:val="0"/>
                <w:sz w:val="18"/>
              </w:rPr>
              <w:t>-1.125 [-1.321, -0.928]</w:t>
            </w:r>
          </w:p>
        </w:tc>
        <w:tc>
          <w:tcPr>
            <w:tcW w:type="dxa" w:w="1656"/>
            <w:vAlign w:val="top"/>
          </w:tcPr>
          <w:p>
            <w:pPr>
              <w:keepNext w:val="0"/>
              <w:spacing w:after="0" w:line="240" w:lineRule="auto"/>
              <w:jc w:val="left"/>
            </w:pPr>
            <w:r>
              <w:rPr>
                <w:sz w:val="18"/>
              </w:rPr>
            </w:r>
            <w:r>
              <w:rPr>
                <w:rFonts w:ascii="Times New Roman" w:hAnsi="Times New Roman"/>
                <w:b w:val="0"/>
                <w:sz w:val="18"/>
              </w:rPr>
              <w:t>-0.347 [-0.657, -0.037]</w:t>
            </w:r>
          </w:p>
        </w:tc>
        <w:tc>
          <w:tcPr>
            <w:tcW w:type="dxa" w:w="1440"/>
            <w:vAlign w:val="top"/>
          </w:tcPr>
          <w:p>
            <w:pPr>
              <w:keepNext w:val="0"/>
              <w:spacing w:after="0" w:line="240" w:lineRule="auto"/>
              <w:jc w:val="left"/>
            </w:pPr>
            <w:r>
              <w:rPr>
                <w:sz w:val="18"/>
              </w:rPr>
            </w:r>
            <w:r>
              <w:rPr>
                <w:rFonts w:ascii="Times New Roman" w:hAnsi="Times New Roman"/>
                <w:b w:val="0"/>
                <w:sz w:val="18"/>
              </w:rPr>
              <w:t>0.181 [-0.194, 0.556]</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-0.431 [-0.987, 0.124]</w:t>
            </w:r>
          </w:p>
        </w:tc>
        <w:tc>
          <w:tcPr>
            <w:tcW w:type="dxa" w:w="1656"/>
            <w:vAlign w:val="top"/>
          </w:tcPr>
          <w:p>
            <w:pPr>
              <w:keepNext w:val="0"/>
              <w:spacing w:after="0" w:line="240" w:lineRule="auto"/>
              <w:jc w:val="left"/>
            </w:pPr>
            <w:r>
              <w:rPr>
                <w:sz w:val="18"/>
              </w:rPr>
            </w:r>
            <w:r>
              <w:rPr>
                <w:rFonts w:ascii="Times New Roman" w:hAnsi="Times New Roman"/>
                <w:b w:val="0"/>
                <w:sz w:val="18"/>
              </w:rPr>
              <w:t>-0.065 [-0.634, 0.505]</w:t>
            </w:r>
          </w:p>
        </w:tc>
        <w:tc>
          <w:tcPr>
            <w:tcW w:type="dxa" w:w="1440"/>
            <w:vAlign w:val="top"/>
          </w:tcPr>
          <w:p>
            <w:pPr>
              <w:keepNext w:val="0"/>
              <w:spacing w:after="0" w:line="240" w:lineRule="auto"/>
              <w:jc w:val="left"/>
            </w:pPr>
            <w:r>
              <w:rPr>
                <w:sz w:val="18"/>
              </w:rPr>
            </w:r>
            <w:r>
              <w:rPr>
                <w:rFonts w:ascii="Times New Roman" w:hAnsi="Times New Roman"/>
                <w:b w:val="0"/>
                <w:sz w:val="18"/>
              </w:rPr>
              <w:t>0.331 [-0.129, 0.791]</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-1.238 [-1.755, -0.720]</w:t>
            </w:r>
          </w:p>
        </w:tc>
        <w:tc>
          <w:tcPr>
            <w:tcW w:type="dxa" w:w="1656"/>
            <w:vAlign w:val="top"/>
          </w:tcPr>
          <w:p>
            <w:pPr>
              <w:keepNext w:val="0"/>
              <w:spacing w:after="0" w:line="240" w:lineRule="auto"/>
              <w:jc w:val="left"/>
            </w:pPr>
            <w:r>
              <w:rPr>
                <w:sz w:val="18"/>
              </w:rPr>
            </w:r>
            <w:r>
              <w:rPr>
                <w:rFonts w:ascii="Times New Roman" w:hAnsi="Times New Roman"/>
                <w:b w:val="0"/>
                <w:sz w:val="18"/>
              </w:rPr>
              <w:t>-0.633 [-1.244, -0.023]</w:t>
            </w:r>
          </w:p>
        </w:tc>
        <w:tc>
          <w:tcPr>
            <w:tcW w:type="dxa" w:w="1440"/>
            <w:vAlign w:val="top"/>
          </w:tcPr>
          <w:p>
            <w:pPr>
              <w:keepNext w:val="0"/>
              <w:spacing w:after="0" w:line="240" w:lineRule="auto"/>
              <w:jc w:val="left"/>
            </w:pPr>
            <w:r>
              <w:rPr>
                <w:sz w:val="18"/>
              </w:rPr>
            </w:r>
            <w:r>
              <w:rPr>
                <w:rFonts w:ascii="Times New Roman" w:hAnsi="Times New Roman"/>
                <w:b w:val="0"/>
                <w:sz w:val="18"/>
              </w:rPr>
              <w:t>0.395 [-0.156, 0.945]</w:t>
            </w:r>
          </w:p>
        </w:tc>
      </w:tr>
      <w:tr>
        <w:tc>
          <w:tcPr>
            <w:tcW w:type="dxa" w:w="1512"/>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96"/>
            <w:vAlign w:val="top"/>
          </w:tcPr>
          <w:p>
            <w:pPr>
              <w:keepNext w:val="0"/>
              <w:spacing w:after="0" w:line="240" w:lineRule="auto"/>
              <w:jc w:val="left"/>
            </w:pPr>
            <w:r>
              <w:rPr>
                <w:sz w:val="18"/>
              </w:rPr>
            </w:r>
            <w:r>
              <w:rPr>
                <w:rFonts w:ascii="Times New Roman" w:hAnsi="Times New Roman"/>
                <w:b w:val="0"/>
                <w:sz w:val="18"/>
              </w:rPr>
              <w:t>Pairwise difference</w:t>
            </w:r>
          </w:p>
        </w:tc>
        <w:tc>
          <w:tcPr>
            <w:tcW w:type="dxa" w:w="2880"/>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spacing w:after="0" w:line="240" w:lineRule="auto"/>
              <w:jc w:val="left"/>
            </w:pPr>
            <w:r>
              <w:rPr>
                <w:sz w:val="18"/>
              </w:rPr>
            </w:r>
            <w:r>
              <w:rPr>
                <w:rFonts w:ascii="Times New Roman" w:hAnsi="Times New Roman"/>
                <w:b w:val="0"/>
                <w:sz w:val="18"/>
              </w:rPr>
              <w:t>-0.806 [-1.110, -0.503]</w:t>
            </w:r>
          </w:p>
        </w:tc>
        <w:tc>
          <w:tcPr>
            <w:tcW w:type="dxa" w:w="1656"/>
            <w:vAlign w:val="top"/>
          </w:tcPr>
          <w:p>
            <w:pPr>
              <w:keepNext w:val="0"/>
              <w:spacing w:after="0" w:line="240" w:lineRule="auto"/>
              <w:jc w:val="left"/>
            </w:pPr>
            <w:r>
              <w:rPr>
                <w:sz w:val="18"/>
              </w:rPr>
            </w:r>
            <w:r>
              <w:rPr>
                <w:rFonts w:ascii="Times New Roman" w:hAnsi="Times New Roman"/>
                <w:b w:val="0"/>
                <w:sz w:val="18"/>
              </w:rPr>
              <w:t>-0.569 [-1.001, -0.137]</w:t>
            </w:r>
          </w:p>
        </w:tc>
        <w:tc>
          <w:tcPr>
            <w:tcW w:type="dxa" w:w="1440"/>
            <w:vAlign w:val="top"/>
          </w:tcPr>
          <w:p>
            <w:pPr>
              <w:keepNext w:val="0"/>
              <w:spacing w:after="0" w:line="240" w:lineRule="auto"/>
              <w:jc w:val="left"/>
            </w:pPr>
            <w:r>
              <w:rPr>
                <w:sz w:val="18"/>
              </w:rPr>
            </w:r>
            <w:r>
              <w:rPr>
                <w:rFonts w:ascii="Times New Roman" w:hAnsi="Times New Roman"/>
                <w:b w:val="0"/>
                <w:sz w:val="18"/>
              </w:rPr>
              <w:t>0.064 [-0.483, 0.611]</w:t>
            </w:r>
          </w:p>
        </w:tc>
      </w:tr>
    </w:tbl>
    <w:p>
      <w:pPr>
        <w:widowControl/>
      </w:pPr>
    </w:p>
    <w:p>
      <w:pPr>
        <w:pStyle w:val="BodyText"/>
        <w:keepNext/>
        <w:widowControl/>
      </w:pPr>
      <w:r>
        <w:rPr>
          <w:b/>
        </w:rPr>
        <w:t>Panel B. Spatial-domain sensitivity at the 25% threshold.</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481"/>
        <w:gridCol w:w="1481"/>
        <w:gridCol w:w="1481"/>
        <w:gridCol w:w="1481"/>
        <w:gridCol w:w="1481"/>
        <w:gridCol w:w="1481"/>
        <w:gridCol w:w="1481"/>
      </w:tblGrid>
      <w:tr>
        <w:trPr>
          <w:tblHeader w:val="true"/>
          <w:tblHeader/>
        </w:trPr>
        <w:tc>
          <w:tcPr>
            <w:tcW w:type="dxa" w:w="1440"/>
            <w:vAlign w:val="top"/>
          </w:tcPr>
          <w:p>
            <w:pPr>
              <w:keepNext w:val="0"/>
              <w:spacing w:after="0" w:line="240" w:lineRule="auto"/>
              <w:jc w:val="left"/>
            </w:pPr>
            <w:r>
              <w:rPr>
                <w:sz w:val="18"/>
              </w:rPr>
            </w:r>
            <w:r>
              <w:rPr>
                <w:rFonts w:ascii="Times New Roman" w:hAnsi="Times New Roman"/>
                <w:b/>
                <w:sz w:val="18"/>
              </w:rPr>
              <w:t>Outcome</w:t>
            </w:r>
          </w:p>
        </w:tc>
        <w:tc>
          <w:tcPr>
            <w:tcW w:type="dxa" w:w="1224"/>
            <w:vAlign w:val="top"/>
          </w:tcPr>
          <w:p>
            <w:pPr>
              <w:keepNext w:val="0"/>
              <w:spacing w:after="0" w:line="240" w:lineRule="auto"/>
              <w:jc w:val="left"/>
            </w:pPr>
            <w:r>
              <w:rPr>
                <w:sz w:val="18"/>
              </w:rPr>
            </w:r>
            <w:r>
              <w:rPr>
                <w:rFonts w:ascii="Times New Roman" w:hAnsi="Times New Roman"/>
                <w:b/>
                <w:sz w:val="18"/>
              </w:rPr>
              <w:t>Contrast type</w:t>
            </w:r>
          </w:p>
        </w:tc>
        <w:tc>
          <w:tcPr>
            <w:tcW w:type="dxa" w:w="2664"/>
            <w:vAlign w:val="top"/>
          </w:tcPr>
          <w:p>
            <w:pPr>
              <w:keepNext w:val="0"/>
              <w:spacing w:after="0" w:line="240" w:lineRule="auto"/>
              <w:jc w:val="left"/>
            </w:pPr>
            <w:r>
              <w:rPr>
                <w:sz w:val="18"/>
              </w:rPr>
            </w:r>
            <w:r>
              <w:rPr>
                <w:rFonts w:ascii="Times New Roman" w:hAnsi="Times New Roman"/>
                <w:b/>
                <w:sz w:val="18"/>
              </w:rPr>
              <w:t>Profile / pairwise difference</w:t>
            </w:r>
          </w:p>
        </w:tc>
        <w:tc>
          <w:tcPr>
            <w:tcW w:type="dxa" w:w="1440"/>
            <w:vAlign w:val="top"/>
          </w:tcPr>
          <w:p>
            <w:pPr>
              <w:keepNext w:val="0"/>
              <w:spacing w:after="0" w:line="240" w:lineRule="auto"/>
              <w:jc w:val="left"/>
            </w:pPr>
            <w:r>
              <w:rPr>
                <w:sz w:val="18"/>
              </w:rPr>
            </w:r>
            <w:r>
              <w:rPr>
                <w:rFonts w:ascii="Times New Roman" w:hAnsi="Times New Roman"/>
                <w:b/>
                <w:sz w:val="18"/>
              </w:rPr>
              <w:t>5 km</w:t>
            </w:r>
          </w:p>
        </w:tc>
        <w:tc>
          <w:tcPr>
            <w:tcW w:type="dxa" w:w="1656"/>
            <w:vAlign w:val="top"/>
          </w:tcPr>
          <w:p>
            <w:pPr>
              <w:keepNext w:val="0"/>
              <w:spacing w:after="0" w:line="240" w:lineRule="auto"/>
              <w:jc w:val="left"/>
            </w:pPr>
            <w:r>
              <w:rPr>
                <w:sz w:val="18"/>
              </w:rPr>
            </w:r>
            <w:r>
              <w:rPr>
                <w:rFonts w:ascii="Times New Roman" w:hAnsi="Times New Roman"/>
                <w:b/>
                <w:sz w:val="18"/>
              </w:rPr>
              <w:t>10 km (primary)</w:t>
            </w:r>
          </w:p>
        </w:tc>
        <w:tc>
          <w:tcPr>
            <w:tcW w:type="dxa" w:w="1440"/>
            <w:vAlign w:val="top"/>
          </w:tcPr>
          <w:p>
            <w:pPr>
              <w:keepNext w:val="0"/>
              <w:spacing w:after="0" w:line="240" w:lineRule="auto"/>
              <w:jc w:val="left"/>
            </w:pPr>
            <w:r>
              <w:rPr>
                <w:sz w:val="18"/>
              </w:rPr>
            </w:r>
            <w:r>
              <w:rPr>
                <w:rFonts w:ascii="Times New Roman" w:hAnsi="Times New Roman"/>
                <w:b/>
                <w:sz w:val="18"/>
              </w:rPr>
              <w:t>20 km</w:t>
            </w:r>
          </w:p>
        </w:tc>
        <w:tc>
          <w:tcPr>
            <w:tcW w:type="dxa" w:w="1584"/>
            <w:vAlign w:val="top"/>
          </w:tcPr>
          <w:p>
            <w:pPr>
              <w:keepNext w:val="0"/>
              <w:spacing w:after="0" w:line="240" w:lineRule="auto"/>
              <w:jc w:val="left"/>
            </w:pPr>
            <w:r>
              <w:rPr>
                <w:sz w:val="18"/>
              </w:rPr>
            </w:r>
            <w:r>
              <w:rPr>
                <w:rFonts w:ascii="Times New Roman" w:hAnsi="Times New Roman"/>
                <w:b/>
                <w:sz w:val="18"/>
              </w:rPr>
              <w:t>All cells</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spacing w:after="0" w:line="240" w:lineRule="auto"/>
              <w:jc w:val="left"/>
            </w:pPr>
            <w:r>
              <w:rPr>
                <w:sz w:val="18"/>
              </w:rPr>
            </w:r>
            <w:r>
              <w:rPr>
                <w:rFonts w:ascii="Times New Roman" w:hAnsi="Times New Roman"/>
                <w:b w:val="0"/>
                <w:sz w:val="18"/>
              </w:rPr>
              <w:t>-0.269 [-0.716, 0.177]</w:t>
            </w:r>
          </w:p>
        </w:tc>
        <w:tc>
          <w:tcPr>
            <w:tcW w:type="dxa" w:w="1656"/>
            <w:vAlign w:val="top"/>
          </w:tcPr>
          <w:p>
            <w:pPr>
              <w:keepNext w:val="0"/>
              <w:spacing w:after="0" w:line="240" w:lineRule="auto"/>
              <w:jc w:val="left"/>
            </w:pPr>
            <w:r>
              <w:rPr>
                <w:sz w:val="18"/>
              </w:rPr>
            </w:r>
            <w:r>
              <w:rPr>
                <w:rFonts w:ascii="Times New Roman" w:hAnsi="Times New Roman"/>
                <w:b w:val="0"/>
                <w:sz w:val="18"/>
              </w:rPr>
              <w:t>-0.846 [-1.293, -0.399]</w:t>
            </w:r>
          </w:p>
        </w:tc>
        <w:tc>
          <w:tcPr>
            <w:tcW w:type="dxa" w:w="1440"/>
            <w:vAlign w:val="top"/>
          </w:tcPr>
          <w:p>
            <w:pPr>
              <w:keepNext w:val="0"/>
              <w:spacing w:after="0" w:line="240" w:lineRule="auto"/>
              <w:jc w:val="left"/>
            </w:pPr>
            <w:r>
              <w:rPr>
                <w:sz w:val="18"/>
              </w:rPr>
            </w:r>
            <w:r>
              <w:rPr>
                <w:rFonts w:ascii="Times New Roman" w:hAnsi="Times New Roman"/>
                <w:b w:val="0"/>
                <w:sz w:val="18"/>
              </w:rPr>
              <w:t>-0.986 [-1.437, -0.535]</w:t>
            </w:r>
          </w:p>
        </w:tc>
        <w:tc>
          <w:tcPr>
            <w:tcW w:type="dxa" w:w="1584"/>
            <w:vAlign w:val="top"/>
          </w:tcPr>
          <w:p>
            <w:pPr>
              <w:keepNext w:val="0"/>
              <w:spacing w:after="0" w:line="240" w:lineRule="auto"/>
              <w:jc w:val="left"/>
            </w:pPr>
            <w:r>
              <w:rPr>
                <w:sz w:val="18"/>
              </w:rPr>
            </w:r>
            <w:r>
              <w:rPr>
                <w:rFonts w:ascii="Times New Roman" w:hAnsi="Times New Roman"/>
                <w:b w:val="0"/>
                <w:sz w:val="18"/>
              </w:rPr>
              <w:t>-1.172 [-1.727, -0.616]</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spacing w:after="0" w:line="240" w:lineRule="auto"/>
              <w:jc w:val="left"/>
            </w:pPr>
            <w:r>
              <w:rPr>
                <w:sz w:val="18"/>
              </w:rPr>
            </w:r>
            <w:r>
              <w:rPr>
                <w:rFonts w:ascii="Times New Roman" w:hAnsi="Times New Roman"/>
                <w:b w:val="0"/>
                <w:sz w:val="18"/>
              </w:rPr>
              <w:t>-0.382 [-0.945, 0.182]</w:t>
            </w:r>
          </w:p>
        </w:tc>
        <w:tc>
          <w:tcPr>
            <w:tcW w:type="dxa" w:w="1656"/>
            <w:vAlign w:val="top"/>
          </w:tcPr>
          <w:p>
            <w:pPr>
              <w:keepNext w:val="0"/>
              <w:spacing w:after="0" w:line="240" w:lineRule="auto"/>
              <w:jc w:val="left"/>
            </w:pPr>
            <w:r>
              <w:rPr>
                <w:sz w:val="18"/>
              </w:rPr>
            </w:r>
            <w:r>
              <w:rPr>
                <w:rFonts w:ascii="Times New Roman" w:hAnsi="Times New Roman"/>
                <w:b w:val="0"/>
                <w:sz w:val="18"/>
              </w:rPr>
              <w:t>-0.898 [-1.509, -0.287]</w:t>
            </w:r>
          </w:p>
        </w:tc>
        <w:tc>
          <w:tcPr>
            <w:tcW w:type="dxa" w:w="1440"/>
            <w:vAlign w:val="top"/>
          </w:tcPr>
          <w:p>
            <w:pPr>
              <w:keepNext w:val="0"/>
              <w:spacing w:after="0" w:line="240" w:lineRule="auto"/>
              <w:jc w:val="left"/>
            </w:pPr>
            <w:r>
              <w:rPr>
                <w:sz w:val="18"/>
              </w:rPr>
            </w:r>
            <w:r>
              <w:rPr>
                <w:rFonts w:ascii="Times New Roman" w:hAnsi="Times New Roman"/>
                <w:b w:val="0"/>
                <w:sz w:val="18"/>
              </w:rPr>
              <w:t>-1.400 [-2.104, -0.697]</w:t>
            </w:r>
          </w:p>
        </w:tc>
        <w:tc>
          <w:tcPr>
            <w:tcW w:type="dxa" w:w="1584"/>
            <w:vAlign w:val="top"/>
          </w:tcPr>
          <w:p>
            <w:pPr>
              <w:keepNext w:val="0"/>
              <w:spacing w:after="0" w:line="240" w:lineRule="auto"/>
              <w:jc w:val="left"/>
            </w:pPr>
            <w:r>
              <w:rPr>
                <w:sz w:val="18"/>
              </w:rPr>
            </w:r>
            <w:r>
              <w:rPr>
                <w:rFonts w:ascii="Times New Roman" w:hAnsi="Times New Roman"/>
                <w:b w:val="0"/>
                <w:sz w:val="18"/>
              </w:rPr>
              <w:t>-1.787 [-2.496, -1.078]</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spacing w:after="0" w:line="240" w:lineRule="auto"/>
              <w:jc w:val="left"/>
            </w:pPr>
            <w:r>
              <w:rPr>
                <w:sz w:val="18"/>
              </w:rPr>
            </w:r>
            <w:r>
              <w:rPr>
                <w:rFonts w:ascii="Times New Roman" w:hAnsi="Times New Roman"/>
                <w:b w:val="0"/>
                <w:sz w:val="18"/>
              </w:rPr>
              <w:t>-0.874 [-1.451, -0.298]</w:t>
            </w:r>
          </w:p>
        </w:tc>
        <w:tc>
          <w:tcPr>
            <w:tcW w:type="dxa" w:w="1656"/>
            <w:vAlign w:val="top"/>
          </w:tcPr>
          <w:p>
            <w:pPr>
              <w:keepNext w:val="0"/>
              <w:spacing w:after="0" w:line="240" w:lineRule="auto"/>
              <w:jc w:val="left"/>
            </w:pPr>
            <w:r>
              <w:rPr>
                <w:sz w:val="18"/>
              </w:rPr>
            </w:r>
            <w:r>
              <w:rPr>
                <w:rFonts w:ascii="Times New Roman" w:hAnsi="Times New Roman"/>
                <w:b w:val="0"/>
                <w:sz w:val="18"/>
              </w:rPr>
              <w:t>-1.430 [-1.941, -0.919]</w:t>
            </w:r>
          </w:p>
        </w:tc>
        <w:tc>
          <w:tcPr>
            <w:tcW w:type="dxa" w:w="1440"/>
            <w:vAlign w:val="top"/>
          </w:tcPr>
          <w:p>
            <w:pPr>
              <w:keepNext w:val="0"/>
              <w:spacing w:after="0" w:line="240" w:lineRule="auto"/>
              <w:jc w:val="left"/>
            </w:pPr>
            <w:r>
              <w:rPr>
                <w:sz w:val="18"/>
              </w:rPr>
            </w:r>
            <w:r>
              <w:rPr>
                <w:rFonts w:ascii="Times New Roman" w:hAnsi="Times New Roman"/>
                <w:b w:val="0"/>
                <w:sz w:val="18"/>
              </w:rPr>
              <w:t>-1.932 [-2.595, -1.270]</w:t>
            </w:r>
          </w:p>
        </w:tc>
        <w:tc>
          <w:tcPr>
            <w:tcW w:type="dxa" w:w="1584"/>
            <w:vAlign w:val="top"/>
          </w:tcPr>
          <w:p>
            <w:pPr>
              <w:keepNext w:val="0"/>
              <w:spacing w:after="0" w:line="240" w:lineRule="auto"/>
              <w:jc w:val="left"/>
            </w:pPr>
            <w:r>
              <w:rPr>
                <w:sz w:val="18"/>
              </w:rPr>
            </w:r>
            <w:r>
              <w:rPr>
                <w:rFonts w:ascii="Times New Roman" w:hAnsi="Times New Roman"/>
                <w:b w:val="0"/>
                <w:sz w:val="18"/>
              </w:rPr>
              <w:t>-2.604 [-3.400, -1.808]</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-0.113 [-0.820, 0.595]</w:t>
            </w:r>
          </w:p>
        </w:tc>
        <w:tc>
          <w:tcPr>
            <w:tcW w:type="dxa" w:w="1656"/>
            <w:vAlign w:val="top"/>
          </w:tcPr>
          <w:p>
            <w:pPr>
              <w:keepNext w:val="0"/>
              <w:spacing w:after="0" w:line="240" w:lineRule="auto"/>
              <w:jc w:val="left"/>
            </w:pPr>
            <w:r>
              <w:rPr>
                <w:sz w:val="18"/>
              </w:rPr>
            </w:r>
            <w:r>
              <w:rPr>
                <w:rFonts w:ascii="Times New Roman" w:hAnsi="Times New Roman"/>
                <w:b w:val="0"/>
                <w:sz w:val="18"/>
              </w:rPr>
              <w:t>-0.052 [-0.814, 0.711]</w:t>
            </w:r>
          </w:p>
        </w:tc>
        <w:tc>
          <w:tcPr>
            <w:tcW w:type="dxa" w:w="1440"/>
            <w:vAlign w:val="top"/>
          </w:tcPr>
          <w:p>
            <w:pPr>
              <w:keepNext w:val="0"/>
              <w:spacing w:after="0" w:line="240" w:lineRule="auto"/>
              <w:jc w:val="left"/>
            </w:pPr>
            <w:r>
              <w:rPr>
                <w:sz w:val="18"/>
              </w:rPr>
            </w:r>
            <w:r>
              <w:rPr>
                <w:rFonts w:ascii="Times New Roman" w:hAnsi="Times New Roman"/>
                <w:b w:val="0"/>
                <w:sz w:val="18"/>
              </w:rPr>
              <w:t>-0.414 [-1.228, 0.400]</w:t>
            </w:r>
          </w:p>
        </w:tc>
        <w:tc>
          <w:tcPr>
            <w:tcW w:type="dxa" w:w="1584"/>
            <w:vAlign w:val="top"/>
          </w:tcPr>
          <w:p>
            <w:pPr>
              <w:keepNext w:val="0"/>
              <w:spacing w:after="0" w:line="240" w:lineRule="auto"/>
              <w:jc w:val="left"/>
            </w:pPr>
            <w:r>
              <w:rPr>
                <w:sz w:val="18"/>
              </w:rPr>
            </w:r>
            <w:r>
              <w:rPr>
                <w:rFonts w:ascii="Times New Roman" w:hAnsi="Times New Roman"/>
                <w:b w:val="0"/>
                <w:sz w:val="18"/>
              </w:rPr>
              <w:t>-0.616 [-1.463, 0.231]</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-0.605 [-1.263, 0.052]</w:t>
            </w:r>
          </w:p>
        </w:tc>
        <w:tc>
          <w:tcPr>
            <w:tcW w:type="dxa" w:w="1656"/>
            <w:vAlign w:val="top"/>
          </w:tcPr>
          <w:p>
            <w:pPr>
              <w:keepNext w:val="0"/>
              <w:spacing w:after="0" w:line="240" w:lineRule="auto"/>
              <w:jc w:val="left"/>
            </w:pPr>
            <w:r>
              <w:rPr>
                <w:sz w:val="18"/>
              </w:rPr>
            </w:r>
            <w:r>
              <w:rPr>
                <w:rFonts w:ascii="Times New Roman" w:hAnsi="Times New Roman"/>
                <w:b w:val="0"/>
                <w:sz w:val="18"/>
              </w:rPr>
              <w:t>-0.584 [-1.255, 0.087]</w:t>
            </w:r>
          </w:p>
        </w:tc>
        <w:tc>
          <w:tcPr>
            <w:tcW w:type="dxa" w:w="1440"/>
            <w:vAlign w:val="top"/>
          </w:tcPr>
          <w:p>
            <w:pPr>
              <w:keepNext w:val="0"/>
              <w:spacing w:after="0" w:line="240" w:lineRule="auto"/>
              <w:jc w:val="left"/>
            </w:pPr>
            <w:r>
              <w:rPr>
                <w:sz w:val="18"/>
              </w:rPr>
            </w:r>
            <w:r>
              <w:rPr>
                <w:rFonts w:ascii="Times New Roman" w:hAnsi="Times New Roman"/>
                <w:b w:val="0"/>
                <w:sz w:val="18"/>
              </w:rPr>
              <w:t>-0.946 [-1.654, -0.239]</w:t>
            </w:r>
          </w:p>
        </w:tc>
        <w:tc>
          <w:tcPr>
            <w:tcW w:type="dxa" w:w="1584"/>
            <w:vAlign w:val="top"/>
          </w:tcPr>
          <w:p>
            <w:pPr>
              <w:keepNext w:val="0"/>
              <w:spacing w:after="0" w:line="240" w:lineRule="auto"/>
              <w:jc w:val="left"/>
            </w:pPr>
            <w:r>
              <w:rPr>
                <w:sz w:val="18"/>
              </w:rPr>
            </w:r>
            <w:r>
              <w:rPr>
                <w:rFonts w:ascii="Times New Roman" w:hAnsi="Times New Roman"/>
                <w:b w:val="0"/>
                <w:sz w:val="18"/>
              </w:rPr>
              <w:t>-1.432 [-2.157, -0.708]</w:t>
            </w:r>
          </w:p>
        </w:tc>
      </w:tr>
      <w:tr>
        <w:tc>
          <w:tcPr>
            <w:tcW w:type="dxa" w:w="1440"/>
            <w:vAlign w:val="top"/>
          </w:tcPr>
          <w:p>
            <w:pPr>
              <w:keepNext w:val="0"/>
              <w:spacing w:after="0" w:line="240" w:lineRule="auto"/>
              <w:jc w:val="left"/>
            </w:pPr>
            <w:r>
              <w:rPr>
                <w:sz w:val="18"/>
              </w:rPr>
            </w:r>
            <w:r>
              <w:rPr>
                <w:rFonts w:ascii="Times New Roman" w:hAnsi="Times New Roman"/>
                <w:b w:val="0"/>
                <w:sz w:val="18"/>
              </w:rPr>
              <w:t>Tree-cover loss</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spacing w:after="0" w:line="240" w:lineRule="auto"/>
              <w:jc w:val="left"/>
            </w:pPr>
            <w:r>
              <w:rPr>
                <w:sz w:val="18"/>
              </w:rPr>
            </w:r>
            <w:r>
              <w:rPr>
                <w:rFonts w:ascii="Times New Roman" w:hAnsi="Times New Roman"/>
                <w:b w:val="0"/>
                <w:sz w:val="18"/>
              </w:rPr>
              <w:t>-0.493 [-1.259, 0.274]</w:t>
            </w:r>
          </w:p>
        </w:tc>
        <w:tc>
          <w:tcPr>
            <w:tcW w:type="dxa" w:w="1656"/>
            <w:vAlign w:val="top"/>
          </w:tcPr>
          <w:p>
            <w:pPr>
              <w:keepNext w:val="0"/>
              <w:spacing w:after="0" w:line="240" w:lineRule="auto"/>
              <w:jc w:val="left"/>
            </w:pPr>
            <w:r>
              <w:rPr>
                <w:sz w:val="18"/>
              </w:rPr>
            </w:r>
            <w:r>
              <w:rPr>
                <w:rFonts w:ascii="Times New Roman" w:hAnsi="Times New Roman"/>
                <w:b w:val="0"/>
                <w:sz w:val="18"/>
              </w:rPr>
              <w:t>-0.532 [-1.321, 0.256]</w:t>
            </w:r>
          </w:p>
        </w:tc>
        <w:tc>
          <w:tcPr>
            <w:tcW w:type="dxa" w:w="1440"/>
            <w:vAlign w:val="top"/>
          </w:tcPr>
          <w:p>
            <w:pPr>
              <w:keepNext w:val="0"/>
              <w:spacing w:after="0" w:line="240" w:lineRule="auto"/>
              <w:jc w:val="left"/>
            </w:pPr>
            <w:r>
              <w:rPr>
                <w:sz w:val="18"/>
              </w:rPr>
            </w:r>
            <w:r>
              <w:rPr>
                <w:rFonts w:ascii="Times New Roman" w:hAnsi="Times New Roman"/>
                <w:b w:val="0"/>
                <w:sz w:val="18"/>
              </w:rPr>
              <w:t>-0.532 [-1.448, 0.383]</w:t>
            </w:r>
          </w:p>
        </w:tc>
        <w:tc>
          <w:tcPr>
            <w:tcW w:type="dxa" w:w="1584"/>
            <w:vAlign w:val="top"/>
          </w:tcPr>
          <w:p>
            <w:pPr>
              <w:keepNext w:val="0"/>
              <w:spacing w:after="0" w:line="240" w:lineRule="auto"/>
              <w:jc w:val="left"/>
            </w:pPr>
            <w:r>
              <w:rPr>
                <w:sz w:val="18"/>
              </w:rPr>
            </w:r>
            <w:r>
              <w:rPr>
                <w:rFonts w:ascii="Times New Roman" w:hAnsi="Times New Roman"/>
                <w:b w:val="0"/>
                <w:sz w:val="18"/>
              </w:rPr>
              <w:t>-0.817 [-1.720, 0.087]</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spacing w:after="0" w:line="240" w:lineRule="auto"/>
              <w:jc w:val="left"/>
            </w:pPr>
            <w:r>
              <w:rPr>
                <w:sz w:val="18"/>
              </w:rPr>
            </w:r>
            <w:r>
              <w:rPr>
                <w:rFonts w:ascii="Times New Roman" w:hAnsi="Times New Roman"/>
                <w:b w:val="0"/>
                <w:sz w:val="18"/>
              </w:rPr>
              <w:t>0.092</w:t>
            </w:r>
          </w:p>
        </w:tc>
        <w:tc>
          <w:tcPr>
            <w:tcW w:type="dxa" w:w="1656"/>
            <w:vAlign w:val="top"/>
          </w:tcPr>
          <w:p>
            <w:pPr>
              <w:keepNext w:val="0"/>
              <w:spacing w:after="0" w:line="240" w:lineRule="auto"/>
              <w:jc w:val="left"/>
            </w:pPr>
            <w:r>
              <w:rPr>
                <w:sz w:val="18"/>
              </w:rPr>
            </w:r>
            <w:r>
              <w:rPr>
                <w:rFonts w:ascii="Times New Roman" w:hAnsi="Times New Roman"/>
                <w:b w:val="0"/>
                <w:sz w:val="18"/>
              </w:rPr>
              <w:t>0.170 [0.112, 0.229]</w:t>
            </w:r>
          </w:p>
        </w:tc>
        <w:tc>
          <w:tcPr>
            <w:tcW w:type="dxa" w:w="1440"/>
            <w:vAlign w:val="top"/>
          </w:tcPr>
          <w:p>
            <w:pPr>
              <w:keepNext w:val="0"/>
              <w:spacing w:after="0" w:line="240" w:lineRule="auto"/>
              <w:jc w:val="left"/>
            </w:pPr>
            <w:r>
              <w:rPr>
                <w:sz w:val="18"/>
              </w:rPr>
            </w:r>
            <w:r>
              <w:rPr>
                <w:rFonts w:ascii="Times New Roman" w:hAnsi="Times New Roman"/>
                <w:b w:val="0"/>
                <w:sz w:val="18"/>
              </w:rPr>
              <w:t>0.194</w:t>
            </w:r>
          </w:p>
        </w:tc>
        <w:tc>
          <w:tcPr>
            <w:tcW w:type="dxa" w:w="1584"/>
            <w:vAlign w:val="top"/>
          </w:tcPr>
          <w:p>
            <w:pPr>
              <w:keepNext w:val="0"/>
              <w:spacing w:after="0" w:line="240" w:lineRule="auto"/>
              <w:jc w:val="left"/>
            </w:pPr>
            <w:r>
              <w:rPr>
                <w:sz w:val="18"/>
              </w:rPr>
            </w:r>
            <w:r>
              <w:rPr>
                <w:rFonts w:ascii="Times New Roman" w:hAnsi="Times New Roman"/>
                <w:b w:val="0"/>
                <w:sz w:val="18"/>
              </w:rPr>
              <w:t>0.193 [0.090, 0.296]</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spacing w:after="0" w:line="240" w:lineRule="auto"/>
              <w:jc w:val="left"/>
            </w:pPr>
            <w:r>
              <w:rPr>
                <w:sz w:val="18"/>
              </w:rPr>
            </w:r>
            <w:r>
              <w:rPr>
                <w:rFonts w:ascii="Times New Roman" w:hAnsi="Times New Roman"/>
                <w:b w:val="0"/>
                <w:sz w:val="18"/>
              </w:rPr>
              <w:t>0.022</w:t>
            </w:r>
          </w:p>
        </w:tc>
        <w:tc>
          <w:tcPr>
            <w:tcW w:type="dxa" w:w="1656"/>
            <w:vAlign w:val="top"/>
          </w:tcPr>
          <w:p>
            <w:pPr>
              <w:keepNext w:val="0"/>
              <w:spacing w:after="0" w:line="240" w:lineRule="auto"/>
              <w:jc w:val="left"/>
            </w:pPr>
            <w:r>
              <w:rPr>
                <w:sz w:val="18"/>
              </w:rPr>
            </w:r>
            <w:r>
              <w:rPr>
                <w:rFonts w:ascii="Times New Roman" w:hAnsi="Times New Roman"/>
                <w:b w:val="0"/>
                <w:sz w:val="18"/>
              </w:rPr>
              <w:t>0.011 [-0.054, 0.075]</w:t>
            </w:r>
          </w:p>
        </w:tc>
        <w:tc>
          <w:tcPr>
            <w:tcW w:type="dxa" w:w="1440"/>
            <w:vAlign w:val="top"/>
          </w:tcPr>
          <w:p>
            <w:pPr>
              <w:keepNext w:val="0"/>
              <w:spacing w:after="0" w:line="240" w:lineRule="auto"/>
              <w:jc w:val="left"/>
            </w:pPr>
            <w:r>
              <w:rPr>
                <w:sz w:val="18"/>
              </w:rPr>
            </w:r>
            <w:r>
              <w:rPr>
                <w:rFonts w:ascii="Times New Roman" w:hAnsi="Times New Roman"/>
                <w:b w:val="0"/>
                <w:sz w:val="18"/>
              </w:rPr>
              <w:t>0.032</w:t>
            </w:r>
          </w:p>
        </w:tc>
        <w:tc>
          <w:tcPr>
            <w:tcW w:type="dxa" w:w="1584"/>
            <w:vAlign w:val="top"/>
          </w:tcPr>
          <w:p>
            <w:pPr>
              <w:keepNext w:val="0"/>
              <w:spacing w:after="0" w:line="240" w:lineRule="auto"/>
              <w:jc w:val="left"/>
            </w:pPr>
            <w:r>
              <w:rPr>
                <w:sz w:val="18"/>
              </w:rPr>
            </w:r>
            <w:r>
              <w:rPr>
                <w:rFonts w:ascii="Times New Roman" w:hAnsi="Times New Roman"/>
                <w:b w:val="0"/>
                <w:sz w:val="18"/>
              </w:rPr>
              <w:t>0.055 [-0.060, 0.169]</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spacing w:after="0" w:line="240" w:lineRule="auto"/>
              <w:jc w:val="left"/>
            </w:pPr>
            <w:r>
              <w:rPr>
                <w:sz w:val="18"/>
              </w:rPr>
            </w:r>
            <w:r>
              <w:rPr>
                <w:rFonts w:ascii="Times New Roman" w:hAnsi="Times New Roman"/>
                <w:b w:val="0"/>
                <w:sz w:val="18"/>
              </w:rPr>
              <w:t>0.007</w:t>
            </w:r>
          </w:p>
        </w:tc>
        <w:tc>
          <w:tcPr>
            <w:tcW w:type="dxa" w:w="1656"/>
            <w:vAlign w:val="top"/>
          </w:tcPr>
          <w:p>
            <w:pPr>
              <w:keepNext w:val="0"/>
              <w:spacing w:after="0" w:line="240" w:lineRule="auto"/>
              <w:jc w:val="left"/>
            </w:pPr>
            <w:r>
              <w:rPr>
                <w:sz w:val="18"/>
              </w:rPr>
            </w:r>
            <w:r>
              <w:rPr>
                <w:rFonts w:ascii="Times New Roman" w:hAnsi="Times New Roman"/>
                <w:b w:val="0"/>
                <w:sz w:val="18"/>
              </w:rPr>
              <w:t>0.068 [0.008, 0.128]</w:t>
            </w:r>
          </w:p>
        </w:tc>
        <w:tc>
          <w:tcPr>
            <w:tcW w:type="dxa" w:w="1440"/>
            <w:vAlign w:val="top"/>
          </w:tcPr>
          <w:p>
            <w:pPr>
              <w:keepNext w:val="0"/>
              <w:spacing w:after="0" w:line="240" w:lineRule="auto"/>
              <w:jc w:val="left"/>
            </w:pPr>
            <w:r>
              <w:rPr>
                <w:sz w:val="18"/>
              </w:rPr>
            </w:r>
            <w:r>
              <w:rPr>
                <w:rFonts w:ascii="Times New Roman" w:hAnsi="Times New Roman"/>
                <w:b w:val="0"/>
                <w:sz w:val="18"/>
              </w:rPr>
              <w:t>0.144</w:t>
            </w:r>
          </w:p>
        </w:tc>
        <w:tc>
          <w:tcPr>
            <w:tcW w:type="dxa" w:w="1584"/>
            <w:vAlign w:val="top"/>
          </w:tcPr>
          <w:p>
            <w:pPr>
              <w:keepNext w:val="0"/>
              <w:spacing w:after="0" w:line="240" w:lineRule="auto"/>
              <w:jc w:val="left"/>
            </w:pPr>
            <w:r>
              <w:rPr>
                <w:sz w:val="18"/>
              </w:rPr>
            </w:r>
            <w:r>
              <w:rPr>
                <w:rFonts w:ascii="Times New Roman" w:hAnsi="Times New Roman"/>
                <w:b w:val="0"/>
                <w:sz w:val="18"/>
              </w:rPr>
              <w:t>0.119 [0.013, 0.224]</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-0.070</w:t>
            </w:r>
          </w:p>
        </w:tc>
        <w:tc>
          <w:tcPr>
            <w:tcW w:type="dxa" w:w="1656"/>
            <w:vAlign w:val="top"/>
          </w:tcPr>
          <w:p>
            <w:pPr>
              <w:keepNext w:val="0"/>
              <w:spacing w:after="0" w:line="240" w:lineRule="auto"/>
              <w:jc w:val="left"/>
            </w:pPr>
            <w:r>
              <w:rPr>
                <w:sz w:val="18"/>
              </w:rPr>
            </w:r>
            <w:r>
              <w:rPr>
                <w:rFonts w:ascii="Times New Roman" w:hAnsi="Times New Roman"/>
                <w:b w:val="0"/>
                <w:sz w:val="18"/>
              </w:rPr>
              <w:t>-0.160 [-0.247, -0.072]</w:t>
            </w:r>
          </w:p>
        </w:tc>
        <w:tc>
          <w:tcPr>
            <w:tcW w:type="dxa" w:w="1440"/>
            <w:vAlign w:val="top"/>
          </w:tcPr>
          <w:p>
            <w:pPr>
              <w:keepNext w:val="0"/>
              <w:spacing w:after="0" w:line="240" w:lineRule="auto"/>
              <w:jc w:val="left"/>
            </w:pPr>
            <w:r>
              <w:rPr>
                <w:sz w:val="18"/>
              </w:rPr>
            </w:r>
            <w:r>
              <w:rPr>
                <w:rFonts w:ascii="Times New Roman" w:hAnsi="Times New Roman"/>
                <w:b w:val="0"/>
                <w:sz w:val="18"/>
              </w:rPr>
              <w:t>-0.162</w:t>
            </w:r>
          </w:p>
        </w:tc>
        <w:tc>
          <w:tcPr>
            <w:tcW w:type="dxa" w:w="1584"/>
            <w:vAlign w:val="top"/>
          </w:tcPr>
          <w:p>
            <w:pPr>
              <w:keepNext w:val="0"/>
              <w:spacing w:after="0" w:line="240" w:lineRule="auto"/>
              <w:jc w:val="left"/>
            </w:pPr>
            <w:r>
              <w:rPr>
                <w:sz w:val="18"/>
              </w:rPr>
            </w:r>
            <w:r>
              <w:rPr>
                <w:rFonts w:ascii="Times New Roman" w:hAnsi="Times New Roman"/>
                <w:b w:val="0"/>
                <w:sz w:val="18"/>
              </w:rPr>
              <w:t>-0.138 [-0.292, 0.016]</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-0.085</w:t>
            </w:r>
          </w:p>
        </w:tc>
        <w:tc>
          <w:tcPr>
            <w:tcW w:type="dxa" w:w="1656"/>
            <w:vAlign w:val="top"/>
          </w:tcPr>
          <w:p>
            <w:pPr>
              <w:keepNext w:val="0"/>
              <w:spacing w:after="0" w:line="240" w:lineRule="auto"/>
              <w:jc w:val="left"/>
            </w:pPr>
            <w:r>
              <w:rPr>
                <w:sz w:val="18"/>
              </w:rPr>
            </w:r>
            <w:r>
              <w:rPr>
                <w:rFonts w:ascii="Times New Roman" w:hAnsi="Times New Roman"/>
                <w:b w:val="0"/>
                <w:sz w:val="18"/>
              </w:rPr>
              <w:t>-0.102 [-0.186, -0.019]</w:t>
            </w:r>
          </w:p>
        </w:tc>
        <w:tc>
          <w:tcPr>
            <w:tcW w:type="dxa" w:w="1440"/>
            <w:vAlign w:val="top"/>
          </w:tcPr>
          <w:p>
            <w:pPr>
              <w:keepNext w:val="0"/>
              <w:spacing w:after="0" w:line="240" w:lineRule="auto"/>
              <w:jc w:val="left"/>
            </w:pPr>
            <w:r>
              <w:rPr>
                <w:sz w:val="18"/>
              </w:rPr>
            </w:r>
            <w:r>
              <w:rPr>
                <w:rFonts w:ascii="Times New Roman" w:hAnsi="Times New Roman"/>
                <w:b w:val="0"/>
                <w:sz w:val="18"/>
              </w:rPr>
              <w:t>-0.050</w:t>
            </w:r>
          </w:p>
        </w:tc>
        <w:tc>
          <w:tcPr>
            <w:tcW w:type="dxa" w:w="1584"/>
            <w:vAlign w:val="top"/>
          </w:tcPr>
          <w:p>
            <w:pPr>
              <w:keepNext w:val="0"/>
              <w:spacing w:after="0" w:line="240" w:lineRule="auto"/>
              <w:jc w:val="left"/>
            </w:pPr>
            <w:r>
              <w:rPr>
                <w:sz w:val="18"/>
              </w:rPr>
            </w:r>
            <w:r>
              <w:rPr>
                <w:rFonts w:ascii="Times New Roman" w:hAnsi="Times New Roman"/>
                <w:b w:val="0"/>
                <w:sz w:val="18"/>
              </w:rPr>
              <w:t>-0.074 [-0.222, 0.073]</w:t>
            </w:r>
          </w:p>
        </w:tc>
      </w:tr>
      <w:tr>
        <w:tc>
          <w:tcPr>
            <w:tcW w:type="dxa" w:w="1440"/>
            <w:vAlign w:val="top"/>
          </w:tcPr>
          <w:p>
            <w:pPr>
              <w:keepNext w:val="0"/>
              <w:spacing w:after="0" w:line="240" w:lineRule="auto"/>
              <w:jc w:val="left"/>
            </w:pPr>
            <w:r>
              <w:rPr>
                <w:sz w:val="18"/>
              </w:rPr>
            </w:r>
            <w:r>
              <w:rPr>
                <w:rFonts w:ascii="Times New Roman" w:hAnsi="Times New Roman"/>
                <w:b w:val="0"/>
                <w:sz w:val="18"/>
              </w:rPr>
              <w:t>Fire</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spacing w:after="0" w:line="240" w:lineRule="auto"/>
              <w:jc w:val="left"/>
            </w:pPr>
            <w:r>
              <w:rPr>
                <w:sz w:val="18"/>
              </w:rPr>
            </w:r>
            <w:r>
              <w:rPr>
                <w:rFonts w:ascii="Times New Roman" w:hAnsi="Times New Roman"/>
                <w:b w:val="0"/>
                <w:sz w:val="18"/>
              </w:rPr>
              <w:t>-0.014</w:t>
            </w:r>
          </w:p>
        </w:tc>
        <w:tc>
          <w:tcPr>
            <w:tcW w:type="dxa" w:w="1656"/>
            <w:vAlign w:val="top"/>
          </w:tcPr>
          <w:p>
            <w:pPr>
              <w:keepNext w:val="0"/>
              <w:spacing w:after="0" w:line="240" w:lineRule="auto"/>
              <w:jc w:val="left"/>
            </w:pPr>
            <w:r>
              <w:rPr>
                <w:sz w:val="18"/>
              </w:rPr>
            </w:r>
            <w:r>
              <w:rPr>
                <w:rFonts w:ascii="Times New Roman" w:hAnsi="Times New Roman"/>
                <w:b w:val="0"/>
                <w:sz w:val="18"/>
              </w:rPr>
              <w:t>0.057 [-0.031, 0.145]</w:t>
            </w:r>
          </w:p>
        </w:tc>
        <w:tc>
          <w:tcPr>
            <w:tcW w:type="dxa" w:w="1440"/>
            <w:vAlign w:val="top"/>
          </w:tcPr>
          <w:p>
            <w:pPr>
              <w:keepNext w:val="0"/>
              <w:spacing w:after="0" w:line="240" w:lineRule="auto"/>
              <w:jc w:val="left"/>
            </w:pPr>
            <w:r>
              <w:rPr>
                <w:sz w:val="18"/>
              </w:rPr>
            </w:r>
            <w:r>
              <w:rPr>
                <w:rFonts w:ascii="Times New Roman" w:hAnsi="Times New Roman"/>
                <w:b w:val="0"/>
                <w:sz w:val="18"/>
              </w:rPr>
              <w:t>0.112</w:t>
            </w:r>
          </w:p>
        </w:tc>
        <w:tc>
          <w:tcPr>
            <w:tcW w:type="dxa" w:w="1584"/>
            <w:vAlign w:val="top"/>
          </w:tcPr>
          <w:p>
            <w:pPr>
              <w:keepNext w:val="0"/>
              <w:spacing w:after="0" w:line="240" w:lineRule="auto"/>
              <w:jc w:val="left"/>
            </w:pPr>
            <w:r>
              <w:rPr>
                <w:sz w:val="18"/>
              </w:rPr>
            </w:r>
            <w:r>
              <w:rPr>
                <w:rFonts w:ascii="Times New Roman" w:hAnsi="Times New Roman"/>
                <w:b w:val="0"/>
                <w:sz w:val="18"/>
              </w:rPr>
              <w:t>0.064 [-0.092, 0.219]</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Fragmented control</w:t>
            </w:r>
          </w:p>
        </w:tc>
        <w:tc>
          <w:tcPr>
            <w:tcW w:type="dxa" w:w="1440"/>
            <w:vAlign w:val="top"/>
          </w:tcPr>
          <w:p>
            <w:pPr>
              <w:keepNext w:val="0"/>
              <w:spacing w:after="0" w:line="240" w:lineRule="auto"/>
              <w:jc w:val="left"/>
            </w:pPr>
            <w:r>
              <w:rPr>
                <w:sz w:val="18"/>
              </w:rPr>
            </w:r>
            <w:r>
              <w:rPr>
                <w:rFonts w:ascii="Times New Roman" w:hAnsi="Times New Roman"/>
                <w:b w:val="0"/>
                <w:sz w:val="18"/>
              </w:rPr>
              <w:t>0.316 [-0.119, 0.752]</w:t>
            </w:r>
          </w:p>
        </w:tc>
        <w:tc>
          <w:tcPr>
            <w:tcW w:type="dxa" w:w="1656"/>
            <w:vAlign w:val="top"/>
          </w:tcPr>
          <w:p>
            <w:pPr>
              <w:keepNext w:val="0"/>
              <w:spacing w:after="0" w:line="240" w:lineRule="auto"/>
              <w:jc w:val="left"/>
            </w:pPr>
            <w:r>
              <w:rPr>
                <w:sz w:val="18"/>
              </w:rPr>
            </w:r>
            <w:r>
              <w:rPr>
                <w:rFonts w:ascii="Times New Roman" w:hAnsi="Times New Roman"/>
                <w:b w:val="0"/>
                <w:sz w:val="18"/>
              </w:rPr>
              <w:t>0.286 [-0.164, 0.737]</w:t>
            </w:r>
          </w:p>
        </w:tc>
        <w:tc>
          <w:tcPr>
            <w:tcW w:type="dxa" w:w="1440"/>
            <w:vAlign w:val="top"/>
          </w:tcPr>
          <w:p>
            <w:pPr>
              <w:keepNext w:val="0"/>
              <w:spacing w:after="0" w:line="240" w:lineRule="auto"/>
              <w:jc w:val="left"/>
            </w:pPr>
            <w:r>
              <w:rPr>
                <w:sz w:val="18"/>
              </w:rPr>
            </w:r>
            <w:r>
              <w:rPr>
                <w:rFonts w:ascii="Times New Roman" w:hAnsi="Times New Roman"/>
                <w:b w:val="0"/>
                <w:sz w:val="18"/>
              </w:rPr>
              <w:t>0.225 [-0.223, 0.673]</w:t>
            </w:r>
          </w:p>
        </w:tc>
        <w:tc>
          <w:tcPr>
            <w:tcW w:type="dxa" w:w="1584"/>
            <w:vAlign w:val="top"/>
          </w:tcPr>
          <w:p>
            <w:pPr>
              <w:keepNext w:val="0"/>
              <w:spacing w:after="0" w:line="240" w:lineRule="auto"/>
              <w:jc w:val="left"/>
            </w:pPr>
            <w:r>
              <w:rPr>
                <w:sz w:val="18"/>
              </w:rPr>
            </w:r>
            <w:r>
              <w:rPr>
                <w:rFonts w:ascii="Times New Roman" w:hAnsi="Times New Roman"/>
                <w:b w:val="0"/>
                <w:sz w:val="18"/>
              </w:rPr>
              <w:t>0.563 [0.069, 1.057]</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1440"/>
            <w:vAlign w:val="top"/>
          </w:tcPr>
          <w:p>
            <w:pPr>
              <w:keepNext w:val="0"/>
              <w:spacing w:after="0" w:line="240" w:lineRule="auto"/>
              <w:jc w:val="left"/>
            </w:pPr>
            <w:r>
              <w:rPr>
                <w:sz w:val="18"/>
              </w:rPr>
            </w:r>
            <w:r>
              <w:rPr>
                <w:rFonts w:ascii="Times New Roman" w:hAnsi="Times New Roman"/>
                <w:b w:val="0"/>
                <w:sz w:val="18"/>
              </w:rPr>
              <w:t>0.449 [0.084, 0.814]</w:t>
            </w:r>
          </w:p>
        </w:tc>
        <w:tc>
          <w:tcPr>
            <w:tcW w:type="dxa" w:w="1656"/>
            <w:vAlign w:val="top"/>
          </w:tcPr>
          <w:p>
            <w:pPr>
              <w:keepNext w:val="0"/>
              <w:spacing w:after="0" w:line="240" w:lineRule="auto"/>
              <w:jc w:val="left"/>
            </w:pPr>
            <w:r>
              <w:rPr>
                <w:sz w:val="18"/>
              </w:rPr>
            </w:r>
            <w:r>
              <w:rPr>
                <w:rFonts w:ascii="Times New Roman" w:hAnsi="Times New Roman"/>
                <w:b w:val="0"/>
                <w:sz w:val="18"/>
              </w:rPr>
              <w:t>0.222 [-0.048, 0.492]</w:t>
            </w:r>
          </w:p>
        </w:tc>
        <w:tc>
          <w:tcPr>
            <w:tcW w:type="dxa" w:w="1440"/>
            <w:vAlign w:val="top"/>
          </w:tcPr>
          <w:p>
            <w:pPr>
              <w:keepNext w:val="0"/>
              <w:spacing w:after="0" w:line="240" w:lineRule="auto"/>
              <w:jc w:val="left"/>
            </w:pPr>
            <w:r>
              <w:rPr>
                <w:sz w:val="18"/>
              </w:rPr>
            </w:r>
            <w:r>
              <w:rPr>
                <w:rFonts w:ascii="Times New Roman" w:hAnsi="Times New Roman"/>
                <w:b w:val="0"/>
                <w:sz w:val="18"/>
              </w:rPr>
              <w:t>0.201 [-0.088, 0.491]</w:t>
            </w:r>
          </w:p>
        </w:tc>
        <w:tc>
          <w:tcPr>
            <w:tcW w:type="dxa" w:w="1584"/>
            <w:vAlign w:val="top"/>
          </w:tcPr>
          <w:p>
            <w:pPr>
              <w:keepNext w:val="0"/>
              <w:spacing w:after="0" w:line="240" w:lineRule="auto"/>
              <w:jc w:val="left"/>
            </w:pPr>
            <w:r>
              <w:rPr>
                <w:sz w:val="18"/>
              </w:rPr>
            </w:r>
            <w:r>
              <w:rPr>
                <w:rFonts w:ascii="Times New Roman" w:hAnsi="Times New Roman"/>
                <w:b w:val="0"/>
                <w:sz w:val="18"/>
              </w:rPr>
              <w:t>0.164 [-0.140, 0.468]</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Profile-specific</w:t>
            </w:r>
          </w:p>
        </w:tc>
        <w:tc>
          <w:tcPr>
            <w:tcW w:type="dxa" w:w="2664"/>
            <w:vAlign w:val="top"/>
          </w:tcPr>
          <w:p>
            <w:pPr>
              <w:keepNext w:val="0"/>
              <w:spacing w:after="0" w:line="240" w:lineRule="auto"/>
              <w:jc w:val="left"/>
            </w:pPr>
            <w:r>
              <w:rPr>
                <w:sz w:val="18"/>
              </w:rPr>
            </w:r>
            <w:r>
              <w:rPr>
                <w:rFonts w:ascii="Times New Roman" w:hAnsi="Times New Roman"/>
                <w:b w:val="0"/>
                <w:sz w:val="18"/>
              </w:rPr>
              <w:t>Park-centred control</w:t>
            </w:r>
          </w:p>
        </w:tc>
        <w:tc>
          <w:tcPr>
            <w:tcW w:type="dxa" w:w="1440"/>
            <w:vAlign w:val="top"/>
          </w:tcPr>
          <w:p>
            <w:pPr>
              <w:keepNext w:val="0"/>
              <w:spacing w:after="0" w:line="240" w:lineRule="auto"/>
              <w:jc w:val="left"/>
            </w:pPr>
            <w:r>
              <w:rPr>
                <w:sz w:val="18"/>
              </w:rPr>
            </w:r>
            <w:r>
              <w:rPr>
                <w:rFonts w:ascii="Times New Roman" w:hAnsi="Times New Roman"/>
                <w:b w:val="0"/>
                <w:sz w:val="18"/>
              </w:rPr>
              <w:t>-0.128 [-0.445, 0.189]</w:t>
            </w:r>
          </w:p>
        </w:tc>
        <w:tc>
          <w:tcPr>
            <w:tcW w:type="dxa" w:w="1656"/>
            <w:vAlign w:val="top"/>
          </w:tcPr>
          <w:p>
            <w:pPr>
              <w:keepNext w:val="0"/>
              <w:spacing w:after="0" w:line="240" w:lineRule="auto"/>
              <w:jc w:val="left"/>
            </w:pPr>
            <w:r>
              <w:rPr>
                <w:sz w:val="18"/>
              </w:rPr>
            </w:r>
            <w:r>
              <w:rPr>
                <w:rFonts w:ascii="Times New Roman" w:hAnsi="Times New Roman"/>
                <w:b w:val="0"/>
                <w:sz w:val="18"/>
              </w:rPr>
              <w:t>-0.347 [-0.657, -0.037]</w:t>
            </w:r>
          </w:p>
        </w:tc>
        <w:tc>
          <w:tcPr>
            <w:tcW w:type="dxa" w:w="1440"/>
            <w:vAlign w:val="top"/>
          </w:tcPr>
          <w:p>
            <w:pPr>
              <w:keepNext w:val="0"/>
              <w:spacing w:after="0" w:line="240" w:lineRule="auto"/>
              <w:jc w:val="left"/>
            </w:pPr>
            <w:r>
              <w:rPr>
                <w:sz w:val="18"/>
              </w:rPr>
            </w:r>
            <w:r>
              <w:rPr>
                <w:rFonts w:ascii="Times New Roman" w:hAnsi="Times New Roman"/>
                <w:b w:val="0"/>
                <w:sz w:val="18"/>
              </w:rPr>
              <w:t>-0.529 [-0.874, -0.184]</w:t>
            </w:r>
          </w:p>
        </w:tc>
        <w:tc>
          <w:tcPr>
            <w:tcW w:type="dxa" w:w="1584"/>
            <w:vAlign w:val="top"/>
          </w:tcPr>
          <w:p>
            <w:pPr>
              <w:keepNext w:val="0"/>
              <w:spacing w:after="0" w:line="240" w:lineRule="auto"/>
              <w:jc w:val="left"/>
            </w:pPr>
            <w:r>
              <w:rPr>
                <w:sz w:val="18"/>
              </w:rPr>
            </w:r>
            <w:r>
              <w:rPr>
                <w:rFonts w:ascii="Times New Roman" w:hAnsi="Times New Roman"/>
                <w:b w:val="0"/>
                <w:sz w:val="18"/>
              </w:rPr>
              <w:t>-0.573 [-0.890, -0.256]</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Militia-centred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0.132 [-0.505, 0.770]</w:t>
            </w:r>
          </w:p>
        </w:tc>
        <w:tc>
          <w:tcPr>
            <w:tcW w:type="dxa" w:w="1656"/>
            <w:vAlign w:val="top"/>
          </w:tcPr>
          <w:p>
            <w:pPr>
              <w:keepNext w:val="0"/>
              <w:spacing w:after="0" w:line="240" w:lineRule="auto"/>
              <w:jc w:val="left"/>
            </w:pPr>
            <w:r>
              <w:rPr>
                <w:sz w:val="18"/>
              </w:rPr>
            </w:r>
            <w:r>
              <w:rPr>
                <w:rFonts w:ascii="Times New Roman" w:hAnsi="Times New Roman"/>
                <w:b w:val="0"/>
                <w:sz w:val="18"/>
              </w:rPr>
              <w:t>-0.065 [-0.634, 0.505]</w:t>
            </w:r>
          </w:p>
        </w:tc>
        <w:tc>
          <w:tcPr>
            <w:tcW w:type="dxa" w:w="1440"/>
            <w:vAlign w:val="top"/>
          </w:tcPr>
          <w:p>
            <w:pPr>
              <w:keepNext w:val="0"/>
              <w:spacing w:after="0" w:line="240" w:lineRule="auto"/>
              <w:jc w:val="left"/>
            </w:pPr>
            <w:r>
              <w:rPr>
                <w:sz w:val="18"/>
              </w:rPr>
            </w:r>
            <w:r>
              <w:rPr>
                <w:rFonts w:ascii="Times New Roman" w:hAnsi="Times New Roman"/>
                <w:b w:val="0"/>
                <w:sz w:val="18"/>
              </w:rPr>
              <w:t>-0.024 [-0.565, 0.517]</w:t>
            </w:r>
          </w:p>
        </w:tc>
        <w:tc>
          <w:tcPr>
            <w:tcW w:type="dxa" w:w="1584"/>
            <w:vAlign w:val="top"/>
          </w:tcPr>
          <w:p>
            <w:pPr>
              <w:keepNext w:val="0"/>
              <w:spacing w:after="0" w:line="240" w:lineRule="auto"/>
              <w:jc w:val="left"/>
            </w:pPr>
            <w:r>
              <w:rPr>
                <w:sz w:val="18"/>
              </w:rPr>
            </w:r>
            <w:r>
              <w:rPr>
                <w:rFonts w:ascii="Times New Roman" w:hAnsi="Times New Roman"/>
                <w:b w:val="0"/>
                <w:sz w:val="18"/>
              </w:rPr>
              <w:t>-0.399 [-0.998, 0.201]</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Fragmented</w:t>
            </w:r>
          </w:p>
        </w:tc>
        <w:tc>
          <w:tcPr>
            <w:tcW w:type="dxa" w:w="1440"/>
            <w:vAlign w:val="top"/>
          </w:tcPr>
          <w:p>
            <w:pPr>
              <w:keepNext w:val="0"/>
              <w:spacing w:after="0" w:line="240" w:lineRule="auto"/>
              <w:jc w:val="left"/>
            </w:pPr>
            <w:r>
              <w:rPr>
                <w:sz w:val="18"/>
              </w:rPr>
            </w:r>
            <w:r>
              <w:rPr>
                <w:rFonts w:ascii="Times New Roman" w:hAnsi="Times New Roman"/>
                <w:b w:val="0"/>
                <w:sz w:val="18"/>
              </w:rPr>
              <w:t>-0.445 [-1.064, 0.174]</w:t>
            </w:r>
          </w:p>
        </w:tc>
        <w:tc>
          <w:tcPr>
            <w:tcW w:type="dxa" w:w="1656"/>
            <w:vAlign w:val="top"/>
          </w:tcPr>
          <w:p>
            <w:pPr>
              <w:keepNext w:val="0"/>
              <w:spacing w:after="0" w:line="240" w:lineRule="auto"/>
              <w:jc w:val="left"/>
            </w:pPr>
            <w:r>
              <w:rPr>
                <w:sz w:val="18"/>
              </w:rPr>
            </w:r>
            <w:r>
              <w:rPr>
                <w:rFonts w:ascii="Times New Roman" w:hAnsi="Times New Roman"/>
                <w:b w:val="0"/>
                <w:sz w:val="18"/>
              </w:rPr>
              <w:t>-0.633 [-1.244, -0.023]</w:t>
            </w:r>
          </w:p>
        </w:tc>
        <w:tc>
          <w:tcPr>
            <w:tcW w:type="dxa" w:w="1440"/>
            <w:vAlign w:val="top"/>
          </w:tcPr>
          <w:p>
            <w:pPr>
              <w:keepNext w:val="0"/>
              <w:spacing w:after="0" w:line="240" w:lineRule="auto"/>
              <w:jc w:val="left"/>
            </w:pPr>
            <w:r>
              <w:rPr>
                <w:sz w:val="18"/>
              </w:rPr>
            </w:r>
            <w:r>
              <w:rPr>
                <w:rFonts w:ascii="Times New Roman" w:hAnsi="Times New Roman"/>
                <w:b w:val="0"/>
                <w:sz w:val="18"/>
              </w:rPr>
              <w:t>-0.755 [-1.358, -0.151]</w:t>
            </w:r>
          </w:p>
        </w:tc>
        <w:tc>
          <w:tcPr>
            <w:tcW w:type="dxa" w:w="1584"/>
            <w:vAlign w:val="top"/>
          </w:tcPr>
          <w:p>
            <w:pPr>
              <w:keepNext w:val="0"/>
              <w:spacing w:after="0" w:line="240" w:lineRule="auto"/>
              <w:jc w:val="left"/>
            </w:pPr>
            <w:r>
              <w:rPr>
                <w:sz w:val="18"/>
              </w:rPr>
            </w:r>
            <w:r>
              <w:rPr>
                <w:rFonts w:ascii="Times New Roman" w:hAnsi="Times New Roman"/>
                <w:b w:val="0"/>
                <w:sz w:val="18"/>
              </w:rPr>
              <w:t>-1.136 [-1.765, -0.507]</w:t>
            </w:r>
          </w:p>
        </w:tc>
      </w:tr>
      <w:tr>
        <w:tc>
          <w:tcPr>
            <w:tcW w:type="dxa" w:w="1440"/>
            <w:vAlign w:val="top"/>
          </w:tcPr>
          <w:p>
            <w:pPr>
              <w:keepNext w:val="0"/>
              <w:spacing w:after="0" w:line="240" w:lineRule="auto"/>
              <w:jc w:val="left"/>
            </w:pPr>
            <w:r>
              <w:rPr>
                <w:sz w:val="18"/>
              </w:rPr>
            </w:r>
            <w:r>
              <w:rPr>
                <w:rFonts w:ascii="Times New Roman" w:hAnsi="Times New Roman"/>
                <w:b w:val="0"/>
                <w:sz w:val="18"/>
              </w:rPr>
              <w:t>Agricultural expansion</w:t>
            </w:r>
          </w:p>
        </w:tc>
        <w:tc>
          <w:tcPr>
            <w:tcW w:type="dxa" w:w="1224"/>
            <w:vAlign w:val="top"/>
          </w:tcPr>
          <w:p>
            <w:pPr>
              <w:keepNext w:val="0"/>
              <w:spacing w:after="0" w:line="240" w:lineRule="auto"/>
              <w:jc w:val="left"/>
            </w:pPr>
            <w:r>
              <w:rPr>
                <w:sz w:val="18"/>
              </w:rPr>
            </w:r>
            <w:r>
              <w:rPr>
                <w:rFonts w:ascii="Times New Roman" w:hAnsi="Times New Roman"/>
                <w:b w:val="0"/>
                <w:sz w:val="18"/>
              </w:rPr>
              <w:t>Pairwise difference</w:t>
            </w:r>
          </w:p>
        </w:tc>
        <w:tc>
          <w:tcPr>
            <w:tcW w:type="dxa" w:w="2664"/>
            <w:vAlign w:val="top"/>
          </w:tcPr>
          <w:p>
            <w:pPr>
              <w:keepNext w:val="0"/>
              <w:spacing w:after="0" w:line="240" w:lineRule="auto"/>
              <w:jc w:val="left"/>
            </w:pPr>
            <w:r>
              <w:rPr>
                <w:sz w:val="18"/>
              </w:rPr>
            </w:r>
            <w:r>
              <w:rPr>
                <w:rFonts w:ascii="Times New Roman" w:hAnsi="Times New Roman"/>
                <w:b w:val="0"/>
                <w:sz w:val="18"/>
              </w:rPr>
              <w:t>Park-centred minus Militia-centred</w:t>
            </w:r>
          </w:p>
        </w:tc>
        <w:tc>
          <w:tcPr>
            <w:tcW w:type="dxa" w:w="1440"/>
            <w:vAlign w:val="top"/>
          </w:tcPr>
          <w:p>
            <w:pPr>
              <w:keepNext w:val="0"/>
              <w:spacing w:after="0" w:line="240" w:lineRule="auto"/>
              <w:jc w:val="left"/>
            </w:pPr>
            <w:r>
              <w:rPr>
                <w:sz w:val="18"/>
              </w:rPr>
            </w:r>
            <w:r>
              <w:rPr>
                <w:rFonts w:ascii="Times New Roman" w:hAnsi="Times New Roman"/>
                <w:b w:val="0"/>
                <w:sz w:val="18"/>
              </w:rPr>
              <w:t>-0.577 [-1.119, -0.035]</w:t>
            </w:r>
          </w:p>
        </w:tc>
        <w:tc>
          <w:tcPr>
            <w:tcW w:type="dxa" w:w="1656"/>
            <w:vAlign w:val="top"/>
          </w:tcPr>
          <w:p>
            <w:pPr>
              <w:keepNext w:val="0"/>
              <w:spacing w:after="0" w:line="240" w:lineRule="auto"/>
              <w:jc w:val="left"/>
            </w:pPr>
            <w:r>
              <w:rPr>
                <w:sz w:val="18"/>
              </w:rPr>
            </w:r>
            <w:r>
              <w:rPr>
                <w:rFonts w:ascii="Times New Roman" w:hAnsi="Times New Roman"/>
                <w:b w:val="0"/>
                <w:sz w:val="18"/>
              </w:rPr>
              <w:t>-0.569 [-1.001, -0.137]</w:t>
            </w:r>
          </w:p>
        </w:tc>
        <w:tc>
          <w:tcPr>
            <w:tcW w:type="dxa" w:w="1440"/>
            <w:vAlign w:val="top"/>
          </w:tcPr>
          <w:p>
            <w:pPr>
              <w:keepNext w:val="0"/>
              <w:spacing w:after="0" w:line="240" w:lineRule="auto"/>
              <w:jc w:val="left"/>
            </w:pPr>
            <w:r>
              <w:rPr>
                <w:sz w:val="18"/>
              </w:rPr>
            </w:r>
            <w:r>
              <w:rPr>
                <w:rFonts w:ascii="Times New Roman" w:hAnsi="Times New Roman"/>
                <w:b w:val="0"/>
                <w:sz w:val="18"/>
              </w:rPr>
              <w:t>-0.730 [-1.181, -0.280]</w:t>
            </w:r>
          </w:p>
        </w:tc>
        <w:tc>
          <w:tcPr>
            <w:tcW w:type="dxa" w:w="1584"/>
            <w:vAlign w:val="top"/>
          </w:tcPr>
          <w:p>
            <w:pPr>
              <w:keepNext w:val="0"/>
              <w:spacing w:after="0" w:line="240" w:lineRule="auto"/>
              <w:jc w:val="left"/>
            </w:pPr>
            <w:r>
              <w:rPr>
                <w:sz w:val="18"/>
              </w:rPr>
            </w:r>
            <w:r>
              <w:rPr>
                <w:rFonts w:ascii="Times New Roman" w:hAnsi="Times New Roman"/>
                <w:b w:val="0"/>
                <w:sz w:val="18"/>
              </w:rPr>
              <w:t>-0.737 [-1.158, -0.316]</w:t>
            </w:r>
          </w:p>
        </w:tc>
      </w:tr>
    </w:tbl>
    <w:p>
      <w:pPr>
        <w:widowControl/>
      </w:pPr>
    </w:p>
    <w:p>
      <w:pPr>
        <w:pStyle w:val="Caption"/>
        <w:widowControl/>
      </w:pPr>
      <w:r>
        <w:t>Table S12. Exploratory transition-year and episode-omission diagnostics; these are not matched reruns of the primary 10 km models. Sparse-outcome diagnostics used the complete eligible domain and an earlier implementation. The reference estimate comes from that exploratory implementation; the minimum and maximum summarise alternative chronology scenarios and need not contain the reference value. Only sign retention is interpreted.</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481"/>
        <w:gridCol w:w="1481"/>
        <w:gridCol w:w="1481"/>
        <w:gridCol w:w="1481"/>
        <w:gridCol w:w="1481"/>
        <w:gridCol w:w="1481"/>
        <w:gridCol w:w="1481"/>
      </w:tblGrid>
      <w:tr>
        <w:trPr>
          <w:tblHeader w:val="true"/>
          <w:tblHeader/>
        </w:trP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sz w:val="18"/>
              </w:rPr>
              <w:t>Outcome</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sz w:val="18"/>
              </w:rPr>
              <w:t>Profile</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sz w:val="18"/>
              </w:rPr>
              <w:t>Valid scenarios</w:t>
            </w:r>
          </w:p>
        </w:tc>
        <w:tc>
          <w:tcPr>
            <w:tcW w:type="dxa" w:w="1440"/>
            <w:vAlign w:val="center"/>
          </w:tcPr>
          <w:p>
            <w:pPr>
              <w:keepNext w:val="0"/>
              <w:spacing w:before="0" w:after="0" w:line="240" w:lineRule="auto"/>
              <w:jc w:val="left"/>
            </w:pPr>
            <w:r>
              <w:rPr>
                <w:rFonts w:ascii="Times New Roman" w:hAnsi="Times New Roman"/>
                <w:b/>
                <w:sz w:val="18"/>
              </w:rPr>
              <w:t>Earlier-implementation reference</w:t>
            </w:r>
          </w:p>
        </w:tc>
        <w:tc>
          <w:tcPr>
            <w:tcW w:type="dxa" w:w="1224"/>
            <w:vAlign w:val="center"/>
          </w:tcPr>
          <w:p>
            <w:pPr>
              <w:keepNext w:val="0"/>
              <w:spacing w:before="0" w:after="0" w:line="240" w:lineRule="auto"/>
              <w:jc w:val="left"/>
            </w:pPr>
            <w:r>
              <w:rPr>
                <w:rFonts w:ascii="Times New Roman" w:hAnsi="Times New Roman"/>
                <w:b/>
                <w:sz w:val="18"/>
              </w:rPr>
              <w:t>Alternative-scenario minimum</w:t>
            </w:r>
          </w:p>
        </w:tc>
        <w:tc>
          <w:tcPr>
            <w:tcW w:type="dxa" w:w="1224"/>
            <w:vAlign w:val="center"/>
          </w:tcPr>
          <w:p>
            <w:pPr>
              <w:keepNext w:val="0"/>
              <w:spacing w:before="0" w:after="0" w:line="240" w:lineRule="auto"/>
              <w:jc w:val="left"/>
            </w:pPr>
            <w:r>
              <w:rPr>
                <w:rFonts w:ascii="Times New Roman" w:hAnsi="Times New Roman"/>
                <w:b/>
                <w:sz w:val="18"/>
              </w:rPr>
              <w:t>Alternative-scenario maximum</w:t>
            </w:r>
          </w:p>
        </w:tc>
        <w:tc>
          <w:tcPr>
            <w:tcW w:type="dxa" w:w="1296"/>
            <w:vAlign w:val="center"/>
          </w:tcPr>
          <w:p>
            <w:pPr>
              <w:keepNext w:val="0"/>
              <w:spacing w:before="0" w:after="0" w:line="240" w:lineRule="auto"/>
              <w:jc w:val="left"/>
            </w:pPr>
            <w:r>
              <w:rPr>
                <w:rFonts w:ascii="Times New Roman" w:hAnsi="Times New Roman"/>
                <w:b/>
                <w:sz w:val="18"/>
              </w:rPr>
              <w:t>All alternatives retained reference sign</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-0.743</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-1.456</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-0.775</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Yes</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-1.771</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-2.474</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-1.053</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Yes</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-2.591</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-4.500</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-2.545</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Yes</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-0.031</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0.104</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0.341</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No</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-0.168</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-0.039</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0.196</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No</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-0.216</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-0.096</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0.348</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No</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0.501</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-0.093</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0.588</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No</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0.122</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-0.516</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0.353</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No</w:t>
            </w:r>
          </w:p>
        </w:tc>
      </w:tr>
      <w:tr>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216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38</w:t>
            </w:r>
          </w:p>
        </w:tc>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-0.521</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-16.275</w:t>
            </w:r>
          </w:p>
        </w:tc>
        <w:tc>
          <w:tcPr>
            <w:tcW w:type="dxa" w:w="122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-0.414</w:t>
            </w:r>
          </w:p>
        </w:tc>
        <w:tc>
          <w:tcPr>
            <w:tcW w:type="dxa" w:w="129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Yes</w:t>
            </w:r>
          </w:p>
        </w:tc>
      </w:tr>
    </w:tbl>
    <w:p>
      <w:pPr>
        <w:widowControl/>
      </w:pPr>
    </w:p>
    <w:p>
      <w:pPr>
        <w:pStyle w:val="Caption"/>
        <w:widowControl/>
      </w:pPr>
      <w:r>
        <w:rPr>
          <w:b/>
        </w:rPr>
        <w:t xml:space="preserve">Table S13. </w:t>
      </w:r>
      <w:r>
        <w:t>Final refined fire-model optimizer diagnostics for the 10 km corridor. The 25% BFGS-refined fit is the selected primary fire model.</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296"/>
        <w:gridCol w:w="1296"/>
        <w:gridCol w:w="1296"/>
        <w:gridCol w:w="1296"/>
        <w:gridCol w:w="1296"/>
        <w:gridCol w:w="1296"/>
        <w:gridCol w:w="1296"/>
        <w:gridCol w:w="1296"/>
      </w:tblGrid>
      <w:tr>
        <w:trPr>
          <w:tblHeader w:val="true"/>
          <w:tblHeader/>
        </w:trPr>
        <w:tc>
          <w:tcPr>
            <w:tcW w:type="dxa" w:w="1008"/>
            <w:vAlign w:val="top"/>
          </w:tcPr>
          <w:p>
            <w:pPr>
              <w:keepNext w:val="0"/>
              <w:spacing w:after="0" w:line="240" w:lineRule="auto"/>
              <w:jc w:val="left"/>
            </w:pPr>
            <w:r>
              <w:rPr>
                <w:sz w:val="18"/>
              </w:rPr>
            </w:r>
            <w:r>
              <w:rPr>
                <w:rFonts w:ascii="Times New Roman" w:hAnsi="Times New Roman"/>
                <w:b/>
                <w:sz w:val="18"/>
              </w:rPr>
              <w:t>Threshold</w:t>
            </w:r>
          </w:p>
        </w:tc>
        <w:tc>
          <w:tcPr>
            <w:tcW w:type="dxa" w:w="1440"/>
            <w:vAlign w:val="top"/>
          </w:tcPr>
          <w:p>
            <w:pPr>
              <w:keepNext w:val="0"/>
              <w:spacing w:after="0" w:line="240" w:lineRule="auto"/>
              <w:jc w:val="left"/>
            </w:pPr>
            <w:r>
              <w:rPr>
                <w:sz w:val="18"/>
              </w:rPr>
            </w:r>
            <w:r>
              <w:rPr>
                <w:rFonts w:ascii="Times New Roman" w:hAnsi="Times New Roman"/>
                <w:b/>
                <w:sz w:val="18"/>
              </w:rPr>
              <w:t>Optimizer</w:t>
            </w:r>
          </w:p>
        </w:tc>
        <w:tc>
          <w:tcPr>
            <w:tcW w:type="dxa" w:w="1224"/>
            <w:vAlign w:val="top"/>
          </w:tcPr>
          <w:p>
            <w:pPr>
              <w:keepNext w:val="0"/>
              <w:spacing w:after="0" w:line="240" w:lineRule="auto"/>
              <w:jc w:val="left"/>
            </w:pPr>
            <w:r>
              <w:rPr>
                <w:sz w:val="18"/>
              </w:rPr>
            </w:r>
            <w:r>
              <w:rPr>
                <w:rFonts w:ascii="Times New Roman" w:hAnsi="Times New Roman"/>
                <w:b/>
                <w:sz w:val="18"/>
              </w:rPr>
              <w:t>Convergence code</w:t>
            </w:r>
          </w:p>
        </w:tc>
        <w:tc>
          <w:tcPr>
            <w:tcW w:type="dxa" w:w="1584"/>
            <w:vAlign w:val="top"/>
          </w:tcPr>
          <w:p>
            <w:pPr>
              <w:keepNext w:val="0"/>
              <w:spacing w:after="0" w:line="240" w:lineRule="auto"/>
              <w:jc w:val="left"/>
            </w:pPr>
            <w:r>
              <w:rPr>
                <w:sz w:val="18"/>
              </w:rPr>
            </w:r>
            <w:r>
              <w:rPr>
                <w:rFonts w:ascii="Times New Roman" w:hAnsi="Times New Roman"/>
                <w:b/>
                <w:sz w:val="18"/>
              </w:rPr>
              <w:t>Positive-definite Hessian</w:t>
            </w:r>
          </w:p>
        </w:tc>
        <w:tc>
          <w:tcPr>
            <w:tcW w:type="dxa" w:w="1800"/>
            <w:vAlign w:val="top"/>
          </w:tcPr>
          <w:p>
            <w:pPr>
              <w:keepNext w:val="0"/>
              <w:spacing w:after="0" w:line="240" w:lineRule="auto"/>
              <w:jc w:val="left"/>
            </w:pPr>
            <w:r>
              <w:rPr>
                <w:sz w:val="18"/>
              </w:rPr>
            </w:r>
            <w:r>
              <w:rPr>
                <w:rFonts w:ascii="Times New Roman" w:hAnsi="Times New Roman"/>
                <w:b/>
                <w:sz w:val="18"/>
              </w:rPr>
              <w:t>Maximum framework gradient</w:t>
            </w:r>
          </w:p>
        </w:tc>
        <w:tc>
          <w:tcPr>
            <w:tcW w:type="dxa" w:w="1800"/>
            <w:vAlign w:val="top"/>
          </w:tcPr>
          <w:p>
            <w:pPr>
              <w:keepNext w:val="0"/>
              <w:spacing w:after="0" w:line="240" w:lineRule="auto"/>
              <w:jc w:val="left"/>
            </w:pPr>
            <w:r>
              <w:rPr>
                <w:sz w:val="18"/>
              </w:rPr>
            </w:r>
            <w:r>
              <w:rPr>
                <w:rFonts w:ascii="Times New Roman" w:hAnsi="Times New Roman"/>
                <w:b/>
                <w:sz w:val="18"/>
              </w:rPr>
              <w:t>Maximum independent gradient</w:t>
            </w:r>
          </w:p>
        </w:tc>
        <w:tc>
          <w:tcPr>
            <w:tcW w:type="dxa" w:w="1080"/>
            <w:vAlign w:val="top"/>
          </w:tcPr>
          <w:p>
            <w:pPr>
              <w:keepNext w:val="0"/>
              <w:spacing w:after="0" w:line="240" w:lineRule="auto"/>
              <w:jc w:val="left"/>
            </w:pPr>
            <w:r>
              <w:rPr>
                <w:sz w:val="18"/>
              </w:rPr>
            </w:r>
            <w:r>
              <w:rPr>
                <w:rFonts w:ascii="Times New Roman" w:hAnsi="Times New Roman"/>
                <w:b/>
                <w:sz w:val="18"/>
              </w:rPr>
              <w:t>Strict-valid</w:t>
            </w:r>
          </w:p>
        </w:tc>
        <w:tc>
          <w:tcPr>
            <w:tcW w:type="dxa" w:w="936"/>
            <w:vAlign w:val="top"/>
          </w:tcPr>
          <w:p>
            <w:pPr>
              <w:keepNext w:val="0"/>
              <w:spacing w:after="0" w:line="240" w:lineRule="auto"/>
              <w:jc w:val="left"/>
            </w:pPr>
            <w:r>
              <w:rPr>
                <w:sz w:val="18"/>
              </w:rPr>
            </w:r>
            <w:r>
              <w:rPr>
                <w:rFonts w:ascii="Times New Roman" w:hAnsi="Times New Roman"/>
                <w:b/>
                <w:sz w:val="18"/>
              </w:rPr>
              <w:t>Selected</w:t>
            </w:r>
          </w:p>
        </w:tc>
      </w:tr>
      <w:tr>
        <w:tc>
          <w:tcPr>
            <w:tcW w:type="dxa" w:w="1008"/>
            <w:vAlign w:val="top"/>
          </w:tcPr>
          <w:p>
            <w:pPr>
              <w:keepNext w:val="0"/>
              <w:spacing w:after="0" w:line="240" w:lineRule="auto"/>
              <w:jc w:val="left"/>
            </w:pPr>
            <w:r>
              <w:rPr>
                <w:sz w:val="18"/>
              </w:rPr>
            </w:r>
            <w:r>
              <w:rPr>
                <w:rFonts w:ascii="Times New Roman" w:hAnsi="Times New Roman"/>
                <w:b w:val="0"/>
                <w:sz w:val="18"/>
              </w:rPr>
              <w:t>10%</w:t>
            </w:r>
          </w:p>
        </w:tc>
        <w:tc>
          <w:tcPr>
            <w:tcW w:type="dxa" w:w="1440"/>
            <w:vAlign w:val="top"/>
          </w:tcPr>
          <w:p>
            <w:pPr>
              <w:keepNext w:val="0"/>
              <w:spacing w:after="0" w:line="240" w:lineRule="auto"/>
              <w:jc w:val="left"/>
            </w:pPr>
            <w:r>
              <w:rPr>
                <w:sz w:val="18"/>
              </w:rPr>
            </w:r>
            <w:r>
              <w:rPr>
                <w:rFonts w:ascii="Times New Roman" w:hAnsi="Times New Roman"/>
                <w:b w:val="0"/>
                <w:sz w:val="18"/>
              </w:rPr>
              <w:t>BFGS refined</w:t>
            </w:r>
          </w:p>
        </w:tc>
        <w:tc>
          <w:tcPr>
            <w:tcW w:type="dxa" w:w="1224"/>
            <w:vAlign w:val="top"/>
          </w:tcPr>
          <w:p>
            <w:pPr>
              <w:keepNext w:val="0"/>
              <w:spacing w:after="0" w:line="240" w:lineRule="auto"/>
              <w:jc w:val="left"/>
            </w:pPr>
            <w:r>
              <w:rPr>
                <w:sz w:val="18"/>
              </w:rPr>
            </w:r>
            <w:r>
              <w:rPr>
                <w:rFonts w:ascii="Times New Roman" w:hAnsi="Times New Roman"/>
                <w:b w:val="0"/>
                <w:sz w:val="18"/>
              </w:rPr>
              <w:t>0</w:t>
            </w:r>
          </w:p>
        </w:tc>
        <w:tc>
          <w:tcPr>
            <w:tcW w:type="dxa" w:w="1584"/>
            <w:vAlign w:val="top"/>
          </w:tcPr>
          <w:p>
            <w:pPr>
              <w:keepNext w:val="0"/>
              <w:spacing w:after="0" w:line="240" w:lineRule="auto"/>
              <w:jc w:val="left"/>
            </w:pPr>
            <w:r>
              <w:rPr>
                <w:sz w:val="18"/>
              </w:rPr>
            </w:r>
            <w:r>
              <w:rPr>
                <w:rFonts w:ascii="Times New Roman" w:hAnsi="Times New Roman"/>
                <w:b w:val="0"/>
                <w:sz w:val="18"/>
              </w:rPr>
              <w:t>Yes</w:t>
            </w:r>
          </w:p>
        </w:tc>
        <w:tc>
          <w:tcPr>
            <w:tcW w:type="dxa" w:w="1800"/>
            <w:vAlign w:val="top"/>
          </w:tcPr>
          <w:p>
            <w:pPr>
              <w:keepNext w:val="0"/>
              <w:spacing w:after="0" w:line="240" w:lineRule="auto"/>
              <w:jc w:val="left"/>
            </w:pPr>
            <w:r>
              <w:rPr>
                <w:sz w:val="18"/>
              </w:rPr>
            </w:r>
            <w:r>
              <w:rPr>
                <w:rFonts w:ascii="Times New Roman" w:hAnsi="Times New Roman"/>
                <w:b w:val="0"/>
                <w:sz w:val="18"/>
              </w:rPr>
              <w:t>0.000844</w:t>
            </w:r>
          </w:p>
        </w:tc>
        <w:tc>
          <w:tcPr>
            <w:tcW w:type="dxa" w:w="1800"/>
            <w:vAlign w:val="top"/>
          </w:tcPr>
          <w:p>
            <w:pPr>
              <w:keepNext w:val="0"/>
              <w:spacing w:after="0" w:line="240" w:lineRule="auto"/>
              <w:jc w:val="left"/>
            </w:pPr>
            <w:r>
              <w:rPr>
                <w:sz w:val="18"/>
              </w:rPr>
            </w:r>
            <w:r>
              <w:rPr>
                <w:rFonts w:ascii="Times New Roman" w:hAnsi="Times New Roman"/>
                <w:b w:val="0"/>
                <w:sz w:val="18"/>
              </w:rPr>
              <w:t>0.000841</w:t>
            </w:r>
          </w:p>
        </w:tc>
        <w:tc>
          <w:tcPr>
            <w:tcW w:type="dxa" w:w="1080"/>
            <w:vAlign w:val="top"/>
          </w:tcPr>
          <w:p>
            <w:pPr>
              <w:keepNext w:val="0"/>
              <w:spacing w:after="0" w:line="240" w:lineRule="auto"/>
              <w:jc w:val="left"/>
            </w:pPr>
            <w:r>
              <w:rPr>
                <w:sz w:val="18"/>
              </w:rPr>
            </w:r>
            <w:r>
              <w:rPr>
                <w:rFonts w:ascii="Times New Roman" w:hAnsi="Times New Roman"/>
                <w:b w:val="0"/>
                <w:sz w:val="18"/>
              </w:rPr>
              <w:t>Yes</w:t>
            </w:r>
          </w:p>
        </w:tc>
        <w:tc>
          <w:tcPr>
            <w:tcW w:type="dxa" w:w="936"/>
            <w:vAlign w:val="top"/>
          </w:tcPr>
          <w:p>
            <w:pPr>
              <w:keepNext w:val="0"/>
              <w:spacing w:after="0" w:line="240" w:lineRule="auto"/>
              <w:jc w:val="left"/>
            </w:pPr>
            <w:r>
              <w:rPr>
                <w:sz w:val="18"/>
              </w:rPr>
            </w:r>
            <w:r>
              <w:rPr>
                <w:rFonts w:ascii="Times New Roman" w:hAnsi="Times New Roman"/>
                <w:b w:val="0"/>
                <w:sz w:val="18"/>
              </w:rPr>
              <w:t>No</w:t>
            </w:r>
          </w:p>
        </w:tc>
      </w:tr>
      <w:tr>
        <w:tc>
          <w:tcPr>
            <w:tcW w:type="dxa" w:w="1008"/>
            <w:vAlign w:val="top"/>
          </w:tcPr>
          <w:p>
            <w:pPr>
              <w:keepNext w:val="0"/>
              <w:spacing w:after="0" w:line="240" w:lineRule="auto"/>
              <w:jc w:val="left"/>
            </w:pPr>
            <w:r>
              <w:rPr>
                <w:sz w:val="18"/>
              </w:rPr>
            </w:r>
            <w:r>
              <w:rPr>
                <w:rFonts w:ascii="Times New Roman" w:hAnsi="Times New Roman"/>
                <w:b w:val="0"/>
                <w:sz w:val="18"/>
              </w:rPr>
              <w:t>25%</w:t>
            </w:r>
          </w:p>
        </w:tc>
        <w:tc>
          <w:tcPr>
            <w:tcW w:type="dxa" w:w="1440"/>
            <w:vAlign w:val="top"/>
          </w:tcPr>
          <w:p>
            <w:pPr>
              <w:keepNext w:val="0"/>
              <w:spacing w:after="0" w:line="240" w:lineRule="auto"/>
              <w:jc w:val="left"/>
            </w:pPr>
            <w:r>
              <w:rPr>
                <w:sz w:val="18"/>
              </w:rPr>
            </w:r>
            <w:r>
              <w:rPr>
                <w:rFonts w:ascii="Times New Roman" w:hAnsi="Times New Roman"/>
                <w:b w:val="0"/>
                <w:sz w:val="18"/>
              </w:rPr>
              <w:t>BFGS refined</w:t>
            </w:r>
          </w:p>
        </w:tc>
        <w:tc>
          <w:tcPr>
            <w:tcW w:type="dxa" w:w="1224"/>
            <w:vAlign w:val="top"/>
          </w:tcPr>
          <w:p>
            <w:pPr>
              <w:keepNext w:val="0"/>
              <w:spacing w:after="0" w:line="240" w:lineRule="auto"/>
              <w:jc w:val="left"/>
            </w:pPr>
            <w:r>
              <w:rPr>
                <w:sz w:val="18"/>
              </w:rPr>
            </w:r>
            <w:r>
              <w:rPr>
                <w:rFonts w:ascii="Times New Roman" w:hAnsi="Times New Roman"/>
                <w:b w:val="0"/>
                <w:sz w:val="18"/>
              </w:rPr>
              <w:t>0</w:t>
            </w:r>
          </w:p>
        </w:tc>
        <w:tc>
          <w:tcPr>
            <w:tcW w:type="dxa" w:w="1584"/>
            <w:vAlign w:val="top"/>
          </w:tcPr>
          <w:p>
            <w:pPr>
              <w:keepNext w:val="0"/>
              <w:spacing w:after="0" w:line="240" w:lineRule="auto"/>
              <w:jc w:val="left"/>
            </w:pPr>
            <w:r>
              <w:rPr>
                <w:sz w:val="18"/>
              </w:rPr>
            </w:r>
            <w:r>
              <w:rPr>
                <w:rFonts w:ascii="Times New Roman" w:hAnsi="Times New Roman"/>
                <w:b w:val="0"/>
                <w:sz w:val="18"/>
              </w:rPr>
              <w:t>Yes</w:t>
            </w:r>
          </w:p>
        </w:tc>
        <w:tc>
          <w:tcPr>
            <w:tcW w:type="dxa" w:w="1800"/>
            <w:vAlign w:val="top"/>
          </w:tcPr>
          <w:p>
            <w:pPr>
              <w:keepNext w:val="0"/>
              <w:spacing w:after="0" w:line="240" w:lineRule="auto"/>
              <w:jc w:val="left"/>
            </w:pPr>
            <w:r>
              <w:rPr>
                <w:sz w:val="18"/>
              </w:rPr>
            </w:r>
            <w:r>
              <w:rPr>
                <w:rFonts w:ascii="Times New Roman" w:hAnsi="Times New Roman"/>
                <w:b w:val="0"/>
                <w:sz w:val="18"/>
              </w:rPr>
              <w:t>0.000954</w:t>
            </w:r>
          </w:p>
        </w:tc>
        <w:tc>
          <w:tcPr>
            <w:tcW w:type="dxa" w:w="1800"/>
            <w:vAlign w:val="top"/>
          </w:tcPr>
          <w:p>
            <w:pPr>
              <w:keepNext w:val="0"/>
              <w:spacing w:after="0" w:line="240" w:lineRule="auto"/>
              <w:jc w:val="left"/>
            </w:pPr>
            <w:r>
              <w:rPr>
                <w:sz w:val="18"/>
              </w:rPr>
            </w:r>
            <w:r>
              <w:rPr>
                <w:rFonts w:ascii="Times New Roman" w:hAnsi="Times New Roman"/>
                <w:b w:val="0"/>
                <w:sz w:val="18"/>
              </w:rPr>
              <w:t>0.000947</w:t>
            </w:r>
          </w:p>
        </w:tc>
        <w:tc>
          <w:tcPr>
            <w:tcW w:type="dxa" w:w="1080"/>
            <w:vAlign w:val="top"/>
          </w:tcPr>
          <w:p>
            <w:pPr>
              <w:keepNext w:val="0"/>
              <w:spacing w:after="0" w:line="240" w:lineRule="auto"/>
              <w:jc w:val="left"/>
            </w:pPr>
            <w:r>
              <w:rPr>
                <w:sz w:val="18"/>
              </w:rPr>
            </w:r>
            <w:r>
              <w:rPr>
                <w:rFonts w:ascii="Times New Roman" w:hAnsi="Times New Roman"/>
                <w:b w:val="0"/>
                <w:sz w:val="18"/>
              </w:rPr>
              <w:t>Yes</w:t>
            </w:r>
          </w:p>
        </w:tc>
        <w:tc>
          <w:tcPr>
            <w:tcW w:type="dxa" w:w="936"/>
            <w:vAlign w:val="top"/>
          </w:tcPr>
          <w:p>
            <w:pPr>
              <w:keepNext w:val="0"/>
              <w:spacing w:after="0" w:line="240" w:lineRule="auto"/>
              <w:jc w:val="left"/>
            </w:pPr>
            <w:r>
              <w:rPr>
                <w:sz w:val="18"/>
              </w:rPr>
            </w:r>
            <w:r>
              <w:rPr>
                <w:rFonts w:ascii="Times New Roman" w:hAnsi="Times New Roman"/>
                <w:b w:val="0"/>
                <w:sz w:val="18"/>
              </w:rPr>
              <w:t>Yes</w:t>
            </w:r>
          </w:p>
        </w:tc>
      </w:tr>
      <w:tr>
        <w:tc>
          <w:tcPr>
            <w:tcW w:type="dxa" w:w="1008"/>
            <w:vAlign w:val="top"/>
          </w:tcPr>
          <w:p>
            <w:pPr>
              <w:keepNext w:val="0"/>
              <w:spacing w:after="0" w:line="240" w:lineRule="auto"/>
              <w:jc w:val="left"/>
            </w:pPr>
            <w:r>
              <w:rPr>
                <w:sz w:val="18"/>
              </w:rPr>
            </w:r>
            <w:r>
              <w:rPr>
                <w:rFonts w:ascii="Times New Roman" w:hAnsi="Times New Roman"/>
                <w:b w:val="0"/>
                <w:sz w:val="18"/>
              </w:rPr>
              <w:t>50%</w:t>
            </w:r>
          </w:p>
        </w:tc>
        <w:tc>
          <w:tcPr>
            <w:tcW w:type="dxa" w:w="1440"/>
            <w:vAlign w:val="top"/>
          </w:tcPr>
          <w:p>
            <w:pPr>
              <w:keepNext w:val="0"/>
              <w:spacing w:after="0" w:line="240" w:lineRule="auto"/>
              <w:jc w:val="left"/>
            </w:pPr>
            <w:r>
              <w:rPr>
                <w:sz w:val="18"/>
              </w:rPr>
            </w:r>
            <w:r>
              <w:rPr>
                <w:rFonts w:ascii="Times New Roman" w:hAnsi="Times New Roman"/>
                <w:b w:val="0"/>
                <w:sz w:val="18"/>
              </w:rPr>
              <w:t>BFGS refined</w:t>
            </w:r>
          </w:p>
        </w:tc>
        <w:tc>
          <w:tcPr>
            <w:tcW w:type="dxa" w:w="1224"/>
            <w:vAlign w:val="top"/>
          </w:tcPr>
          <w:p>
            <w:pPr>
              <w:keepNext w:val="0"/>
              <w:spacing w:after="0" w:line="240" w:lineRule="auto"/>
              <w:jc w:val="left"/>
            </w:pPr>
            <w:r>
              <w:rPr>
                <w:sz w:val="18"/>
              </w:rPr>
            </w:r>
            <w:r>
              <w:rPr>
                <w:rFonts w:ascii="Times New Roman" w:hAnsi="Times New Roman"/>
                <w:b w:val="0"/>
                <w:sz w:val="18"/>
              </w:rPr>
              <w:t>0</w:t>
            </w:r>
          </w:p>
        </w:tc>
        <w:tc>
          <w:tcPr>
            <w:tcW w:type="dxa" w:w="1584"/>
            <w:vAlign w:val="top"/>
          </w:tcPr>
          <w:p>
            <w:pPr>
              <w:keepNext w:val="0"/>
              <w:spacing w:after="0" w:line="240" w:lineRule="auto"/>
              <w:jc w:val="left"/>
            </w:pPr>
            <w:r>
              <w:rPr>
                <w:sz w:val="18"/>
              </w:rPr>
            </w:r>
            <w:r>
              <w:rPr>
                <w:rFonts w:ascii="Times New Roman" w:hAnsi="Times New Roman"/>
                <w:b w:val="0"/>
                <w:sz w:val="18"/>
              </w:rPr>
              <w:t>Yes</w:t>
            </w:r>
          </w:p>
        </w:tc>
        <w:tc>
          <w:tcPr>
            <w:tcW w:type="dxa" w:w="1800"/>
            <w:vAlign w:val="top"/>
          </w:tcPr>
          <w:p>
            <w:pPr>
              <w:keepNext w:val="0"/>
              <w:spacing w:after="0" w:line="240" w:lineRule="auto"/>
              <w:jc w:val="left"/>
            </w:pPr>
            <w:r>
              <w:rPr>
                <w:sz w:val="18"/>
              </w:rPr>
            </w:r>
            <w:r>
              <w:rPr>
                <w:rFonts w:ascii="Times New Roman" w:hAnsi="Times New Roman"/>
                <w:b w:val="0"/>
                <w:sz w:val="18"/>
              </w:rPr>
              <w:t>0.000829</w:t>
            </w:r>
          </w:p>
        </w:tc>
        <w:tc>
          <w:tcPr>
            <w:tcW w:type="dxa" w:w="1800"/>
            <w:vAlign w:val="top"/>
          </w:tcPr>
          <w:p>
            <w:pPr>
              <w:keepNext w:val="0"/>
              <w:spacing w:after="0" w:line="240" w:lineRule="auto"/>
              <w:jc w:val="left"/>
            </w:pPr>
            <w:r>
              <w:rPr>
                <w:sz w:val="18"/>
              </w:rPr>
            </w:r>
            <w:r>
              <w:rPr>
                <w:rFonts w:ascii="Times New Roman" w:hAnsi="Times New Roman"/>
                <w:b w:val="0"/>
                <w:sz w:val="18"/>
              </w:rPr>
              <w:t>0.001957</w:t>
            </w:r>
          </w:p>
        </w:tc>
        <w:tc>
          <w:tcPr>
            <w:tcW w:type="dxa" w:w="1080"/>
            <w:vAlign w:val="top"/>
          </w:tcPr>
          <w:p>
            <w:pPr>
              <w:keepNext w:val="0"/>
              <w:spacing w:after="0" w:line="240" w:lineRule="auto"/>
              <w:jc w:val="left"/>
            </w:pPr>
            <w:r>
              <w:rPr>
                <w:sz w:val="18"/>
              </w:rPr>
            </w:r>
            <w:r>
              <w:rPr>
                <w:rFonts w:ascii="Times New Roman" w:hAnsi="Times New Roman"/>
                <w:b w:val="0"/>
                <w:sz w:val="18"/>
              </w:rPr>
              <w:t>No</w:t>
            </w:r>
          </w:p>
        </w:tc>
        <w:tc>
          <w:tcPr>
            <w:tcW w:type="dxa" w:w="936"/>
            <w:vAlign w:val="top"/>
          </w:tcPr>
          <w:p>
            <w:pPr>
              <w:keepNext w:val="0"/>
              <w:spacing w:after="0" w:line="240" w:lineRule="auto"/>
              <w:jc w:val="left"/>
            </w:pPr>
            <w:r>
              <w:rPr>
                <w:sz w:val="18"/>
              </w:rPr>
            </w:r>
            <w:r>
              <w:rPr>
                <w:rFonts w:ascii="Times New Roman" w:hAnsi="Times New Roman"/>
                <w:b w:val="0"/>
                <w:sz w:val="18"/>
              </w:rPr>
              <w:t>No</w:t>
            </w:r>
          </w:p>
        </w:tc>
      </w:tr>
    </w:tbl>
    <w:p>
      <w:pPr>
        <w:widowControl/>
      </w:pPr>
    </w:p>
    <w:p>
      <w:pPr>
        <w:pStyle w:val="Caption"/>
        <w:widowControl/>
      </w:pPr>
      <w:r>
        <w:t>Table S14. Pooled profile-specific outward boundary-location results. Panel A summarises descriptive spatial interpretations; Panels B–D report the legal boundary and the three spaced outer locations. The dense outer envelope uses all ten outward offsets from +15 to +60 km. “Legal-boundary-aligned” means more extreme than the evaluated outward sequence; it does not imply uniqueness in all directions or a causal legal-protection effect.</w:t>
      </w:r>
    </w:p>
    <w:p>
      <w:pPr>
        <w:pStyle w:val="BodyText"/>
        <w:keepNext/>
        <w:widowControl/>
      </w:pPr>
      <w:r>
        <w:t>Panel A. Outward boundary-location comparison summary. The dense outer 80% envelope is the interval between the 10th and 90th percentiles of the ten outward point estimates and is descriptive rather than a confidence interval or randomised null distribution.</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728"/>
        <w:gridCol w:w="1728"/>
        <w:gridCol w:w="1728"/>
        <w:gridCol w:w="1728"/>
        <w:gridCol w:w="1728"/>
        <w:gridCol w:w="1728"/>
      </w:tblGrid>
      <w:tr>
        <w:trPr>
          <w:tblHeader w:val="true"/>
          <w:tblHeader/>
        </w:trP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sz w:val="18"/>
              </w:rPr>
              <w:t>Outcome</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sz w:val="18"/>
              </w:rPr>
              <w:t>Profile</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sz w:val="18"/>
              </w:rPr>
              <w:t>Legal boundary</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sz w:val="18"/>
              </w:rPr>
              <w:t>Spaced-outer range</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sz w:val="18"/>
              </w:rPr>
              <w:t>Dense outer 10th–90th percentile result</w:t>
            </w:r>
          </w:p>
        </w:tc>
        <w:tc>
          <w:tcPr>
            <w:tcW w:type="dxa" w:w="1584"/>
            <w:vAlign w:val="center"/>
          </w:tcPr>
          <w:p>
            <w:pPr>
              <w:keepNext w:val="0"/>
              <w:spacing w:before="0" w:after="0" w:line="240" w:lineRule="auto"/>
              <w:jc w:val="left"/>
            </w:pPr>
            <w:r>
              <w:rPr>
                <w:rFonts w:ascii="Times New Roman" w:hAnsi="Times New Roman"/>
                <w:b/>
                <w:sz w:val="18"/>
              </w:rPr>
              <w:t>Descriptive interpretation</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-0.846 [-1.293, -0.399]</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-0.393 to 0.378</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below outer 10th percentile</w:t>
            </w:r>
          </w:p>
        </w:tc>
        <w:tc>
          <w:tcPr>
            <w:tcW w:type="dxa" w:w="1584"/>
            <w:vAlign w:val="center"/>
          </w:tcPr>
          <w:p>
            <w:pPr>
              <w:keepNext w:val="0"/>
              <w:spacing w:before="0" w:after="0" w:line="240" w:lineRule="auto"/>
              <w:jc w:val="left"/>
            </w:pPr>
            <w:r>
              <w:rPr>
                <w:rFonts w:ascii="Times New Roman" w:hAnsi="Times New Roman"/>
                <w:sz w:val="18"/>
              </w:rPr>
              <w:t>legal-boundary-aligned among evaluated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-0.898 [-1.509, -0.287]</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0.132 to 0.309</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below outer 10th percentile</w:t>
            </w:r>
          </w:p>
        </w:tc>
        <w:tc>
          <w:tcPr>
            <w:tcW w:type="dxa" w:w="1584"/>
            <w:vAlign w:val="center"/>
          </w:tcPr>
          <w:p>
            <w:pPr>
              <w:keepNext w:val="0"/>
              <w:spacing w:before="0" w:after="0" w:line="240" w:lineRule="auto"/>
              <w:jc w:val="left"/>
            </w:pPr>
            <w:r>
              <w:rPr>
                <w:rFonts w:ascii="Times New Roman" w:hAnsi="Times New Roman"/>
                <w:sz w:val="18"/>
              </w:rPr>
              <w:t>legal-boundary-aligned among evaluated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-1.430 [-1.941, -0.919]</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-0.417 to 0.504</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below outer 10th percentile</w:t>
            </w:r>
          </w:p>
        </w:tc>
        <w:tc>
          <w:tcPr>
            <w:tcW w:type="dxa" w:w="1584"/>
            <w:vAlign w:val="center"/>
          </w:tcPr>
          <w:p>
            <w:pPr>
              <w:keepNext w:val="0"/>
              <w:spacing w:before="0" w:after="0" w:line="240" w:lineRule="auto"/>
              <w:jc w:val="left"/>
            </w:pPr>
            <w:r>
              <w:rPr>
                <w:rFonts w:ascii="Times New Roman" w:hAnsi="Times New Roman"/>
                <w:sz w:val="18"/>
              </w:rPr>
              <w:t>legal-boundary-aligned among evaluated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0.170 [0.112, 0.229]</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-0.314 to 0.422</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within outer 10th–90th percentile interval</w:t>
            </w:r>
          </w:p>
        </w:tc>
        <w:tc>
          <w:tcPr>
            <w:tcW w:type="dxa" w:w="1584"/>
            <w:vAlign w:val="center"/>
          </w:tcPr>
          <w:p>
            <w:pPr>
              <w:keepNext w:val="0"/>
              <w:spacing w:before="0" w:after="0" w:line="240" w:lineRule="auto"/>
              <w:jc w:val="left"/>
            </w:pPr>
            <w:r>
              <w:rPr>
                <w:rFonts w:ascii="Times New Roman" w:hAnsi="Times New Roman"/>
                <w:sz w:val="18"/>
              </w:rPr>
              <w:t>comparable contrasts recur at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0.011 [-0.054, 0.075]</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-0.350 to 0.513</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within outer 10th–90th percentile interval</w:t>
            </w:r>
          </w:p>
        </w:tc>
        <w:tc>
          <w:tcPr>
            <w:tcW w:type="dxa" w:w="1584"/>
            <w:vAlign w:val="center"/>
          </w:tcPr>
          <w:p>
            <w:pPr>
              <w:keepNext w:val="0"/>
              <w:spacing w:before="0" w:after="0" w:line="240" w:lineRule="auto"/>
              <w:jc w:val="left"/>
            </w:pPr>
            <w:r>
              <w:rPr>
                <w:rFonts w:ascii="Times New Roman" w:hAnsi="Times New Roman"/>
                <w:sz w:val="18"/>
              </w:rPr>
              <w:t>comparable contrasts recur at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0.068 [0.008, 0.128]</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-0.484 to 0.478</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within outer 10th–90th percentile interval</w:t>
            </w:r>
          </w:p>
        </w:tc>
        <w:tc>
          <w:tcPr>
            <w:tcW w:type="dxa" w:w="1584"/>
            <w:vAlign w:val="center"/>
          </w:tcPr>
          <w:p>
            <w:pPr>
              <w:keepNext w:val="0"/>
              <w:spacing w:before="0" w:after="0" w:line="240" w:lineRule="auto"/>
              <w:jc w:val="left"/>
            </w:pPr>
            <w:r>
              <w:rPr>
                <w:rFonts w:ascii="Times New Roman" w:hAnsi="Times New Roman"/>
                <w:sz w:val="18"/>
              </w:rPr>
              <w:t>comparable contrasts recur at outward offsets</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0.286 [-0.164, 0.737]</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-0.304 to 0.270</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above outer 90th percentile</w:t>
            </w:r>
          </w:p>
        </w:tc>
        <w:tc>
          <w:tcPr>
            <w:tcW w:type="dxa" w:w="1584"/>
            <w:vAlign w:val="center"/>
          </w:tcPr>
          <w:p>
            <w:pPr>
              <w:keepNext w:val="0"/>
              <w:spacing w:before="0" w:after="0" w:line="240" w:lineRule="auto"/>
              <w:jc w:val="left"/>
            </w:pPr>
            <w:r>
              <w:rPr>
                <w:rFonts w:ascii="Times New Roman" w:hAnsi="Times New Roman"/>
                <w:sz w:val="18"/>
              </w:rPr>
              <w:t>inconclusive</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0.222 [-0.048, 0.492]</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-0.268 to 0.134</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within outer 10th–90th percentile interval</w:t>
            </w:r>
          </w:p>
        </w:tc>
        <w:tc>
          <w:tcPr>
            <w:tcW w:type="dxa" w:w="1584"/>
            <w:vAlign w:val="center"/>
          </w:tcPr>
          <w:p>
            <w:pPr>
              <w:keepNext w:val="0"/>
              <w:spacing w:before="0" w:after="0" w:line="240" w:lineRule="auto"/>
              <w:jc w:val="left"/>
            </w:pPr>
            <w:r>
              <w:rPr>
                <w:rFonts w:ascii="Times New Roman" w:hAnsi="Times New Roman"/>
                <w:sz w:val="18"/>
              </w:rPr>
              <w:t>inconclusive</w:t>
            </w:r>
          </w:p>
        </w:tc>
      </w:tr>
      <w:tr>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-0.347 [-0.657, -0.037]</w:t>
            </w:r>
          </w:p>
        </w:tc>
        <w:tc>
          <w:tcPr>
            <w:tcW w:type="dxa" w:w="165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-0.201 to -0.049</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Legal estimate within outer 10th–90th percentile interval</w:t>
            </w:r>
          </w:p>
        </w:tc>
        <w:tc>
          <w:tcPr>
            <w:tcW w:type="dxa" w:w="1584"/>
            <w:vAlign w:val="center"/>
          </w:tcPr>
          <w:p>
            <w:pPr>
              <w:keepNext w:val="0"/>
              <w:spacing w:before="0" w:after="0" w:line="240" w:lineRule="auto"/>
              <w:jc w:val="left"/>
            </w:pPr>
            <w:r>
              <w:rPr>
                <w:rFonts w:ascii="Times New Roman" w:hAnsi="Times New Roman"/>
                <w:sz w:val="18"/>
              </w:rPr>
              <w:t>inconclusive</w:t>
            </w:r>
          </w:p>
        </w:tc>
      </w:tr>
    </w:tbl>
    <w:p>
      <w:pPr>
        <w:widowControl/>
      </w:pPr>
    </w:p>
    <w:p>
      <w:pPr>
        <w:pStyle w:val="BodyText"/>
        <w:keepNext/>
        <w:widowControl/>
      </w:pPr>
      <w:r>
        <w:rPr>
          <w:b/>
        </w:rPr>
        <w:t>Panel B. Tree-cover-loss estimates.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val="true"/>
          <w:tblHeader/>
        </w:trPr>
        <w:tc>
          <w:tcPr>
            <w:tcW w:type="dxa" w:w="2376"/>
            <w:vAlign w:val="top"/>
          </w:tcPr>
          <w:p>
            <w:pPr>
              <w:keepNext w:val="0"/>
              <w:spacing w:after="0" w:line="240" w:lineRule="auto"/>
              <w:jc w:val="left"/>
            </w:pPr>
            <w:r>
              <w:rPr>
                <w:sz w:val="18"/>
              </w:rPr>
            </w:r>
            <w:r>
              <w:rPr>
                <w:rFonts w:ascii="Times New Roman" w:hAnsi="Times New Roman"/>
                <w:b/>
                <w:sz w:val="18"/>
              </w:rPr>
              <w:t>Profile / support</w:t>
            </w:r>
          </w:p>
        </w:tc>
        <w:tc>
          <w:tcPr>
            <w:tcW w:type="dxa" w:w="2088"/>
            <w:vAlign w:val="top"/>
          </w:tcPr>
          <w:p>
            <w:pPr>
              <w:keepNext w:val="0"/>
              <w:spacing w:after="0" w:line="240" w:lineRule="auto"/>
              <w:jc w:val="left"/>
            </w:pPr>
            <w:r>
              <w:rPr>
                <w:sz w:val="18"/>
              </w:rPr>
            </w:r>
            <w:r>
              <w:rPr>
                <w:rFonts w:ascii="Times New Roman" w:hAnsi="Times New Roman"/>
                <w:b/>
                <w:sz w:val="18"/>
              </w:rPr>
              <w:t>Legal boundary</w:t>
            </w:r>
          </w:p>
        </w:tc>
        <w:tc>
          <w:tcPr>
            <w:tcW w:type="dxa" w:w="2088"/>
            <w:vAlign w:val="top"/>
          </w:tcPr>
          <w:p>
            <w:pPr>
              <w:keepNext w:val="0"/>
              <w:spacing w:after="0" w:line="240" w:lineRule="auto"/>
              <w:jc w:val="left"/>
            </w:pPr>
            <w:r>
              <w:rPr>
                <w:sz w:val="18"/>
              </w:rPr>
            </w:r>
            <w:r>
              <w:rPr>
                <w:rFonts w:ascii="Times New Roman" w:hAnsi="Times New Roman"/>
                <w:b/>
                <w:sz w:val="18"/>
              </w:rPr>
              <w:t>+20 km</w:t>
            </w:r>
          </w:p>
        </w:tc>
        <w:tc>
          <w:tcPr>
            <w:tcW w:type="dxa" w:w="2088"/>
            <w:vAlign w:val="top"/>
          </w:tcPr>
          <w:p>
            <w:pPr>
              <w:keepNext w:val="0"/>
              <w:spacing w:after="0" w:line="240" w:lineRule="auto"/>
              <w:jc w:val="left"/>
            </w:pPr>
            <w:r>
              <w:rPr>
                <w:sz w:val="18"/>
              </w:rPr>
            </w:r>
            <w:r>
              <w:rPr>
                <w:rFonts w:ascii="Times New Roman" w:hAnsi="Times New Roman"/>
                <w:b/>
                <w:sz w:val="18"/>
              </w:rPr>
              <w:t>+40 km</w:t>
            </w:r>
          </w:p>
        </w:tc>
        <w:tc>
          <w:tcPr>
            <w:tcW w:type="dxa" w:w="2088"/>
            <w:vAlign w:val="top"/>
          </w:tcPr>
          <w:p>
            <w:pPr>
              <w:keepNext w:val="0"/>
              <w:spacing w:after="0" w:line="240" w:lineRule="auto"/>
              <w:jc w:val="left"/>
            </w:pPr>
            <w:r>
              <w:rPr>
                <w:sz w:val="18"/>
              </w:rPr>
            </w:r>
            <w:r>
              <w:rPr>
                <w:rFonts w:ascii="Times New Roman" w:hAnsi="Times New Roman"/>
                <w:b/>
                <w:sz w:val="18"/>
              </w:rPr>
              <w:t>+60 km</w:t>
            </w:r>
          </w:p>
        </w:tc>
      </w:tr>
      <w:tr>
        <w:tc>
          <w:tcPr>
            <w:tcW w:type="dxa" w:w="2376"/>
            <w:vAlign w:val="top"/>
          </w:tcPr>
          <w:p>
            <w:pPr>
              <w:keepNext w:val="0"/>
              <w:spacing w:after="0" w:line="240" w:lineRule="auto"/>
              <w:jc w:val="left"/>
            </w:pPr>
            <w:r>
              <w:rPr>
                <w:sz w:val="18"/>
              </w:rPr>
            </w:r>
            <w:r>
              <w:rPr>
                <w:rFonts w:ascii="Times New Roman" w:hAnsi="Times New Roman"/>
                <w:b w:val="0"/>
                <w:sz w:val="18"/>
              </w:rPr>
              <w:t>Fragmented control</w:t>
            </w:r>
          </w:p>
        </w:tc>
        <w:tc>
          <w:tcPr>
            <w:tcW w:type="dxa" w:w="2088"/>
            <w:vAlign w:val="top"/>
          </w:tcPr>
          <w:p>
            <w:pPr>
              <w:keepNext w:val="0"/>
              <w:spacing w:after="0" w:line="240" w:lineRule="auto"/>
              <w:jc w:val="left"/>
            </w:pPr>
            <w:r>
              <w:rPr>
                <w:sz w:val="18"/>
              </w:rPr>
            </w:r>
            <w:r>
              <w:rPr>
                <w:rFonts w:ascii="Times New Roman" w:hAnsi="Times New Roman"/>
                <w:b w:val="0"/>
                <w:sz w:val="18"/>
              </w:rPr>
              <w:t>-0.846 [-1.293, -0.399]</w:t>
            </w:r>
          </w:p>
        </w:tc>
        <w:tc>
          <w:tcPr>
            <w:tcW w:type="dxa" w:w="2088"/>
            <w:vAlign w:val="top"/>
          </w:tcPr>
          <w:p>
            <w:pPr>
              <w:keepNext w:val="0"/>
              <w:spacing w:after="0" w:line="240" w:lineRule="auto"/>
              <w:jc w:val="left"/>
            </w:pPr>
            <w:r>
              <w:rPr>
                <w:sz w:val="18"/>
              </w:rPr>
            </w:r>
            <w:r>
              <w:rPr>
                <w:rFonts w:ascii="Times New Roman" w:hAnsi="Times New Roman"/>
                <w:b w:val="0"/>
                <w:sz w:val="18"/>
              </w:rPr>
              <w:t>-0.393 [-0.703, -0.083]</w:t>
            </w:r>
          </w:p>
        </w:tc>
        <w:tc>
          <w:tcPr>
            <w:tcW w:type="dxa" w:w="2088"/>
            <w:vAlign w:val="top"/>
          </w:tcPr>
          <w:p>
            <w:pPr>
              <w:keepNext w:val="0"/>
              <w:spacing w:after="0" w:line="240" w:lineRule="auto"/>
              <w:jc w:val="left"/>
            </w:pPr>
            <w:r>
              <w:rPr>
                <w:sz w:val="18"/>
              </w:rPr>
            </w:r>
            <w:r>
              <w:rPr>
                <w:rFonts w:ascii="Times New Roman" w:hAnsi="Times New Roman"/>
                <w:b w:val="0"/>
                <w:sz w:val="18"/>
              </w:rPr>
              <w:t>0.378 [0.111, 0.644]</w:t>
            </w:r>
          </w:p>
        </w:tc>
        <w:tc>
          <w:tcPr>
            <w:tcW w:type="dxa" w:w="2088"/>
            <w:vAlign w:val="top"/>
          </w:tcPr>
          <w:p>
            <w:pPr>
              <w:keepNext w:val="0"/>
              <w:spacing w:after="0" w:line="240" w:lineRule="auto"/>
              <w:jc w:val="left"/>
            </w:pPr>
            <w:r>
              <w:rPr>
                <w:sz w:val="18"/>
              </w:rPr>
            </w:r>
            <w:r>
              <w:rPr>
                <w:rFonts w:ascii="Times New Roman" w:hAnsi="Times New Roman"/>
                <w:b w:val="0"/>
                <w:sz w:val="18"/>
              </w:rPr>
              <w:t>-0.098 [-0.415, 0.219]</w:t>
            </w:r>
          </w:p>
        </w:tc>
      </w:tr>
      <w:tr>
        <w:tc>
          <w:tcPr>
            <w:tcW w:type="dxa" w:w="2376"/>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2088"/>
            <w:vAlign w:val="top"/>
          </w:tcPr>
          <w:p>
            <w:pPr>
              <w:keepNext w:val="0"/>
              <w:spacing w:after="0" w:line="240" w:lineRule="auto"/>
              <w:jc w:val="left"/>
            </w:pPr>
            <w:r>
              <w:rPr>
                <w:sz w:val="18"/>
              </w:rPr>
            </w:r>
            <w:r>
              <w:rPr>
                <w:rFonts w:ascii="Times New Roman" w:hAnsi="Times New Roman"/>
                <w:b w:val="0"/>
                <w:sz w:val="18"/>
              </w:rPr>
              <w:t>-0.898 [-1.509, -0.287]</w:t>
            </w:r>
          </w:p>
        </w:tc>
        <w:tc>
          <w:tcPr>
            <w:tcW w:type="dxa" w:w="2088"/>
            <w:vAlign w:val="top"/>
          </w:tcPr>
          <w:p>
            <w:pPr>
              <w:keepNext w:val="0"/>
              <w:spacing w:after="0" w:line="240" w:lineRule="auto"/>
              <w:jc w:val="left"/>
            </w:pPr>
            <w:r>
              <w:rPr>
                <w:sz w:val="18"/>
              </w:rPr>
            </w:r>
            <w:r>
              <w:rPr>
                <w:rFonts w:ascii="Times New Roman" w:hAnsi="Times New Roman"/>
                <w:b w:val="0"/>
                <w:sz w:val="18"/>
              </w:rPr>
              <w:t>0.132 [-0.334, 0.598]</w:t>
            </w:r>
          </w:p>
        </w:tc>
        <w:tc>
          <w:tcPr>
            <w:tcW w:type="dxa" w:w="2088"/>
            <w:vAlign w:val="top"/>
          </w:tcPr>
          <w:p>
            <w:pPr>
              <w:keepNext w:val="0"/>
              <w:spacing w:after="0" w:line="240" w:lineRule="auto"/>
              <w:jc w:val="left"/>
            </w:pPr>
            <w:r>
              <w:rPr>
                <w:sz w:val="18"/>
              </w:rPr>
            </w:r>
            <w:r>
              <w:rPr>
                <w:rFonts w:ascii="Times New Roman" w:hAnsi="Times New Roman"/>
                <w:b w:val="0"/>
                <w:sz w:val="18"/>
              </w:rPr>
              <w:t>0.177 [-0.291, 0.646]</w:t>
            </w:r>
          </w:p>
        </w:tc>
        <w:tc>
          <w:tcPr>
            <w:tcW w:type="dxa" w:w="2088"/>
            <w:vAlign w:val="top"/>
          </w:tcPr>
          <w:p>
            <w:pPr>
              <w:keepNext w:val="0"/>
              <w:spacing w:after="0" w:line="240" w:lineRule="auto"/>
              <w:jc w:val="left"/>
            </w:pPr>
            <w:r>
              <w:rPr>
                <w:sz w:val="18"/>
              </w:rPr>
            </w:r>
            <w:r>
              <w:rPr>
                <w:rFonts w:ascii="Times New Roman" w:hAnsi="Times New Roman"/>
                <w:b w:val="0"/>
                <w:sz w:val="18"/>
              </w:rPr>
              <w:t>0.309 [-0.143, 0.762]</w:t>
            </w:r>
          </w:p>
        </w:tc>
      </w:tr>
      <w:tr>
        <w:tc>
          <w:tcPr>
            <w:tcW w:type="dxa" w:w="2376"/>
            <w:vAlign w:val="top"/>
          </w:tcPr>
          <w:p>
            <w:pPr>
              <w:keepNext w:val="0"/>
              <w:spacing w:after="0" w:line="240" w:lineRule="auto"/>
              <w:jc w:val="left"/>
            </w:pPr>
            <w:r>
              <w:rPr>
                <w:sz w:val="18"/>
              </w:rPr>
            </w:r>
            <w:r>
              <w:rPr>
                <w:rFonts w:ascii="Times New Roman" w:hAnsi="Times New Roman"/>
                <w:b w:val="0"/>
                <w:sz w:val="18"/>
              </w:rPr>
              <w:t>Park-centred control</w:t>
            </w:r>
          </w:p>
        </w:tc>
        <w:tc>
          <w:tcPr>
            <w:tcW w:type="dxa" w:w="2088"/>
            <w:vAlign w:val="top"/>
          </w:tcPr>
          <w:p>
            <w:pPr>
              <w:keepNext w:val="0"/>
              <w:spacing w:after="0" w:line="240" w:lineRule="auto"/>
              <w:jc w:val="left"/>
            </w:pPr>
            <w:r>
              <w:rPr>
                <w:sz w:val="18"/>
              </w:rPr>
            </w:r>
            <w:r>
              <w:rPr>
                <w:rFonts w:ascii="Times New Roman" w:hAnsi="Times New Roman"/>
                <w:b w:val="0"/>
                <w:sz w:val="18"/>
              </w:rPr>
              <w:t>-1.430 [-1.941, -0.919]</w:t>
            </w:r>
          </w:p>
        </w:tc>
        <w:tc>
          <w:tcPr>
            <w:tcW w:type="dxa" w:w="2088"/>
            <w:vAlign w:val="top"/>
          </w:tcPr>
          <w:p>
            <w:pPr>
              <w:keepNext w:val="0"/>
              <w:spacing w:after="0" w:line="240" w:lineRule="auto"/>
              <w:jc w:val="left"/>
            </w:pPr>
            <w:r>
              <w:rPr>
                <w:sz w:val="18"/>
              </w:rPr>
            </w:r>
            <w:r>
              <w:rPr>
                <w:rFonts w:ascii="Times New Roman" w:hAnsi="Times New Roman"/>
                <w:b w:val="0"/>
                <w:sz w:val="18"/>
              </w:rPr>
              <w:t>-0.417 [-0.665, -0.170]</w:t>
            </w:r>
          </w:p>
        </w:tc>
        <w:tc>
          <w:tcPr>
            <w:tcW w:type="dxa" w:w="2088"/>
            <w:vAlign w:val="top"/>
          </w:tcPr>
          <w:p>
            <w:pPr>
              <w:keepNext w:val="0"/>
              <w:spacing w:after="0" w:line="240" w:lineRule="auto"/>
              <w:jc w:val="left"/>
            </w:pPr>
            <w:r>
              <w:rPr>
                <w:sz w:val="18"/>
              </w:rPr>
            </w:r>
            <w:r>
              <w:rPr>
                <w:rFonts w:ascii="Times New Roman" w:hAnsi="Times New Roman"/>
                <w:b w:val="0"/>
                <w:sz w:val="18"/>
              </w:rPr>
              <w:t>0.504 [0.223, 0.784]</w:t>
            </w:r>
          </w:p>
        </w:tc>
        <w:tc>
          <w:tcPr>
            <w:tcW w:type="dxa" w:w="2088"/>
            <w:vAlign w:val="top"/>
          </w:tcPr>
          <w:p>
            <w:pPr>
              <w:keepNext w:val="0"/>
              <w:spacing w:after="0" w:line="240" w:lineRule="auto"/>
              <w:jc w:val="left"/>
            </w:pPr>
            <w:r>
              <w:rPr>
                <w:sz w:val="18"/>
              </w:rPr>
            </w:r>
            <w:r>
              <w:rPr>
                <w:rFonts w:ascii="Times New Roman" w:hAnsi="Times New Roman"/>
                <w:b w:val="0"/>
                <w:sz w:val="18"/>
              </w:rPr>
              <w:t>-0.070 [-0.394, 0.254]</w:t>
            </w:r>
          </w:p>
        </w:tc>
      </w:tr>
      <w:tr>
        <w:tc>
          <w:tcPr>
            <w:tcW w:type="dxa" w:w="2376"/>
            <w:vAlign w:val="top"/>
          </w:tcPr>
          <w:p>
            <w:pPr>
              <w:keepNext w:val="0"/>
              <w:spacing w:after="0" w:line="240" w:lineRule="auto"/>
              <w:jc w:val="left"/>
            </w:pPr>
            <w:r>
              <w:rPr>
                <w:sz w:val="18"/>
              </w:rPr>
            </w:r>
            <w:r>
              <w:rPr>
                <w:rFonts w:ascii="Times New Roman" w:hAnsi="Times New Roman"/>
                <w:b w:val="0"/>
                <w:sz w:val="18"/>
              </w:rPr>
              <w:t>Event support</w:t>
            </w:r>
          </w:p>
        </w:tc>
        <w:tc>
          <w:tcPr>
            <w:tcW w:type="dxa" w:w="2088"/>
            <w:vAlign w:val="top"/>
          </w:tcPr>
          <w:p>
            <w:pPr>
              <w:keepNext w:val="0"/>
              <w:spacing w:after="0" w:line="240" w:lineRule="auto"/>
              <w:jc w:val="left"/>
            </w:pPr>
            <w:r>
              <w:rPr>
                <w:sz w:val="18"/>
              </w:rPr>
            </w:r>
            <w:r>
              <w:rPr>
                <w:rFonts w:ascii="Times New Roman" w:hAnsi="Times New Roman"/>
                <w:b w:val="0"/>
                <w:sz w:val="18"/>
              </w:rPr>
              <w:t>519</w:t>
            </w:r>
          </w:p>
        </w:tc>
        <w:tc>
          <w:tcPr>
            <w:tcW w:type="dxa" w:w="2088"/>
            <w:vAlign w:val="top"/>
          </w:tcPr>
          <w:p>
            <w:pPr>
              <w:keepNext w:val="0"/>
              <w:spacing w:after="0" w:line="240" w:lineRule="auto"/>
              <w:jc w:val="left"/>
            </w:pPr>
            <w:r>
              <w:rPr>
                <w:sz w:val="18"/>
              </w:rPr>
            </w:r>
            <w:r>
              <w:rPr>
                <w:rFonts w:ascii="Times New Roman" w:hAnsi="Times New Roman"/>
                <w:b w:val="0"/>
                <w:sz w:val="18"/>
              </w:rPr>
              <w:t>813</w:t>
            </w:r>
          </w:p>
        </w:tc>
        <w:tc>
          <w:tcPr>
            <w:tcW w:type="dxa" w:w="2088"/>
            <w:vAlign w:val="top"/>
          </w:tcPr>
          <w:p>
            <w:pPr>
              <w:keepNext w:val="0"/>
              <w:spacing w:after="0" w:line="240" w:lineRule="auto"/>
              <w:jc w:val="left"/>
            </w:pPr>
            <w:r>
              <w:rPr>
                <w:sz w:val="18"/>
              </w:rPr>
            </w:r>
            <w:r>
              <w:rPr>
                <w:rFonts w:ascii="Times New Roman" w:hAnsi="Times New Roman"/>
                <w:b w:val="0"/>
                <w:sz w:val="18"/>
              </w:rPr>
              <w:t>1,666</w:t>
            </w:r>
          </w:p>
        </w:tc>
        <w:tc>
          <w:tcPr>
            <w:tcW w:type="dxa" w:w="2088"/>
            <w:vAlign w:val="top"/>
          </w:tcPr>
          <w:p>
            <w:pPr>
              <w:keepNext w:val="0"/>
              <w:spacing w:after="0" w:line="240" w:lineRule="auto"/>
              <w:jc w:val="left"/>
            </w:pPr>
            <w:r>
              <w:rPr>
                <w:sz w:val="18"/>
              </w:rPr>
            </w:r>
            <w:r>
              <w:rPr>
                <w:rFonts w:ascii="Times New Roman" w:hAnsi="Times New Roman"/>
                <w:b w:val="0"/>
                <w:sz w:val="18"/>
              </w:rPr>
              <w:t>1,525</w:t>
            </w:r>
          </w:p>
        </w:tc>
      </w:tr>
    </w:tbl>
    <w:p>
      <w:pPr>
        <w:widowControl/>
      </w:pPr>
    </w:p>
    <w:p>
      <w:pPr>
        <w:pStyle w:val="BodyText"/>
        <w:keepNext/>
        <w:widowControl/>
      </w:pPr>
      <w:r>
        <w:rPr>
          <w:b/>
        </w:rPr>
        <w:t>Panel C. Fire estimates.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val="true"/>
          <w:tblHeader/>
        </w:trPr>
        <w:tc>
          <w:tcPr>
            <w:tcW w:type="dxa" w:w="2376"/>
            <w:vAlign w:val="top"/>
          </w:tcPr>
          <w:p>
            <w:pPr>
              <w:keepNext w:val="0"/>
              <w:spacing w:after="0" w:line="240" w:lineRule="auto" w:before="0"/>
              <w:jc w:val="left"/>
            </w:pPr>
            <w:r>
              <w:rPr>
                <w:rFonts w:ascii="Times New Roman" w:hAnsi="Times New Roman"/>
                <w:sz w:val="18"/>
              </w:rPr>
            </w:r>
            <w:r>
              <w:rPr>
                <w:rFonts w:ascii="Times New Roman" w:hAnsi="Times New Roman"/>
                <w:b/>
                <w:sz w:val="18"/>
              </w:rPr>
              <w:t>Profile / support</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Legal boundary</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+20 km</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+40 km</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+60 km</w:t>
            </w:r>
          </w:p>
        </w:tc>
      </w:tr>
      <w:tr>
        <w:tc>
          <w:tcPr>
            <w:tcW w:type="dxa" w:w="237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Fragmented control</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0.170 [0.112, 0.229]</w:t>
            </w:r>
          </w:p>
        </w:tc>
        <w:tc>
          <w:tcPr>
            <w:tcW w:type="dxa" w:w="2088"/>
            <w:vAlign w:val="center"/>
          </w:tcPr>
          <w:p>
            <w:pPr>
              <w:keepNext w:val="0"/>
              <w:spacing w:before="0" w:after="0" w:line="240" w:lineRule="auto"/>
              <w:jc w:val="left"/>
            </w:pPr>
            <w:r>
              <w:rPr>
                <w:rFonts w:ascii="Times New Roman" w:hAnsi="Times New Roman"/>
                <w:sz w:val="18"/>
              </w:rPr>
              <w:t>0.422 (finite non-strict fit)</w:t>
            </w:r>
          </w:p>
        </w:tc>
        <w:tc>
          <w:tcPr>
            <w:tcW w:type="dxa" w:w="2088"/>
            <w:vAlign w:val="center"/>
          </w:tcPr>
          <w:p>
            <w:pPr>
              <w:keepNext w:val="0"/>
              <w:spacing w:before="0" w:after="0" w:line="240" w:lineRule="auto"/>
              <w:jc w:val="left"/>
            </w:pPr>
            <w:r>
              <w:rPr>
                <w:rFonts w:ascii="Times New Roman" w:hAnsi="Times New Roman"/>
                <w:sz w:val="18"/>
              </w:rPr>
              <w:t>-0.314 (finite non-strict fit)</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-0.148 [-0.221, -0.075]</w:t>
            </w:r>
          </w:p>
        </w:tc>
      </w:tr>
      <w:tr>
        <w:tc>
          <w:tcPr>
            <w:tcW w:type="dxa" w:w="237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control</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0.011 [-0.054, 0.075]</w:t>
            </w:r>
          </w:p>
        </w:tc>
        <w:tc>
          <w:tcPr>
            <w:tcW w:type="dxa" w:w="2088"/>
            <w:vAlign w:val="center"/>
          </w:tcPr>
          <w:p>
            <w:pPr>
              <w:keepNext w:val="0"/>
              <w:spacing w:before="0" w:after="0" w:line="240" w:lineRule="auto"/>
              <w:jc w:val="left"/>
            </w:pPr>
            <w:r>
              <w:rPr>
                <w:rFonts w:ascii="Times New Roman" w:hAnsi="Times New Roman"/>
                <w:sz w:val="18"/>
              </w:rPr>
              <w:t>0.513 (finite non-strict fit)</w:t>
            </w:r>
          </w:p>
        </w:tc>
        <w:tc>
          <w:tcPr>
            <w:tcW w:type="dxa" w:w="2088"/>
            <w:vAlign w:val="center"/>
          </w:tcPr>
          <w:p>
            <w:pPr>
              <w:keepNext w:val="0"/>
              <w:spacing w:before="0" w:after="0" w:line="240" w:lineRule="auto"/>
              <w:jc w:val="left"/>
            </w:pPr>
            <w:r>
              <w:rPr>
                <w:rFonts w:ascii="Times New Roman" w:hAnsi="Times New Roman"/>
                <w:sz w:val="18"/>
              </w:rPr>
              <w:t>-0.350 (finite non-strict fit)</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-0.208 [-0.289, -0.127]</w:t>
            </w:r>
          </w:p>
        </w:tc>
      </w:tr>
      <w:tr>
        <w:tc>
          <w:tcPr>
            <w:tcW w:type="dxa" w:w="237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Park-centred control</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0.068 [0.008, 0.128]</w:t>
            </w:r>
          </w:p>
        </w:tc>
        <w:tc>
          <w:tcPr>
            <w:tcW w:type="dxa" w:w="2088"/>
            <w:vAlign w:val="center"/>
          </w:tcPr>
          <w:p>
            <w:pPr>
              <w:keepNext w:val="0"/>
              <w:spacing w:before="0" w:after="0" w:line="240" w:lineRule="auto"/>
              <w:jc w:val="left"/>
            </w:pPr>
            <w:r>
              <w:rPr>
                <w:rFonts w:ascii="Times New Roman" w:hAnsi="Times New Roman"/>
                <w:sz w:val="18"/>
              </w:rPr>
              <w:t>0.478 (finite non-strict fit)</w:t>
            </w:r>
          </w:p>
        </w:tc>
        <w:tc>
          <w:tcPr>
            <w:tcW w:type="dxa" w:w="2088"/>
            <w:vAlign w:val="center"/>
          </w:tcPr>
          <w:p>
            <w:pPr>
              <w:keepNext w:val="0"/>
              <w:spacing w:before="0" w:after="0" w:line="240" w:lineRule="auto"/>
              <w:jc w:val="left"/>
            </w:pPr>
            <w:r>
              <w:rPr>
                <w:rFonts w:ascii="Times New Roman" w:hAnsi="Times New Roman"/>
                <w:sz w:val="18"/>
              </w:rPr>
              <w:t>-0.484 (finite non-strict fit)</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-0.130 [-0.205, -0.055]</w:t>
            </w:r>
          </w:p>
        </w:tc>
      </w:tr>
      <w:tr>
        <w:tc>
          <w:tcPr>
            <w:tcW w:type="dxa" w:w="2376"/>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Event support</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508,320</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426,962</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404,121</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446,426</w:t>
            </w:r>
          </w:p>
        </w:tc>
      </w:tr>
    </w:tbl>
    <w:p>
      <w:pPr>
        <w:widowControl/>
      </w:pPr>
    </w:p>
    <w:p>
      <w:pPr>
        <w:pStyle w:val="BodyText"/>
        <w:keepNext/>
        <w:widowControl/>
      </w:pPr>
      <w:r>
        <w:rPr>
          <w:b/>
        </w:rPr>
        <w:t>Panel D. Agricultural-expansion estimates.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val="true"/>
          <w:tblHeader/>
        </w:trPr>
        <w:tc>
          <w:tcPr>
            <w:tcW w:type="dxa" w:w="2376"/>
            <w:vAlign w:val="top"/>
          </w:tcPr>
          <w:p>
            <w:pPr>
              <w:keepNext w:val="0"/>
              <w:spacing w:after="0" w:line="240" w:lineRule="auto"/>
              <w:jc w:val="left"/>
            </w:pPr>
            <w:r>
              <w:rPr>
                <w:sz w:val="18"/>
              </w:rPr>
            </w:r>
            <w:r>
              <w:rPr>
                <w:rFonts w:ascii="Times New Roman" w:hAnsi="Times New Roman"/>
                <w:b/>
                <w:sz w:val="18"/>
              </w:rPr>
              <w:t>Profile / support</w:t>
            </w:r>
          </w:p>
        </w:tc>
        <w:tc>
          <w:tcPr>
            <w:tcW w:type="dxa" w:w="2088"/>
            <w:vAlign w:val="top"/>
          </w:tcPr>
          <w:p>
            <w:pPr>
              <w:keepNext w:val="0"/>
              <w:spacing w:after="0" w:line="240" w:lineRule="auto"/>
              <w:jc w:val="left"/>
            </w:pPr>
            <w:r>
              <w:rPr>
                <w:sz w:val="18"/>
              </w:rPr>
            </w:r>
            <w:r>
              <w:rPr>
                <w:rFonts w:ascii="Times New Roman" w:hAnsi="Times New Roman"/>
                <w:b/>
                <w:sz w:val="18"/>
              </w:rPr>
              <w:t>Legal boundary</w:t>
            </w:r>
          </w:p>
        </w:tc>
        <w:tc>
          <w:tcPr>
            <w:tcW w:type="dxa" w:w="2088"/>
            <w:vAlign w:val="top"/>
          </w:tcPr>
          <w:p>
            <w:pPr>
              <w:keepNext w:val="0"/>
              <w:spacing w:after="0" w:line="240" w:lineRule="auto"/>
              <w:jc w:val="left"/>
            </w:pPr>
            <w:r>
              <w:rPr>
                <w:sz w:val="18"/>
              </w:rPr>
            </w:r>
            <w:r>
              <w:rPr>
                <w:rFonts w:ascii="Times New Roman" w:hAnsi="Times New Roman"/>
                <w:b/>
                <w:sz w:val="18"/>
              </w:rPr>
              <w:t>+20 km</w:t>
            </w:r>
          </w:p>
        </w:tc>
        <w:tc>
          <w:tcPr>
            <w:tcW w:type="dxa" w:w="2088"/>
            <w:vAlign w:val="top"/>
          </w:tcPr>
          <w:p>
            <w:pPr>
              <w:keepNext w:val="0"/>
              <w:spacing w:after="0" w:line="240" w:lineRule="auto"/>
              <w:jc w:val="left"/>
            </w:pPr>
            <w:r>
              <w:rPr>
                <w:sz w:val="18"/>
              </w:rPr>
            </w:r>
            <w:r>
              <w:rPr>
                <w:rFonts w:ascii="Times New Roman" w:hAnsi="Times New Roman"/>
                <w:b/>
                <w:sz w:val="18"/>
              </w:rPr>
              <w:t>+40 km</w:t>
            </w:r>
          </w:p>
        </w:tc>
        <w:tc>
          <w:tcPr>
            <w:tcW w:type="dxa" w:w="2088"/>
            <w:vAlign w:val="top"/>
          </w:tcPr>
          <w:p>
            <w:pPr>
              <w:keepNext w:val="0"/>
              <w:spacing w:after="0" w:line="240" w:lineRule="auto"/>
              <w:jc w:val="left"/>
            </w:pPr>
            <w:r>
              <w:rPr>
                <w:sz w:val="18"/>
              </w:rPr>
            </w:r>
            <w:r>
              <w:rPr>
                <w:rFonts w:ascii="Times New Roman" w:hAnsi="Times New Roman"/>
                <w:b/>
                <w:sz w:val="18"/>
              </w:rPr>
              <w:t>+60 km</w:t>
            </w:r>
          </w:p>
        </w:tc>
      </w:tr>
      <w:tr>
        <w:tc>
          <w:tcPr>
            <w:tcW w:type="dxa" w:w="2376"/>
            <w:vAlign w:val="top"/>
          </w:tcPr>
          <w:p>
            <w:pPr>
              <w:keepNext w:val="0"/>
              <w:spacing w:after="0" w:line="240" w:lineRule="auto"/>
              <w:jc w:val="left"/>
            </w:pPr>
            <w:r>
              <w:rPr>
                <w:sz w:val="18"/>
              </w:rPr>
            </w:r>
            <w:r>
              <w:rPr>
                <w:rFonts w:ascii="Times New Roman" w:hAnsi="Times New Roman"/>
                <w:b w:val="0"/>
                <w:sz w:val="18"/>
              </w:rPr>
              <w:t>Fragmented control</w:t>
            </w:r>
          </w:p>
        </w:tc>
        <w:tc>
          <w:tcPr>
            <w:tcW w:type="dxa" w:w="2088"/>
            <w:vAlign w:val="top"/>
          </w:tcPr>
          <w:p>
            <w:pPr>
              <w:keepNext w:val="0"/>
              <w:spacing w:after="0" w:line="240" w:lineRule="auto"/>
              <w:jc w:val="left"/>
            </w:pPr>
            <w:r>
              <w:rPr>
                <w:sz w:val="18"/>
              </w:rPr>
            </w:r>
            <w:r>
              <w:rPr>
                <w:rFonts w:ascii="Times New Roman" w:hAnsi="Times New Roman"/>
                <w:b w:val="0"/>
                <w:sz w:val="18"/>
              </w:rPr>
              <w:t>0.286 [-0.164, 0.737]</w:t>
            </w:r>
          </w:p>
        </w:tc>
        <w:tc>
          <w:tcPr>
            <w:tcW w:type="dxa" w:w="2088"/>
            <w:vAlign w:val="top"/>
          </w:tcPr>
          <w:p>
            <w:pPr>
              <w:keepNext w:val="0"/>
              <w:spacing w:after="0" w:line="240" w:lineRule="auto"/>
              <w:jc w:val="left"/>
            </w:pPr>
            <w:r>
              <w:rPr>
                <w:sz w:val="18"/>
              </w:rPr>
            </w:r>
            <w:r>
              <w:rPr>
                <w:rFonts w:ascii="Times New Roman" w:hAnsi="Times New Roman"/>
                <w:b w:val="0"/>
                <w:sz w:val="18"/>
              </w:rPr>
              <w:t>-0.002 [-0.446, 0.442]</w:t>
            </w:r>
          </w:p>
        </w:tc>
        <w:tc>
          <w:tcPr>
            <w:tcW w:type="dxa" w:w="2088"/>
            <w:vAlign w:val="top"/>
          </w:tcPr>
          <w:p>
            <w:pPr>
              <w:keepNext w:val="0"/>
              <w:spacing w:after="0" w:line="240" w:lineRule="auto"/>
              <w:jc w:val="left"/>
            </w:pPr>
            <w:r>
              <w:rPr>
                <w:sz w:val="18"/>
              </w:rPr>
            </w:r>
            <w:r>
              <w:rPr>
                <w:rFonts w:ascii="Times New Roman" w:hAnsi="Times New Roman"/>
                <w:b w:val="0"/>
                <w:sz w:val="18"/>
              </w:rPr>
              <w:t>0.270 [-0.018, 0.558]</w:t>
            </w:r>
          </w:p>
        </w:tc>
        <w:tc>
          <w:tcPr>
            <w:tcW w:type="dxa" w:w="2088"/>
            <w:vAlign w:val="top"/>
          </w:tcPr>
          <w:p>
            <w:pPr>
              <w:keepNext w:val="0"/>
              <w:spacing w:after="0" w:line="240" w:lineRule="auto"/>
              <w:jc w:val="left"/>
            </w:pPr>
            <w:r>
              <w:rPr>
                <w:sz w:val="18"/>
              </w:rPr>
            </w:r>
            <w:r>
              <w:rPr>
                <w:rFonts w:ascii="Times New Roman" w:hAnsi="Times New Roman"/>
                <w:b w:val="0"/>
                <w:sz w:val="18"/>
              </w:rPr>
              <w:t>-0.304 [-0.573, -0.036]</w:t>
            </w:r>
          </w:p>
        </w:tc>
      </w:tr>
      <w:tr>
        <w:tc>
          <w:tcPr>
            <w:tcW w:type="dxa" w:w="2376"/>
            <w:vAlign w:val="top"/>
          </w:tcPr>
          <w:p>
            <w:pPr>
              <w:keepNext w:val="0"/>
              <w:spacing w:after="0" w:line="240" w:lineRule="auto"/>
              <w:jc w:val="left"/>
            </w:pPr>
            <w:r>
              <w:rPr>
                <w:sz w:val="18"/>
              </w:rPr>
            </w:r>
            <w:r>
              <w:rPr>
                <w:rFonts w:ascii="Times New Roman" w:hAnsi="Times New Roman"/>
                <w:b w:val="0"/>
                <w:sz w:val="18"/>
              </w:rPr>
              <w:t>Militia-centred control</w:t>
            </w:r>
          </w:p>
        </w:tc>
        <w:tc>
          <w:tcPr>
            <w:tcW w:type="dxa" w:w="2088"/>
            <w:vAlign w:val="top"/>
          </w:tcPr>
          <w:p>
            <w:pPr>
              <w:keepNext w:val="0"/>
              <w:spacing w:after="0" w:line="240" w:lineRule="auto"/>
              <w:jc w:val="left"/>
            </w:pPr>
            <w:r>
              <w:rPr>
                <w:sz w:val="18"/>
              </w:rPr>
            </w:r>
            <w:r>
              <w:rPr>
                <w:rFonts w:ascii="Times New Roman" w:hAnsi="Times New Roman"/>
                <w:b w:val="0"/>
                <w:sz w:val="18"/>
              </w:rPr>
              <w:t>0.222 [-0.048, 0.492]</w:t>
            </w:r>
          </w:p>
        </w:tc>
        <w:tc>
          <w:tcPr>
            <w:tcW w:type="dxa" w:w="2088"/>
            <w:vAlign w:val="top"/>
          </w:tcPr>
          <w:p>
            <w:pPr>
              <w:keepNext w:val="0"/>
              <w:spacing w:after="0" w:line="240" w:lineRule="auto"/>
              <w:jc w:val="left"/>
            </w:pPr>
            <w:r>
              <w:rPr>
                <w:sz w:val="18"/>
              </w:rPr>
            </w:r>
            <w:r>
              <w:rPr>
                <w:rFonts w:ascii="Times New Roman" w:hAnsi="Times New Roman"/>
                <w:b w:val="0"/>
                <w:sz w:val="18"/>
              </w:rPr>
              <w:t>-0.268 [-0.655, 0.119]</w:t>
            </w:r>
          </w:p>
        </w:tc>
        <w:tc>
          <w:tcPr>
            <w:tcW w:type="dxa" w:w="2088"/>
            <w:vAlign w:val="top"/>
          </w:tcPr>
          <w:p>
            <w:pPr>
              <w:keepNext w:val="0"/>
              <w:spacing w:after="0" w:line="240" w:lineRule="auto"/>
              <w:jc w:val="left"/>
            </w:pPr>
            <w:r>
              <w:rPr>
                <w:sz w:val="18"/>
              </w:rPr>
            </w:r>
            <w:r>
              <w:rPr>
                <w:rFonts w:ascii="Times New Roman" w:hAnsi="Times New Roman"/>
                <w:b w:val="0"/>
                <w:sz w:val="18"/>
              </w:rPr>
              <w:t>0.134 [-0.139, 0.407]</w:t>
            </w:r>
          </w:p>
        </w:tc>
        <w:tc>
          <w:tcPr>
            <w:tcW w:type="dxa" w:w="2088"/>
            <w:vAlign w:val="top"/>
          </w:tcPr>
          <w:p>
            <w:pPr>
              <w:keepNext w:val="0"/>
              <w:spacing w:after="0" w:line="240" w:lineRule="auto"/>
              <w:jc w:val="left"/>
            </w:pPr>
            <w:r>
              <w:rPr>
                <w:sz w:val="18"/>
              </w:rPr>
            </w:r>
            <w:r>
              <w:rPr>
                <w:rFonts w:ascii="Times New Roman" w:hAnsi="Times New Roman"/>
                <w:b w:val="0"/>
                <w:sz w:val="18"/>
              </w:rPr>
              <w:t>-0.017 [-0.304, 0.270]</w:t>
            </w:r>
          </w:p>
        </w:tc>
      </w:tr>
      <w:tr>
        <w:tc>
          <w:tcPr>
            <w:tcW w:type="dxa" w:w="2376"/>
            <w:vAlign w:val="top"/>
          </w:tcPr>
          <w:p>
            <w:pPr>
              <w:keepNext w:val="0"/>
              <w:spacing w:after="0" w:line="240" w:lineRule="auto"/>
              <w:jc w:val="left"/>
            </w:pPr>
            <w:r>
              <w:rPr>
                <w:sz w:val="18"/>
              </w:rPr>
            </w:r>
            <w:r>
              <w:rPr>
                <w:rFonts w:ascii="Times New Roman" w:hAnsi="Times New Roman"/>
                <w:b w:val="0"/>
                <w:sz w:val="18"/>
              </w:rPr>
              <w:t>Park-centred control</w:t>
            </w:r>
          </w:p>
        </w:tc>
        <w:tc>
          <w:tcPr>
            <w:tcW w:type="dxa" w:w="2088"/>
            <w:vAlign w:val="top"/>
          </w:tcPr>
          <w:p>
            <w:pPr>
              <w:keepNext w:val="0"/>
              <w:spacing w:after="0" w:line="240" w:lineRule="auto"/>
              <w:jc w:val="left"/>
            </w:pPr>
            <w:r>
              <w:rPr>
                <w:sz w:val="18"/>
              </w:rPr>
            </w:r>
            <w:r>
              <w:rPr>
                <w:rFonts w:ascii="Times New Roman" w:hAnsi="Times New Roman"/>
                <w:b w:val="0"/>
                <w:sz w:val="18"/>
              </w:rPr>
              <w:t>-0.347 [-0.657, -0.037]</w:t>
            </w:r>
          </w:p>
        </w:tc>
        <w:tc>
          <w:tcPr>
            <w:tcW w:type="dxa" w:w="2088"/>
            <w:vAlign w:val="top"/>
          </w:tcPr>
          <w:p>
            <w:pPr>
              <w:keepNext w:val="0"/>
              <w:spacing w:after="0" w:line="240" w:lineRule="auto"/>
              <w:jc w:val="left"/>
            </w:pPr>
            <w:r>
              <w:rPr>
                <w:sz w:val="18"/>
              </w:rPr>
            </w:r>
            <w:r>
              <w:rPr>
                <w:rFonts w:ascii="Times New Roman" w:hAnsi="Times New Roman"/>
                <w:b w:val="0"/>
                <w:sz w:val="18"/>
              </w:rPr>
              <w:t>-0.201 [-0.553, 0.152]</w:t>
            </w:r>
          </w:p>
        </w:tc>
        <w:tc>
          <w:tcPr>
            <w:tcW w:type="dxa" w:w="2088"/>
            <w:vAlign w:val="top"/>
          </w:tcPr>
          <w:p>
            <w:pPr>
              <w:keepNext w:val="0"/>
              <w:spacing w:after="0" w:line="240" w:lineRule="auto"/>
              <w:jc w:val="left"/>
            </w:pPr>
            <w:r>
              <w:rPr>
                <w:sz w:val="18"/>
              </w:rPr>
            </w:r>
            <w:r>
              <w:rPr>
                <w:rFonts w:ascii="Times New Roman" w:hAnsi="Times New Roman"/>
                <w:b w:val="0"/>
                <w:sz w:val="18"/>
              </w:rPr>
              <w:t>-0.104 [-0.484, 0.276]</w:t>
            </w:r>
          </w:p>
        </w:tc>
        <w:tc>
          <w:tcPr>
            <w:tcW w:type="dxa" w:w="2088"/>
            <w:vAlign w:val="top"/>
          </w:tcPr>
          <w:p>
            <w:pPr>
              <w:keepNext w:val="0"/>
              <w:spacing w:after="0" w:line="240" w:lineRule="auto"/>
              <w:jc w:val="left"/>
            </w:pPr>
            <w:r>
              <w:rPr>
                <w:sz w:val="18"/>
              </w:rPr>
            </w:r>
            <w:r>
              <w:rPr>
                <w:rFonts w:ascii="Times New Roman" w:hAnsi="Times New Roman"/>
                <w:b w:val="0"/>
                <w:sz w:val="18"/>
              </w:rPr>
              <w:t>-0.049 [-0.267, 0.169]</w:t>
            </w:r>
          </w:p>
        </w:tc>
      </w:tr>
      <w:tr>
        <w:tc>
          <w:tcPr>
            <w:tcW w:type="dxa" w:w="2376"/>
            <w:vAlign w:val="top"/>
          </w:tcPr>
          <w:p>
            <w:pPr>
              <w:keepNext w:val="0"/>
              <w:spacing w:after="0" w:line="240" w:lineRule="auto"/>
              <w:jc w:val="left"/>
            </w:pPr>
            <w:r>
              <w:rPr>
                <w:sz w:val="18"/>
              </w:rPr>
            </w:r>
            <w:r>
              <w:rPr>
                <w:rFonts w:ascii="Times New Roman" w:hAnsi="Times New Roman"/>
                <w:b w:val="0"/>
                <w:sz w:val="18"/>
              </w:rPr>
              <w:t>Event support</w:t>
            </w:r>
          </w:p>
        </w:tc>
        <w:tc>
          <w:tcPr>
            <w:tcW w:type="dxa" w:w="2088"/>
            <w:vAlign w:val="top"/>
          </w:tcPr>
          <w:p>
            <w:pPr>
              <w:keepNext w:val="0"/>
              <w:spacing w:after="0" w:line="240" w:lineRule="auto"/>
              <w:jc w:val="left"/>
            </w:pPr>
            <w:r>
              <w:rPr>
                <w:sz w:val="18"/>
              </w:rPr>
            </w:r>
            <w:r>
              <w:rPr>
                <w:rFonts w:ascii="Times New Roman" w:hAnsi="Times New Roman"/>
                <w:b w:val="0"/>
                <w:sz w:val="18"/>
              </w:rPr>
              <w:t>518</w:t>
            </w:r>
          </w:p>
        </w:tc>
        <w:tc>
          <w:tcPr>
            <w:tcW w:type="dxa" w:w="2088"/>
            <w:vAlign w:val="top"/>
          </w:tcPr>
          <w:p>
            <w:pPr>
              <w:keepNext w:val="0"/>
              <w:spacing w:after="0" w:line="240" w:lineRule="auto"/>
              <w:jc w:val="left"/>
            </w:pPr>
            <w:r>
              <w:rPr>
                <w:sz w:val="18"/>
              </w:rPr>
            </w:r>
            <w:r>
              <w:rPr>
                <w:rFonts w:ascii="Times New Roman" w:hAnsi="Times New Roman"/>
                <w:b w:val="0"/>
                <w:sz w:val="18"/>
              </w:rPr>
              <w:t>156</w:t>
            </w:r>
          </w:p>
        </w:tc>
        <w:tc>
          <w:tcPr>
            <w:tcW w:type="dxa" w:w="2088"/>
            <w:vAlign w:val="top"/>
          </w:tcPr>
          <w:p>
            <w:pPr>
              <w:keepNext w:val="0"/>
              <w:spacing w:after="0" w:line="240" w:lineRule="auto"/>
              <w:jc w:val="left"/>
            </w:pPr>
            <w:r>
              <w:rPr>
                <w:sz w:val="18"/>
              </w:rPr>
            </w:r>
            <w:r>
              <w:rPr>
                <w:rFonts w:ascii="Times New Roman" w:hAnsi="Times New Roman"/>
                <w:b w:val="0"/>
                <w:sz w:val="18"/>
              </w:rPr>
              <w:t>1,214</w:t>
            </w:r>
          </w:p>
        </w:tc>
        <w:tc>
          <w:tcPr>
            <w:tcW w:type="dxa" w:w="2088"/>
            <w:vAlign w:val="top"/>
          </w:tcPr>
          <w:p>
            <w:pPr>
              <w:keepNext w:val="0"/>
              <w:spacing w:after="0" w:line="240" w:lineRule="auto"/>
              <w:jc w:val="left"/>
            </w:pPr>
            <w:r>
              <w:rPr>
                <w:sz w:val="18"/>
              </w:rPr>
            </w:r>
            <w:r>
              <w:rPr>
                <w:rFonts w:ascii="Times New Roman" w:hAnsi="Times New Roman"/>
                <w:b w:val="0"/>
                <w:sz w:val="18"/>
              </w:rPr>
              <w:t>625</w:t>
            </w:r>
          </w:p>
        </w:tc>
      </w:tr>
    </w:tbl>
    <w:p>
      <w:pPr>
        <w:widowControl/>
      </w:pPr>
    </w:p>
    <w:p>
      <w:pPr>
        <w:pStyle w:val="Caption"/>
        <w:widowControl/>
      </w:pPr>
      <w:r>
        <w:t>Table S15. Reproducibility environment and authoritative inputs. Paths are repository-relative and become externally usable when the analytical repository is archived; they are not public links in the present document.</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val="true"/>
          <w:tblHeader/>
        </w:trPr>
        <w:tc>
          <w:tcPr>
            <w:tcW w:type="dxa" w:w="1656"/>
            <w:vAlign w:val="top"/>
          </w:tcPr>
          <w:p>
            <w:pPr>
              <w:keepNext w:val="0"/>
              <w:spacing w:after="0" w:line="240" w:lineRule="auto"/>
              <w:jc w:val="left"/>
            </w:pPr>
            <w:r>
              <w:rPr>
                <w:sz w:val="18"/>
              </w:rPr>
            </w:r>
            <w:r>
              <w:rPr>
                <w:rFonts w:ascii="Times New Roman" w:hAnsi="Times New Roman"/>
                <w:b/>
                <w:sz w:val="18"/>
              </w:rPr>
              <w:t>Component</w:t>
            </w:r>
          </w:p>
        </w:tc>
        <w:tc>
          <w:tcPr>
            <w:tcW w:type="dxa" w:w="3456"/>
            <w:vAlign w:val="top"/>
          </w:tcPr>
          <w:p>
            <w:pPr>
              <w:keepNext w:val="0"/>
              <w:spacing w:after="0" w:line="240" w:lineRule="auto"/>
              <w:jc w:val="left"/>
            </w:pPr>
            <w:r>
              <w:rPr>
                <w:sz w:val="18"/>
              </w:rPr>
            </w:r>
            <w:r>
              <w:rPr>
                <w:rFonts w:ascii="Times New Roman" w:hAnsi="Times New Roman"/>
                <w:b/>
                <w:sz w:val="18"/>
              </w:rPr>
              <w:t>Software or file</w:t>
            </w:r>
          </w:p>
        </w:tc>
        <w:tc>
          <w:tcPr>
            <w:tcW w:type="dxa" w:w="1656"/>
            <w:vAlign w:val="top"/>
          </w:tcPr>
          <w:p>
            <w:pPr>
              <w:keepNext w:val="0"/>
              <w:spacing w:after="0" w:line="240" w:lineRule="auto"/>
              <w:jc w:val="left"/>
            </w:pPr>
            <w:r>
              <w:rPr>
                <w:sz w:val="18"/>
              </w:rPr>
            </w:r>
            <w:r>
              <w:rPr>
                <w:rFonts w:ascii="Times New Roman" w:hAnsi="Times New Roman"/>
                <w:b/>
                <w:sz w:val="18"/>
              </w:rPr>
              <w:t>Version</w:t>
            </w:r>
          </w:p>
        </w:tc>
        <w:tc>
          <w:tcPr>
            <w:tcW w:type="dxa" w:w="2232"/>
            <w:vAlign w:val="top"/>
          </w:tcPr>
          <w:p>
            <w:pPr>
              <w:keepNext w:val="0"/>
              <w:spacing w:after="0" w:line="240" w:lineRule="auto"/>
              <w:jc w:val="left"/>
            </w:pPr>
            <w:r>
              <w:rPr>
                <w:sz w:val="18"/>
              </w:rPr>
            </w:r>
            <w:r>
              <w:rPr>
                <w:rFonts w:ascii="Times New Roman" w:hAnsi="Times New Roman"/>
                <w:b/>
                <w:sz w:val="18"/>
              </w:rPr>
              <w:t>Role</w:t>
            </w:r>
          </w:p>
        </w:tc>
        <w:tc>
          <w:tcPr>
            <w:tcW w:type="dxa" w:w="2664"/>
            <w:vAlign w:val="top"/>
          </w:tcPr>
          <w:p>
            <w:pPr>
              <w:keepNext w:val="0"/>
              <w:spacing w:after="0" w:line="240" w:lineRule="auto"/>
              <w:jc w:val="left"/>
            </w:pPr>
            <w:r>
              <w:rPr>
                <w:sz w:val="18"/>
              </w:rPr>
            </w:r>
            <w:r>
              <w:rPr>
                <w:rFonts w:ascii="Times New Roman" w:hAnsi="Times New Roman"/>
                <w:b/>
                <w:sz w:val="18"/>
              </w:rPr>
              <w:t>Authoritative path</w:t>
            </w:r>
          </w:p>
        </w:tc>
      </w:tr>
      <w:tr>
        <w:tc>
          <w:tcPr>
            <w:tcW w:type="dxa" w:w="1656"/>
            <w:vAlign w:val="top"/>
          </w:tcPr>
          <w:p>
            <w:pPr>
              <w:keepNext w:val="0"/>
              <w:spacing w:after="0" w:line="240" w:lineRule="auto"/>
              <w:jc w:val="left"/>
            </w:pPr>
            <w:r>
              <w:rPr>
                <w:sz w:val="18"/>
              </w:rPr>
            </w:r>
            <w:r>
              <w:rPr>
                <w:rFonts w:ascii="Times New Roman" w:hAnsi="Times New Roman"/>
                <w:b w:val="0"/>
                <w:sz w:val="18"/>
              </w:rPr>
              <w:t>R</w:t>
            </w:r>
          </w:p>
        </w:tc>
        <w:tc>
          <w:tcPr>
            <w:tcW w:type="dxa" w:w="3456"/>
            <w:vAlign w:val="top"/>
          </w:tcPr>
          <w:p>
            <w:pPr>
              <w:keepNext w:val="0"/>
              <w:spacing w:after="0" w:line="240" w:lineRule="auto"/>
              <w:jc w:val="left"/>
            </w:pPr>
            <w:r>
              <w:rPr>
                <w:sz w:val="18"/>
              </w:rPr>
            </w:r>
            <w:r>
              <w:rPr>
                <w:rFonts w:ascii="Times New Roman" w:hAnsi="Times New Roman"/>
                <w:b w:val="0"/>
                <w:sz w:val="18"/>
              </w:rPr>
              <w:t>R</w:t>
            </w:r>
          </w:p>
        </w:tc>
        <w:tc>
          <w:tcPr>
            <w:tcW w:type="dxa" w:w="1656"/>
            <w:vAlign w:val="top"/>
          </w:tcPr>
          <w:p>
            <w:pPr>
              <w:keepNext w:val="0"/>
              <w:spacing w:after="0" w:line="240" w:lineRule="auto"/>
              <w:jc w:val="left"/>
            </w:pPr>
            <w:r>
              <w:rPr>
                <w:sz w:val="18"/>
              </w:rPr>
            </w:r>
            <w:r>
              <w:rPr>
                <w:rFonts w:ascii="Times New Roman" w:hAnsi="Times New Roman"/>
                <w:b w:val="0"/>
                <w:sz w:val="18"/>
              </w:rPr>
              <w:t>R version 4.5.3 (2026-03-11 ucrt)</w:t>
            </w:r>
          </w:p>
        </w:tc>
        <w:tc>
          <w:tcPr>
            <w:tcW w:type="dxa" w:w="2232"/>
            <w:vAlign w:val="top"/>
          </w:tcPr>
          <w:p>
            <w:pPr>
              <w:keepNext w:val="0"/>
              <w:spacing w:after="0" w:line="240" w:lineRule="auto"/>
              <w:jc w:val="left"/>
            </w:pPr>
            <w:r>
              <w:rPr>
                <w:sz w:val="18"/>
              </w:rPr>
            </w:r>
            <w:r>
              <w:rPr>
                <w:rFonts w:ascii="Times New Roman" w:hAnsi="Times New Roman"/>
                <w:b w:val="0"/>
                <w:sz w:val="18"/>
              </w:rPr>
              <w:t>execution environment</w:t>
            </w:r>
          </w:p>
        </w:tc>
        <w:tc>
          <w:tcPr>
            <w:tcW w:type="dxa" w:w="2664"/>
            <w:vAlign w:val="top"/>
          </w:tcPr>
          <w:p>
            <w:pPr>
              <w:keepNext w:val="0"/>
              <w:spacing w:after="0" w:line="240" w:lineRule="auto"/>
              <w:jc w:val="left"/>
            </w:pPr>
            <w:r>
              <w:rPr>
                <w:sz w:val="18"/>
              </w:rPr>
            </w:r>
            <w:r>
              <w:rPr>
                <w:rFonts w:ascii="Times New Roman" w:hAnsi="Times New Roman"/>
                <w:b w:val="0"/>
                <w:sz w:val="18"/>
              </w:rPr>
              <w:t>system R</w:t>
            </w:r>
          </w:p>
        </w:tc>
      </w:tr>
      <w:tr>
        <w:tc>
          <w:tcPr>
            <w:tcW w:type="dxa" w:w="1656"/>
            <w:vAlign w:val="top"/>
          </w:tcPr>
          <w:p>
            <w:pPr>
              <w:keepNext w:val="0"/>
              <w:spacing w:after="0" w:line="240" w:lineRule="auto"/>
              <w:jc w:val="left"/>
            </w:pPr>
            <w:r>
              <w:rPr>
                <w:sz w:val="18"/>
              </w:rPr>
            </w:r>
            <w:r>
              <w:rPr>
                <w:rFonts w:ascii="Times New Roman" w:hAnsi="Times New Roman"/>
                <w:b w:val="0"/>
                <w:sz w:val="18"/>
              </w:rPr>
              <w:t>glmmTMB</w:t>
            </w:r>
          </w:p>
        </w:tc>
        <w:tc>
          <w:tcPr>
            <w:tcW w:type="dxa" w:w="3456"/>
            <w:vAlign w:val="top"/>
          </w:tcPr>
          <w:p>
            <w:pPr>
              <w:keepNext w:val="0"/>
              <w:spacing w:after="0" w:line="240" w:lineRule="auto"/>
              <w:jc w:val="left"/>
            </w:pPr>
            <w:r>
              <w:rPr>
                <w:sz w:val="18"/>
              </w:rPr>
            </w:r>
            <w:r>
              <w:rPr>
                <w:rFonts w:ascii="Times New Roman" w:hAnsi="Times New Roman"/>
                <w:b w:val="0"/>
                <w:sz w:val="18"/>
              </w:rPr>
              <w:t>glmmTMB</w:t>
            </w:r>
          </w:p>
        </w:tc>
        <w:tc>
          <w:tcPr>
            <w:tcW w:type="dxa" w:w="1656"/>
            <w:vAlign w:val="top"/>
          </w:tcPr>
          <w:p>
            <w:pPr>
              <w:keepNext w:val="0"/>
              <w:spacing w:after="0" w:line="240" w:lineRule="auto"/>
              <w:jc w:val="left"/>
            </w:pPr>
            <w:r>
              <w:rPr>
                <w:sz w:val="18"/>
              </w:rPr>
            </w:r>
            <w:r>
              <w:rPr>
                <w:rFonts w:ascii="Times New Roman" w:hAnsi="Times New Roman"/>
                <w:b w:val="0"/>
                <w:sz w:val="18"/>
              </w:rPr>
              <w:t>1.1.14</w:t>
            </w:r>
          </w:p>
        </w:tc>
        <w:tc>
          <w:tcPr>
            <w:tcW w:type="dxa" w:w="2232"/>
            <w:vAlign w:val="top"/>
          </w:tcPr>
          <w:p>
            <w:pPr>
              <w:keepNext w:val="0"/>
              <w:spacing w:after="0" w:line="240" w:lineRule="auto"/>
              <w:jc w:val="left"/>
            </w:pPr>
            <w:r>
              <w:rPr>
                <w:sz w:val="18"/>
              </w:rPr>
            </w:r>
            <w:r>
              <w:rPr>
                <w:rFonts w:ascii="Times New Roman" w:hAnsi="Times New Roman"/>
                <w:b w:val="0"/>
                <w:sz w:val="18"/>
              </w:rPr>
              <w:t>beta-binomial fitting</w:t>
            </w:r>
          </w:p>
        </w:tc>
        <w:tc>
          <w:tcPr>
            <w:tcW w:type="dxa" w:w="2664"/>
            <w:vAlign w:val="top"/>
          </w:tcPr>
          <w:p>
            <w:pPr>
              <w:keepNext w:val="0"/>
              <w:spacing w:after="0" w:line="240" w:lineRule="auto"/>
              <w:jc w:val="left"/>
            </w:pPr>
            <w:r>
              <w:rPr>
                <w:sz w:val="18"/>
              </w:rPr>
            </w:r>
            <w:r>
              <w:rPr>
                <w:rFonts w:ascii="Times New Roman" w:hAnsi="Times New Roman"/>
                <w:b w:val="0"/>
                <w:sz w:val="18"/>
              </w:rPr>
              <w:t>installed package</w:t>
            </w:r>
          </w:p>
        </w:tc>
      </w:tr>
      <w:tr>
        <w:tc>
          <w:tcPr>
            <w:tcW w:type="dxa" w:w="1656"/>
            <w:vAlign w:val="top"/>
          </w:tcPr>
          <w:p>
            <w:pPr>
              <w:keepNext w:val="0"/>
              <w:spacing w:after="0" w:line="240" w:lineRule="auto"/>
              <w:jc w:val="left"/>
            </w:pPr>
            <w:r>
              <w:rPr>
                <w:sz w:val="18"/>
              </w:rPr>
            </w:r>
            <w:r>
              <w:rPr>
                <w:rFonts w:ascii="Times New Roman" w:hAnsi="Times New Roman"/>
                <w:b w:val="0"/>
                <w:sz w:val="18"/>
              </w:rPr>
              <w:t>terra</w:t>
            </w:r>
          </w:p>
        </w:tc>
        <w:tc>
          <w:tcPr>
            <w:tcW w:type="dxa" w:w="3456"/>
            <w:vAlign w:val="top"/>
          </w:tcPr>
          <w:p>
            <w:pPr>
              <w:keepNext w:val="0"/>
              <w:spacing w:after="0" w:line="240" w:lineRule="auto"/>
              <w:jc w:val="left"/>
            </w:pPr>
            <w:r>
              <w:rPr>
                <w:sz w:val="18"/>
              </w:rPr>
            </w:r>
            <w:r>
              <w:rPr>
                <w:rFonts w:ascii="Times New Roman" w:hAnsi="Times New Roman"/>
                <w:b w:val="0"/>
                <w:sz w:val="18"/>
              </w:rPr>
              <w:t>terra</w:t>
            </w:r>
          </w:p>
        </w:tc>
        <w:tc>
          <w:tcPr>
            <w:tcW w:type="dxa" w:w="1656"/>
            <w:vAlign w:val="top"/>
          </w:tcPr>
          <w:p>
            <w:pPr>
              <w:keepNext w:val="0"/>
              <w:spacing w:after="0" w:line="240" w:lineRule="auto"/>
              <w:jc w:val="left"/>
            </w:pPr>
            <w:r>
              <w:rPr>
                <w:sz w:val="18"/>
              </w:rPr>
            </w:r>
            <w:r>
              <w:rPr>
                <w:rFonts w:ascii="Times New Roman" w:hAnsi="Times New Roman"/>
                <w:b w:val="0"/>
                <w:sz w:val="18"/>
              </w:rPr>
              <w:t>1.9.11</w:t>
            </w:r>
          </w:p>
        </w:tc>
        <w:tc>
          <w:tcPr>
            <w:tcW w:type="dxa" w:w="2232"/>
            <w:vAlign w:val="top"/>
          </w:tcPr>
          <w:p>
            <w:pPr>
              <w:keepNext w:val="0"/>
              <w:spacing w:after="0" w:line="240" w:lineRule="auto"/>
              <w:jc w:val="left"/>
            </w:pPr>
            <w:r>
              <w:rPr>
                <w:sz w:val="18"/>
              </w:rPr>
            </w:r>
            <w:r>
              <w:rPr>
                <w:rFonts w:ascii="Times New Roman" w:hAnsi="Times New Roman"/>
                <w:b w:val="0"/>
                <w:sz w:val="18"/>
              </w:rPr>
              <w:t>raster processing</w:t>
            </w:r>
          </w:p>
        </w:tc>
        <w:tc>
          <w:tcPr>
            <w:tcW w:type="dxa" w:w="2664"/>
            <w:vAlign w:val="top"/>
          </w:tcPr>
          <w:p>
            <w:pPr>
              <w:keepNext w:val="0"/>
              <w:spacing w:after="0" w:line="240" w:lineRule="auto"/>
              <w:jc w:val="left"/>
            </w:pPr>
            <w:r>
              <w:rPr>
                <w:sz w:val="18"/>
              </w:rPr>
            </w:r>
            <w:r>
              <w:rPr>
                <w:rFonts w:ascii="Times New Roman" w:hAnsi="Times New Roman"/>
                <w:b w:val="0"/>
                <w:sz w:val="18"/>
              </w:rPr>
              <w:t>installed package</w:t>
            </w:r>
          </w:p>
        </w:tc>
      </w:tr>
      <w:tr>
        <w:tc>
          <w:tcPr>
            <w:tcW w:type="dxa" w:w="1656"/>
            <w:vAlign w:val="top"/>
          </w:tcPr>
          <w:p>
            <w:pPr>
              <w:keepNext w:val="0"/>
              <w:spacing w:after="0" w:line="240" w:lineRule="auto"/>
              <w:jc w:val="left"/>
            </w:pPr>
            <w:r>
              <w:rPr>
                <w:sz w:val="18"/>
              </w:rPr>
            </w:r>
            <w:r>
              <w:rPr>
                <w:rFonts w:ascii="Times New Roman" w:hAnsi="Times New Roman"/>
                <w:b w:val="0"/>
                <w:sz w:val="18"/>
              </w:rPr>
              <w:t>sf</w:t>
            </w:r>
          </w:p>
        </w:tc>
        <w:tc>
          <w:tcPr>
            <w:tcW w:type="dxa" w:w="3456"/>
            <w:vAlign w:val="top"/>
          </w:tcPr>
          <w:p>
            <w:pPr>
              <w:keepNext w:val="0"/>
              <w:spacing w:after="0" w:line="240" w:lineRule="auto"/>
              <w:jc w:val="left"/>
            </w:pPr>
            <w:r>
              <w:rPr>
                <w:sz w:val="18"/>
              </w:rPr>
            </w:r>
            <w:r>
              <w:rPr>
                <w:rFonts w:ascii="Times New Roman" w:hAnsi="Times New Roman"/>
                <w:b w:val="0"/>
                <w:sz w:val="18"/>
              </w:rPr>
              <w:t>sf</w:t>
            </w:r>
          </w:p>
        </w:tc>
        <w:tc>
          <w:tcPr>
            <w:tcW w:type="dxa" w:w="1656"/>
            <w:vAlign w:val="top"/>
          </w:tcPr>
          <w:p>
            <w:pPr>
              <w:keepNext w:val="0"/>
              <w:spacing w:after="0" w:line="240" w:lineRule="auto"/>
              <w:jc w:val="left"/>
            </w:pPr>
            <w:r>
              <w:rPr>
                <w:sz w:val="18"/>
              </w:rPr>
            </w:r>
            <w:r>
              <w:rPr>
                <w:rFonts w:ascii="Times New Roman" w:hAnsi="Times New Roman"/>
                <w:b w:val="0"/>
                <w:sz w:val="18"/>
              </w:rPr>
              <w:t>1.1.0</w:t>
            </w:r>
          </w:p>
        </w:tc>
        <w:tc>
          <w:tcPr>
            <w:tcW w:type="dxa" w:w="2232"/>
            <w:vAlign w:val="top"/>
          </w:tcPr>
          <w:p>
            <w:pPr>
              <w:keepNext w:val="0"/>
              <w:spacing w:after="0" w:line="240" w:lineRule="auto"/>
              <w:jc w:val="left"/>
            </w:pPr>
            <w:r>
              <w:rPr>
                <w:sz w:val="18"/>
              </w:rPr>
            </w:r>
            <w:r>
              <w:rPr>
                <w:rFonts w:ascii="Times New Roman" w:hAnsi="Times New Roman"/>
                <w:b w:val="0"/>
                <w:sz w:val="18"/>
              </w:rPr>
              <w:t>vector spatial processing</w:t>
            </w:r>
          </w:p>
        </w:tc>
        <w:tc>
          <w:tcPr>
            <w:tcW w:type="dxa" w:w="2664"/>
            <w:vAlign w:val="top"/>
          </w:tcPr>
          <w:p>
            <w:pPr>
              <w:keepNext w:val="0"/>
              <w:spacing w:after="0" w:line="240" w:lineRule="auto"/>
              <w:jc w:val="left"/>
            </w:pPr>
            <w:r>
              <w:rPr>
                <w:sz w:val="18"/>
              </w:rPr>
            </w:r>
            <w:r>
              <w:rPr>
                <w:rFonts w:ascii="Times New Roman" w:hAnsi="Times New Roman"/>
                <w:b w:val="0"/>
                <w:sz w:val="18"/>
              </w:rPr>
              <w:t>installed package</w:t>
            </w:r>
          </w:p>
        </w:tc>
      </w:tr>
      <w:tr>
        <w:tc>
          <w:tcPr>
            <w:tcW w:type="dxa" w:w="1656"/>
            <w:vAlign w:val="top"/>
          </w:tcPr>
          <w:p>
            <w:pPr>
              <w:keepNext w:val="0"/>
              <w:spacing w:after="0" w:line="240" w:lineRule="auto"/>
              <w:jc w:val="left"/>
            </w:pPr>
            <w:r>
              <w:rPr>
                <w:sz w:val="18"/>
              </w:rPr>
            </w:r>
            <w:r>
              <w:rPr>
                <w:rFonts w:ascii="Times New Roman" w:hAnsi="Times New Roman"/>
                <w:b w:val="0"/>
                <w:sz w:val="18"/>
              </w:rPr>
              <w:t>sandwich or covariance implementation</w:t>
            </w:r>
          </w:p>
        </w:tc>
        <w:tc>
          <w:tcPr>
            <w:tcW w:type="dxa" w:w="3456"/>
            <w:vAlign w:val="top"/>
          </w:tcPr>
          <w:p>
            <w:pPr>
              <w:keepNext w:val="0"/>
              <w:spacing w:after="0" w:line="240" w:lineRule="auto"/>
              <w:jc w:val="left"/>
            </w:pPr>
            <w:r>
              <w:rPr>
                <w:sz w:val="18"/>
              </w:rPr>
            </w:r>
            <w:r>
              <w:rPr>
                <w:rFonts w:ascii="Times New Roman" w:hAnsi="Times New Roman"/>
                <w:b w:val="0"/>
                <w:sz w:val="18"/>
              </w:rPr>
              <w:t>sandwich</w:t>
            </w:r>
          </w:p>
        </w:tc>
        <w:tc>
          <w:tcPr>
            <w:tcW w:type="dxa" w:w="1656"/>
            <w:vAlign w:val="top"/>
          </w:tcPr>
          <w:p>
            <w:pPr>
              <w:keepNext w:val="0"/>
              <w:spacing w:after="0" w:line="240" w:lineRule="auto"/>
              <w:jc w:val="left"/>
            </w:pPr>
            <w:r>
              <w:rPr>
                <w:sz w:val="18"/>
              </w:rPr>
            </w:r>
            <w:r>
              <w:rPr>
                <w:rFonts w:ascii="Times New Roman" w:hAnsi="Times New Roman"/>
                <w:b w:val="0"/>
                <w:sz w:val="18"/>
              </w:rPr>
              <w:t>3.1.1</w:t>
            </w:r>
          </w:p>
        </w:tc>
        <w:tc>
          <w:tcPr>
            <w:tcW w:type="dxa" w:w="2232"/>
            <w:vAlign w:val="top"/>
          </w:tcPr>
          <w:p>
            <w:pPr>
              <w:keepNext w:val="0"/>
              <w:spacing w:after="0" w:line="240" w:lineRule="auto"/>
              <w:jc w:val="left"/>
            </w:pPr>
            <w:r>
              <w:rPr>
                <w:sz w:val="18"/>
              </w:rPr>
            </w:r>
            <w:r>
              <w:rPr>
                <w:rFonts w:ascii="Times New Roman" w:hAnsi="Times New Roman"/>
                <w:b w:val="0"/>
                <w:sz w:val="18"/>
              </w:rPr>
              <w:t>HC3 covariance support</w:t>
            </w:r>
          </w:p>
        </w:tc>
        <w:tc>
          <w:tcPr>
            <w:tcW w:type="dxa" w:w="2664"/>
            <w:vAlign w:val="top"/>
          </w:tcPr>
          <w:p>
            <w:pPr>
              <w:keepNext w:val="0"/>
              <w:spacing w:after="0" w:line="240" w:lineRule="auto"/>
              <w:jc w:val="left"/>
            </w:pPr>
            <w:r>
              <w:rPr>
                <w:sz w:val="18"/>
              </w:rPr>
            </w:r>
            <w:r>
              <w:rPr>
                <w:rFonts w:ascii="Times New Roman" w:hAnsi="Times New Roman"/>
                <w:b w:val="0"/>
                <w:sz w:val="18"/>
              </w:rPr>
              <w:t>installed package</w:t>
            </w:r>
          </w:p>
        </w:tc>
      </w:tr>
      <w:tr>
        <w:tc>
          <w:tcPr>
            <w:tcW w:type="dxa" w:w="1656"/>
            <w:vAlign w:val="top"/>
          </w:tcPr>
          <w:p>
            <w:pPr>
              <w:keepNext w:val="0"/>
              <w:spacing w:after="0" w:line="240" w:lineRule="auto"/>
              <w:jc w:val="left"/>
            </w:pPr>
            <w:r>
              <w:rPr>
                <w:sz w:val="18"/>
              </w:rPr>
            </w:r>
            <w:r>
              <w:rPr>
                <w:rFonts w:ascii="Times New Roman" w:hAnsi="Times New Roman"/>
                <w:b w:val="0"/>
                <w:sz w:val="18"/>
              </w:rPr>
              <w:t>analysis configuration</w:t>
            </w:r>
          </w:p>
        </w:tc>
        <w:tc>
          <w:tcPr>
            <w:tcW w:type="dxa" w:w="3456"/>
            <w:vAlign w:val="top"/>
          </w:tcPr>
          <w:p>
            <w:pPr>
              <w:keepNext w:val="0"/>
              <w:spacing w:after="0" w:line="240" w:lineRule="auto"/>
              <w:jc w:val="left"/>
            </w:pPr>
            <w:r>
              <w:rPr>
                <w:sz w:val="18"/>
              </w:rPr>
            </w:r>
            <w:r>
              <w:rPr>
                <w:rFonts w:ascii="Times New Roman" w:hAnsi="Times New Roman"/>
                <w:b w:val="0"/>
                <w:sz w:val="18"/>
              </w:rPr>
              <w:t>config/analysis_config.R</w:t>
            </w:r>
          </w:p>
        </w:tc>
        <w:tc>
          <w:tcPr>
            <w:tcW w:type="dxa" w:w="1656"/>
            <w:vAlign w:val="top"/>
          </w:tcPr>
          <w:p>
            <w:pPr>
              <w:keepNext w:val="0"/>
              <w:spacing w:after="0" w:line="240" w:lineRule="auto"/>
              <w:jc w:val="left"/>
            </w:pPr>
            <w:r>
              <w:rPr>
                <w:sz w:val="18"/>
              </w:rPr>
            </w:r>
            <w:r>
              <w:rPr>
                <w:rFonts w:ascii="Times New Roman" w:hAnsi="Times New Roman"/>
                <w:b w:val="0"/>
                <w:sz w:val="18"/>
              </w:rPr>
              <w:t>frozen repository version</w:t>
            </w:r>
          </w:p>
        </w:tc>
        <w:tc>
          <w:tcPr>
            <w:tcW w:type="dxa" w:w="2232"/>
            <w:vAlign w:val="top"/>
          </w:tcPr>
          <w:p>
            <w:pPr>
              <w:keepNext w:val="0"/>
              <w:spacing w:after="0" w:line="240" w:lineRule="auto"/>
              <w:jc w:val="left"/>
            </w:pPr>
            <w:r>
              <w:rPr>
                <w:sz w:val="18"/>
              </w:rPr>
            </w:r>
            <w:r>
              <w:rPr>
                <w:rFonts w:ascii="Times New Roman" w:hAnsi="Times New Roman"/>
                <w:b w:val="0"/>
                <w:sz w:val="18"/>
              </w:rPr>
              <w:t>configuration</w:t>
            </w:r>
          </w:p>
        </w:tc>
        <w:tc>
          <w:tcPr>
            <w:tcW w:type="dxa" w:w="2664"/>
            <w:vAlign w:val="top"/>
          </w:tcPr>
          <w:p>
            <w:pPr>
              <w:keepNext w:val="0"/>
              <w:spacing w:after="0" w:line="240" w:lineRule="auto"/>
              <w:jc w:val="left"/>
            </w:pPr>
            <w:r>
              <w:rPr>
                <w:sz w:val="18"/>
              </w:rPr>
            </w:r>
            <w:r>
              <w:rPr>
                <w:rFonts w:ascii="Times New Roman" w:hAnsi="Times New Roman"/>
                <w:b w:val="0"/>
                <w:sz w:val="18"/>
              </w:rPr>
              <w:t>config/analysis_config.R</w:t>
            </w:r>
          </w:p>
        </w:tc>
      </w:tr>
      <w:tr>
        <w:tc>
          <w:tcPr>
            <w:tcW w:type="dxa" w:w="1656"/>
            <w:vAlign w:val="top"/>
          </w:tcPr>
          <w:p>
            <w:pPr>
              <w:keepNext w:val="0"/>
              <w:spacing w:after="0" w:line="240" w:lineRule="auto"/>
              <w:jc w:val="left"/>
            </w:pPr>
            <w:r>
              <w:rPr>
                <w:sz w:val="18"/>
              </w:rPr>
            </w:r>
            <w:r>
              <w:rPr>
                <w:rFonts w:ascii="Times New Roman" w:hAnsi="Times New Roman"/>
                <w:b w:val="0"/>
                <w:sz w:val="18"/>
              </w:rPr>
              <w:t>primary model scripts</w:t>
            </w:r>
          </w:p>
        </w:tc>
        <w:tc>
          <w:tcPr>
            <w:tcW w:type="dxa" w:w="3456"/>
            <w:vAlign w:val="top"/>
          </w:tcPr>
          <w:p>
            <w:pPr>
              <w:keepNext w:val="0"/>
              <w:spacing w:after="0" w:line="240" w:lineRule="auto"/>
              <w:jc w:val="left"/>
            </w:pPr>
            <w:r>
              <w:rPr>
                <w:sz w:val="18"/>
              </w:rPr>
            </w:r>
            <w:r>
              <w:rPr>
                <w:rFonts w:ascii="Times New Roman" w:hAnsi="Times New Roman"/>
                <w:b w:val="0"/>
                <w:sz w:val="18"/>
              </w:rPr>
              <w:t xml:space="preserve">scripts/05_models_governance_profiles.R; scripts/06_governance_profile_robustness.R; scripts/07_spatial_threshold_sensitivity.R; </w:t>
              <w:br/>
              <w:t>scripts/08_generate_figure2_chronology_time_series.R;</w:t>
              <w:br/>
              <w:t>scripts/09_fire_2021_2022_harmonization.R; scripts/10_fire_10km_optimizer_refinement.R; scripts/12_spatial_boundary_falsification_revised.R</w:t>
            </w:r>
          </w:p>
        </w:tc>
        <w:tc>
          <w:tcPr>
            <w:tcW w:type="dxa" w:w="1656"/>
            <w:vAlign w:val="top"/>
          </w:tcPr>
          <w:p>
            <w:pPr>
              <w:keepNext w:val="0"/>
              <w:spacing w:after="0" w:line="240" w:lineRule="auto"/>
              <w:jc w:val="left"/>
            </w:pPr>
            <w:r>
              <w:rPr>
                <w:sz w:val="18"/>
              </w:rPr>
            </w:r>
            <w:r>
              <w:rPr>
                <w:rFonts w:ascii="Times New Roman" w:hAnsi="Times New Roman"/>
                <w:b w:val="0"/>
                <w:sz w:val="18"/>
              </w:rPr>
              <w:t>frozen repository version</w:t>
            </w:r>
          </w:p>
        </w:tc>
        <w:tc>
          <w:tcPr>
            <w:tcW w:type="dxa" w:w="2232"/>
            <w:vAlign w:val="top"/>
          </w:tcPr>
          <w:p>
            <w:pPr>
              <w:keepNext w:val="0"/>
              <w:spacing w:after="0" w:line="240" w:lineRule="auto"/>
              <w:jc w:val="left"/>
            </w:pPr>
            <w:r>
              <w:rPr>
                <w:sz w:val="18"/>
              </w:rPr>
            </w:r>
            <w:r>
              <w:rPr>
                <w:rFonts w:ascii="Times New Roman" w:hAnsi="Times New Roman"/>
                <w:b w:val="0"/>
                <w:sz w:val="18"/>
              </w:rPr>
              <w:t>analysis execution</w:t>
            </w:r>
          </w:p>
        </w:tc>
        <w:tc>
          <w:tcPr>
            <w:tcW w:type="dxa" w:w="2664"/>
            <w:vAlign w:val="top"/>
          </w:tcPr>
          <w:p>
            <w:pPr>
              <w:keepNext w:val="0"/>
              <w:spacing w:after="0" w:line="240" w:lineRule="auto"/>
              <w:jc w:val="left"/>
            </w:pPr>
            <w:r>
              <w:rPr>
                <w:sz w:val="18"/>
              </w:rPr>
            </w:r>
            <w:r>
              <w:rPr>
                <w:rFonts w:ascii="Times New Roman" w:hAnsi="Times New Roman"/>
                <w:b w:val="0"/>
                <w:sz w:val="18"/>
              </w:rPr>
              <w:t>scripts/05_models_governance_profiles.R; scripts/06_governance_profile_robustness.R; scripts/07_spatial_threshold_sensitivity.R; scripts/09_fire_2021_2022_harmonization.R; scripts/10_fire_10km_optimizer_refinement.R; scripts/12_spatial_boundary_falsification_revised.R</w:t>
            </w:r>
          </w:p>
        </w:tc>
      </w:tr>
      <w:tr>
        <w:tc>
          <w:tcPr>
            <w:tcW w:type="dxa" w:w="1656"/>
            <w:vAlign w:val="top"/>
          </w:tcPr>
          <w:p>
            <w:pPr>
              <w:keepNext w:val="0"/>
              <w:spacing w:after="0" w:line="240" w:lineRule="auto"/>
              <w:jc w:val="left"/>
            </w:pPr>
            <w:r>
              <w:rPr>
                <w:sz w:val="18"/>
              </w:rPr>
            </w:r>
            <w:r>
              <w:rPr>
                <w:rFonts w:ascii="Times New Roman" w:hAnsi="Times New Roman"/>
                <w:b w:val="0"/>
                <w:sz w:val="18"/>
              </w:rPr>
              <w:t>publication scripts</w:t>
            </w:r>
          </w:p>
        </w:tc>
        <w:tc>
          <w:tcPr>
            <w:tcW w:type="dxa" w:w="3456"/>
            <w:vAlign w:val="top"/>
          </w:tcPr>
          <w:p>
            <w:pPr>
              <w:keepNext w:val="0"/>
              <w:spacing w:after="0" w:line="240" w:lineRule="auto"/>
              <w:jc w:val="left"/>
            </w:pPr>
            <w:r>
              <w:rPr>
                <w:sz w:val="18"/>
              </w:rPr>
            </w:r>
            <w:r>
              <w:rPr>
                <w:rFonts w:ascii="Times New Roman" w:hAnsi="Times New Roman"/>
                <w:b w:val="0"/>
                <w:sz w:val="18"/>
              </w:rPr>
              <w:t>scripts/publication/06_generate_main_figures_tables.R; scripts/publication/07_generate_supplementary_material.R</w:t>
            </w:r>
          </w:p>
        </w:tc>
        <w:tc>
          <w:tcPr>
            <w:tcW w:type="dxa" w:w="1656"/>
            <w:vAlign w:val="top"/>
          </w:tcPr>
          <w:p>
            <w:pPr>
              <w:keepNext w:val="0"/>
              <w:spacing w:after="0" w:line="240" w:lineRule="auto"/>
              <w:jc w:val="left"/>
            </w:pPr>
            <w:r>
              <w:rPr>
                <w:sz w:val="18"/>
              </w:rPr>
            </w:r>
            <w:r>
              <w:rPr>
                <w:rFonts w:ascii="Times New Roman" w:hAnsi="Times New Roman"/>
                <w:b w:val="0"/>
                <w:sz w:val="18"/>
              </w:rPr>
              <w:t>frozen repository version</w:t>
            </w:r>
          </w:p>
        </w:tc>
        <w:tc>
          <w:tcPr>
            <w:tcW w:type="dxa" w:w="2232"/>
            <w:vAlign w:val="top"/>
          </w:tcPr>
          <w:p>
            <w:pPr>
              <w:keepNext w:val="0"/>
              <w:spacing w:after="0" w:line="240" w:lineRule="auto"/>
              <w:jc w:val="left"/>
            </w:pPr>
            <w:r>
              <w:rPr>
                <w:sz w:val="18"/>
              </w:rPr>
            </w:r>
            <w:r>
              <w:rPr>
                <w:rFonts w:ascii="Times New Roman" w:hAnsi="Times New Roman"/>
                <w:b w:val="0"/>
                <w:sz w:val="18"/>
              </w:rPr>
              <w:t>publication output generation</w:t>
            </w:r>
          </w:p>
        </w:tc>
        <w:tc>
          <w:tcPr>
            <w:tcW w:type="dxa" w:w="2664"/>
            <w:vAlign w:val="top"/>
          </w:tcPr>
          <w:p>
            <w:pPr>
              <w:keepNext w:val="0"/>
              <w:spacing w:after="0" w:line="240" w:lineRule="auto"/>
              <w:jc w:val="left"/>
            </w:pPr>
            <w:r>
              <w:rPr>
                <w:sz w:val="18"/>
              </w:rPr>
            </w:r>
            <w:r>
              <w:rPr>
                <w:rFonts w:ascii="Times New Roman" w:hAnsi="Times New Roman"/>
                <w:b w:val="0"/>
                <w:sz w:val="18"/>
              </w:rPr>
              <w:t>scripts/publication/06_generate_main_figures_tables.R; scripts/publication/07_generate_supplementary_material.R</w:t>
            </w:r>
          </w:p>
        </w:tc>
      </w:tr>
      <w:tr>
        <w:tc>
          <w:tcPr>
            <w:tcW w:type="dxa" w:w="1656"/>
            <w:vAlign w:val="top"/>
          </w:tcPr>
          <w:p>
            <w:pPr>
              <w:keepNext w:val="0"/>
              <w:spacing w:after="0" w:line="240" w:lineRule="auto"/>
              <w:jc w:val="left"/>
            </w:pPr>
            <w:r>
              <w:rPr>
                <w:sz w:val="18"/>
              </w:rPr>
            </w:r>
            <w:r>
              <w:rPr>
                <w:rFonts w:ascii="Times New Roman" w:hAnsi="Times New Roman"/>
                <w:b w:val="0"/>
                <w:sz w:val="18"/>
              </w:rPr>
              <w:t>final result tables</w:t>
            </w:r>
          </w:p>
        </w:tc>
        <w:tc>
          <w:tcPr>
            <w:tcW w:type="dxa" w:w="3456"/>
            <w:vAlign w:val="top"/>
          </w:tcPr>
          <w:p>
            <w:pPr>
              <w:keepNext w:val="0"/>
              <w:spacing w:after="0" w:line="240" w:lineRule="auto"/>
              <w:jc w:val="left"/>
            </w:pPr>
            <w:r>
              <w:rPr>
                <w:sz w:val="18"/>
              </w:rPr>
            </w:r>
            <w:r>
              <w:rPr>
                <w:rFonts w:ascii="Times New Roman" w:hAnsi="Times New Roman"/>
                <w:b w:val="0"/>
                <w:sz w:val="18"/>
              </w:rPr>
              <w:t>outputs/publication/figure_source_data/Figure_3_profile_contrasts.csv; outputs/publication/figure_source_data/Figure_3_pairwise_differences.csv; outputs/publication/figure_source_data/Figure_4_profile_boundary_estimates.csv; analysis_spatial_falsification_revised_dev/tables/boundary_surface_summary.csv</w:t>
            </w:r>
          </w:p>
        </w:tc>
        <w:tc>
          <w:tcPr>
            <w:tcW w:type="dxa" w:w="1656"/>
            <w:vAlign w:val="top"/>
          </w:tcPr>
          <w:p>
            <w:pPr>
              <w:keepNext w:val="0"/>
              <w:spacing w:after="0" w:line="240" w:lineRule="auto"/>
              <w:jc w:val="left"/>
            </w:pPr>
            <w:r>
              <w:rPr>
                <w:sz w:val="18"/>
              </w:rPr>
            </w:r>
            <w:r>
              <w:rPr>
                <w:rFonts w:ascii="Times New Roman" w:hAnsi="Times New Roman"/>
                <w:b w:val="0"/>
                <w:sz w:val="18"/>
              </w:rPr>
              <w:t>frozen authoritative outputs</w:t>
            </w:r>
          </w:p>
        </w:tc>
        <w:tc>
          <w:tcPr>
            <w:tcW w:type="dxa" w:w="2232"/>
            <w:vAlign w:val="top"/>
          </w:tcPr>
          <w:p>
            <w:pPr>
              <w:keepNext w:val="0"/>
              <w:spacing w:after="0" w:line="240" w:lineRule="auto"/>
              <w:jc w:val="left"/>
            </w:pPr>
            <w:r>
              <w:rPr>
                <w:sz w:val="18"/>
              </w:rPr>
            </w:r>
            <w:r>
              <w:rPr>
                <w:rFonts w:ascii="Times New Roman" w:hAnsi="Times New Roman"/>
                <w:b w:val="0"/>
                <w:sz w:val="18"/>
              </w:rPr>
              <w:t>authoritative inputs</w:t>
            </w:r>
          </w:p>
        </w:tc>
        <w:tc>
          <w:tcPr>
            <w:tcW w:type="dxa" w:w="2664"/>
            <w:vAlign w:val="top"/>
          </w:tcPr>
          <w:p>
            <w:pPr>
              <w:keepNext w:val="0"/>
              <w:spacing w:after="0" w:line="240" w:lineRule="auto"/>
              <w:jc w:val="left"/>
            </w:pPr>
            <w:r>
              <w:rPr>
                <w:sz w:val="18"/>
              </w:rPr>
            </w:r>
            <w:r>
              <w:rPr>
                <w:rFonts w:ascii="Times New Roman" w:hAnsi="Times New Roman"/>
                <w:b w:val="0"/>
                <w:sz w:val="18"/>
              </w:rPr>
              <w:t>outputs/publication/figure_source_data/Figure_3_profile_contrasts.csv; outputs/publication/figure_source_data/Figure_3_pairwise_differences.csv; outputs/publication/figure_source_data/Figure_4_profile_boundary_estimates.csv; analysis_spatial_falsification_revised_dev/tables/boundary_surface_summary.csv</w:t>
            </w:r>
          </w:p>
        </w:tc>
      </w:tr>
    </w:tbl>
    <w:p>
      <w:pPr>
        <w:widowControl/>
      </w:pPr>
    </w:p>
    <w:p>
      <w:pPr>
        <w:pStyle w:val="Caption"/>
        <w:widowControl/>
      </w:pPr>
      <w:r>
        <w:t>Table S16. Remote-sensing products and annual disturbance-event definitions, 2001–2022. The 25% threshold was primary; 10% and 50% thresholds were measurement sensitivities.</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805"/>
        <w:gridCol w:w="1805"/>
        <w:gridCol w:w="1805"/>
        <w:gridCol w:w="1805"/>
        <w:gridCol w:w="1805"/>
      </w:tblGrid>
      <w:tr>
        <w:trPr>
          <w:tblHeader w:val="true"/>
          <w:tblHeader/>
        </w:trPr>
        <w:tc>
          <w:tcPr>
            <w:tcW w:type="dxa" w:w="1152"/>
            <w:vAlign w:val="top"/>
          </w:tcPr>
          <w:p>
            <w:pPr>
              <w:keepNext w:val="0"/>
              <w:spacing w:after="0" w:line="240" w:lineRule="auto" w:before="0"/>
              <w:jc w:val="left"/>
            </w:pPr>
            <w:r>
              <w:rPr>
                <w:rFonts w:ascii="Times New Roman" w:hAnsi="Times New Roman"/>
                <w:sz w:val="18"/>
              </w:rPr>
            </w:r>
            <w:r>
              <w:rPr>
                <w:rFonts w:ascii="Times New Roman" w:hAnsi="Times New Roman"/>
                <w:b/>
                <w:sz w:val="18"/>
              </w:rPr>
              <w:t>Outcome</w:t>
            </w:r>
          </w:p>
        </w:tc>
        <w:tc>
          <w:tcPr>
            <w:tcW w:type="dxa" w:w="1728"/>
            <w:vAlign w:val="top"/>
          </w:tcPr>
          <w:p>
            <w:pPr>
              <w:keepNext w:val="0"/>
              <w:spacing w:after="0" w:line="240" w:lineRule="auto" w:before="0"/>
              <w:jc w:val="left"/>
            </w:pPr>
            <w:r>
              <w:rPr>
                <w:rFonts w:ascii="Times New Roman" w:hAnsi="Times New Roman"/>
                <w:sz w:val="18"/>
              </w:rPr>
            </w:r>
            <w:r>
              <w:rPr>
                <w:rFonts w:ascii="Times New Roman" w:hAnsi="Times New Roman"/>
                <w:b/>
                <w:sz w:val="18"/>
              </w:rPr>
              <w:t>Source (native resolution)</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sz w:val="18"/>
              </w:rPr>
              <w:t>Primary 500 m event definition</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sz w:val="18"/>
              </w:rPr>
              <w:t>Risk-set rule</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Process represented</w:t>
            </w:r>
          </w:p>
        </w:tc>
      </w:tr>
      <w:tr>
        <w:tc>
          <w:tcPr>
            <w:tcW w:type="dxa" w:w="115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Fire</w:t>
            </w:r>
          </w:p>
        </w:tc>
        <w:tc>
          <w:tcPr>
            <w:tcW w:type="dxa" w:w="172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ESA FireCCI v5.1 (250 m)</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≥25% of a cell burned during day of year 100–300</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All eligible cells remain at risk annually</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Recurrent, mobile burning; ignition cause not identified</w:t>
            </w:r>
          </w:p>
        </w:tc>
      </w:tr>
      <w:tr>
        <w:tc>
          <w:tcPr>
            <w:tcW w:type="dxa" w:w="115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Tree-cover loss</w:t>
            </w:r>
          </w:p>
        </w:tc>
        <w:tc>
          <w:tcPr>
            <w:tcW w:type="dxa" w:w="172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Hansen Global Forest Change v1.12 (30 m)</w:t>
            </w:r>
          </w:p>
        </w:tc>
        <w:tc>
          <w:tcPr>
            <w:tcW w:type="dxa" w:w="2232"/>
            <w:vAlign w:val="center"/>
          </w:tcPr>
          <w:p>
            <w:pPr>
              <w:keepNext w:val="0"/>
              <w:spacing w:before="0" w:after="0" w:line="240" w:lineRule="auto"/>
              <w:jc w:val="left"/>
            </w:pPr>
            <w:r>
              <w:rPr>
                <w:rFonts w:ascii="Times New Roman" w:hAnsi="Times New Roman"/>
                <w:sz w:val="18"/>
              </w:rPr>
              <w:t>First year cumulative mapped loss reaches ≥25% of a cell</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Cells with ≥30% tree cover in 2000; removed after first event</w:t>
            </w:r>
          </w:p>
        </w:tc>
        <w:tc>
          <w:tcPr>
            <w:tcW w:type="dxa" w:w="2088"/>
            <w:vAlign w:val="center"/>
          </w:tcPr>
          <w:p>
            <w:pPr>
              <w:keepNext w:val="0"/>
              <w:spacing w:before="0" w:after="0" w:line="240" w:lineRule="auto"/>
              <w:jc w:val="left"/>
            </w:pPr>
            <w:r>
              <w:rPr>
                <w:rFonts w:ascii="Times New Roman" w:hAnsi="Times New Roman"/>
                <w:sz w:val="18"/>
              </w:rPr>
              <w:t>First crossing of a spatially fixed canopy-removal threshold; permanence and cause not identified</w:t>
            </w:r>
          </w:p>
        </w:tc>
      </w:tr>
      <w:tr>
        <w:tc>
          <w:tcPr>
            <w:tcW w:type="dxa" w:w="115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r>
          </w:p>
        </w:tc>
        <w:tc>
          <w:tcPr>
            <w:tcW w:type="dxa" w:w="172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Annual Cropland Extent Dataset for Africa (30 m)</w:t>
            </w:r>
          </w:p>
        </w:tc>
        <w:tc>
          <w:tcPr>
            <w:tcW w:type="dxa" w:w="223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First annual transition from &lt;25% to ≥25% cropland</w:t>
            </w:r>
          </w:p>
        </w:tc>
        <w:tc>
          <w:tcPr>
            <w:tcW w:type="dxa" w:w="180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Cells removed after first detected transition</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Site-specific land-use establishment; persistence not identified</w:t>
            </w:r>
          </w:p>
        </w:tc>
      </w:tr>
    </w:tbl>
    <w:p>
      <w:pPr>
        <w:pStyle w:val="Caption"/>
        <w:widowControl/>
      </w:pPr>
      <w:r>
        <w:t>Table S17. Synthesis of primary results for the 25% event definition within the symmetric 10 km boundary corridor. Full numerical estimates are reported in Tables S8–S9.</w:t>
      </w:r>
    </w:p>
    <w:tbl>
      <w:tblPr>
        <w:tblStyle w:val="TableGrid"/>
        <w:tblW w:type="auto" w:w="0"/>
        <w:jc w:val="center"/>
        <w:tblLayout w:type="fixed"/>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1805"/>
        <w:gridCol w:w="1805"/>
        <w:gridCol w:w="1805"/>
        <w:gridCol w:w="1805"/>
        <w:gridCol w:w="1805"/>
      </w:tblGrid>
      <w:tr>
        <w:trPr>
          <w:tblHeader w:val="true"/>
          <w:tblHeader/>
        </w:trPr>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sz w:val="18"/>
              </w:rPr>
              <w:t>Outcome and support</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sz w:val="18"/>
              </w:rPr>
              <w:t>Legal-boundary result</w:t>
            </w:r>
          </w:p>
        </w:tc>
        <w:tc>
          <w:tcPr>
            <w:tcW w:type="dxa" w:w="1872"/>
            <w:vAlign w:val="top"/>
          </w:tcPr>
          <w:p>
            <w:pPr>
              <w:keepNext w:val="0"/>
              <w:spacing w:after="0" w:line="240" w:lineRule="auto" w:before="0"/>
              <w:jc w:val="left"/>
            </w:pPr>
            <w:r>
              <w:rPr>
                <w:rFonts w:ascii="Times New Roman" w:hAnsi="Times New Roman"/>
                <w:sz w:val="18"/>
              </w:rPr>
            </w:r>
            <w:r>
              <w:rPr>
                <w:rFonts w:ascii="Times New Roman" w:hAnsi="Times New Roman"/>
                <w:b/>
                <w:sz w:val="18"/>
              </w:rPr>
              <w:t>Profile comparison</w:t>
            </w:r>
          </w:p>
        </w:tc>
        <w:tc>
          <w:tcPr>
            <w:tcW w:type="dxa" w:w="1872"/>
            <w:vAlign w:val="top"/>
          </w:tcPr>
          <w:p>
            <w:pPr>
              <w:keepNext w:val="0"/>
              <w:spacing w:after="0" w:line="240" w:lineRule="auto" w:before="0"/>
              <w:jc w:val="left"/>
            </w:pPr>
            <w:r>
              <w:rPr>
                <w:rFonts w:ascii="Times New Roman" w:hAnsi="Times New Roman"/>
                <w:sz w:val="18"/>
              </w:rPr>
            </w:r>
            <w:r>
              <w:rPr>
                <w:rFonts w:ascii="Times New Roman" w:hAnsi="Times New Roman"/>
                <w:b/>
                <w:sz w:val="18"/>
              </w:rPr>
              <w:t>Outer pseudo-boundaries</w:t>
            </w:r>
          </w:p>
        </w:tc>
        <w:tc>
          <w:tcPr>
            <w:tcW w:type="dxa" w:w="2088"/>
            <w:vAlign w:val="top"/>
          </w:tcPr>
          <w:p>
            <w:pPr>
              <w:keepNext w:val="0"/>
              <w:spacing w:after="0" w:line="240" w:lineRule="auto" w:before="0"/>
              <w:jc w:val="left"/>
            </w:pPr>
            <w:r>
              <w:rPr>
                <w:rFonts w:ascii="Times New Roman" w:hAnsi="Times New Roman"/>
                <w:sz w:val="18"/>
              </w:rPr>
            </w:r>
            <w:r>
              <w:rPr>
                <w:rFonts w:ascii="Times New Roman" w:hAnsi="Times New Roman"/>
                <w:b/>
                <w:sz w:val="18"/>
              </w:rPr>
              <w:t>Robustness and inference</w:t>
            </w:r>
          </w:p>
        </w:tc>
      </w:tr>
      <w:tr>
        <w:tc>
          <w:tcPr>
            <w:tcW w:type="dxa" w:w="1440"/>
            <w:vAlign w:val="center"/>
          </w:tcPr>
          <w:p>
            <w:pPr>
              <w:keepNext w:val="0"/>
              <w:spacing w:before="0" w:after="0" w:line="240" w:lineRule="auto"/>
              <w:jc w:val="left"/>
            </w:pPr>
            <w:r>
              <w:rPr>
                <w:rFonts w:ascii="Times New Roman" w:hAnsi="Times New Roman"/>
                <w:sz w:val="18"/>
              </w:rPr>
              <w:t>Tree-cover loss</w:t>
              <w:br/>
              <w:t>519 first 25% cumulative-loss threshold events</w:t>
            </w:r>
          </w:p>
        </w:tc>
        <w:tc>
          <w:tcPr>
            <w:tcW w:type="dxa" w:w="1944"/>
            <w:vAlign w:val="center"/>
          </w:tcPr>
          <w:p>
            <w:pPr>
              <w:keepNext w:val="0"/>
              <w:spacing w:before="0" w:after="0" w:line="240" w:lineRule="auto"/>
              <w:jc w:val="left"/>
            </w:pPr>
            <w:r>
              <w:rPr>
                <w:rFonts w:ascii="Times New Roman" w:hAnsi="Times New Roman"/>
                <w:sz w:val="18"/>
              </w:rPr>
              <w:t>Pooled odds lower inside under fragmented, militia-centred, and park-centred control (57%, 59%, and 76% reductions).</w:t>
            </w:r>
          </w:p>
        </w:tc>
        <w:tc>
          <w:tcPr>
            <w:tcW w:type="dxa" w:w="1872"/>
            <w:vAlign w:val="center"/>
          </w:tcPr>
          <w:p>
            <w:pPr>
              <w:keepNext w:val="0"/>
              <w:spacing w:before="0" w:after="0" w:line="240" w:lineRule="auto"/>
              <w:jc w:val="left"/>
            </w:pPr>
            <w:r>
              <w:rPr>
                <w:rFonts w:ascii="Times New Roman" w:hAnsi="Times New Roman"/>
                <w:sz w:val="18"/>
              </w:rPr>
              <w:t>Park-centred point estimate most negative; all pairwise 95% CIs included zero. Broad profiles pool non-identical episodes.</w:t>
            </w:r>
          </w:p>
        </w:tc>
        <w:tc>
          <w:tcPr>
            <w:tcW w:type="dxa" w:w="1872"/>
            <w:vAlign w:val="center"/>
          </w:tcPr>
          <w:p>
            <w:pPr>
              <w:keepNext w:val="0"/>
              <w:spacing w:before="0" w:after="0" w:line="240" w:lineRule="auto"/>
              <w:jc w:val="left"/>
            </w:pPr>
            <w:r>
              <w:rPr>
                <w:rFonts w:ascii="Times New Roman" w:hAnsi="Times New Roman"/>
                <w:sz w:val="18"/>
              </w:rPr>
              <w:t>Legal estimate more negative than all ten evaluated outward estimates under every profile; one-sided descriptive comparison.</w:t>
            </w:r>
          </w:p>
        </w:tc>
        <w:tc>
          <w:tcPr>
            <w:tcW w:type="dxa" w:w="2088"/>
            <w:vAlign w:val="center"/>
          </w:tcPr>
          <w:p>
            <w:pPr>
              <w:keepNext w:val="0"/>
              <w:spacing w:before="0" w:after="0" w:line="240" w:lineRule="auto"/>
              <w:jc w:val="left"/>
            </w:pPr>
            <w:r>
              <w:rPr>
                <w:rFonts w:ascii="Times New Roman" w:hAnsi="Times New Roman"/>
                <w:sz w:val="18"/>
              </w:rPr>
              <w:t>Direction retained in several sensitivities, but weaker at better-balanced 5 km and attenuated/imprecise at sparse 50% threshold. Legal-boundary-aligned land-surface pattern, not actor or biodiversity attribution.</w:t>
            </w:r>
          </w:p>
        </w:tc>
      </w:tr>
      <w:tr>
        <w:tc>
          <w:tcPr>
            <w:tcW w:type="dxa" w:w="1440"/>
            <w:vAlign w:val="center"/>
          </w:tcPr>
          <w:p>
            <w:pPr>
              <w:keepNext w:val="0"/>
              <w:spacing w:before="0" w:after="0" w:line="240" w:lineRule="auto"/>
              <w:jc w:val="left"/>
            </w:pPr>
            <w:r>
              <w:rPr>
                <w:rFonts w:ascii="Times New Roman" w:hAnsi="Times New Roman"/>
                <w:sz w:val="18"/>
              </w:rPr>
              <w:t>Fire</w:t>
              <w:br/>
              <w:t>508,320 burned of 936,188 eligible cell-years</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Contrast positive under fragmented and park-centred control and near zero under militia-centred control.</w:t>
            </w:r>
          </w:p>
        </w:tc>
        <w:tc>
          <w:tcPr>
            <w:tcW w:type="dxa" w:w="187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Militia-centred and park-centred contrasts lower than fragmented in primary model; park-centred and militia-centred uncertain.</w:t>
            </w:r>
          </w:p>
        </w:tc>
        <w:tc>
          <w:tcPr>
            <w:tcW w:type="dxa" w:w="1872"/>
            <w:vAlign w:val="center"/>
          </w:tcPr>
          <w:p>
            <w:pPr>
              <w:keepNext w:val="0"/>
              <w:spacing w:before="0" w:after="0" w:line="240" w:lineRule="auto"/>
              <w:jc w:val="left"/>
            </w:pPr>
            <w:r>
              <w:rPr>
                <w:rFonts w:ascii="Times New Roman" w:hAnsi="Times New Roman"/>
                <w:sz w:val="18"/>
              </w:rPr>
              <w:t>Every legal estimate within outward-offset range; comparable contrasts and sign reversals elsewhere. Some outer fits non-strict.</w:t>
            </w:r>
          </w:p>
        </w:tc>
        <w:tc>
          <w:tcPr>
            <w:tcW w:type="dxa" w:w="2088"/>
            <w:vAlign w:val="center"/>
          </w:tcPr>
          <w:p>
            <w:pPr>
              <w:keepNext w:val="0"/>
              <w:spacing w:before="0" w:after="0" w:line="240" w:lineRule="auto"/>
              <w:jc w:val="left"/>
            </w:pPr>
            <w:r>
              <w:rPr>
                <w:rFonts w:ascii="Times New Roman" w:hAnsi="Times New Roman"/>
                <w:sz w:val="18"/>
              </w:rPr>
              <w:t>Primary profile differences are conditional model results; exploratory chronology signs were unstable. No exceptional legal-boundary alignment among evaluated offsets.</w:t>
            </w:r>
          </w:p>
        </w:tc>
      </w:tr>
      <w:tr>
        <w:tc>
          <w:tcPr>
            <w:tcW w:type="dxa" w:w="1440"/>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Agricultural expansion</w:t>
              <w:br/>
              <w:t>518 first events</w:t>
            </w:r>
          </w:p>
        </w:tc>
        <w:tc>
          <w:tcPr>
            <w:tcW w:type="dxa" w:w="1944"/>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Primary park-centred contrast negative; fragmented and militia-centred estimates weakly positive.</w:t>
            </w:r>
          </w:p>
        </w:tc>
        <w:tc>
          <w:tcPr>
            <w:tcW w:type="dxa" w:w="187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Primary pairwise differences depended on specification.</w:t>
            </w:r>
          </w:p>
        </w:tc>
        <w:tc>
          <w:tcPr>
            <w:tcW w:type="dxa" w:w="1872"/>
            <w:vAlign w:val="top"/>
          </w:tcPr>
          <w:p>
            <w:pPr>
              <w:keepNext w:val="0"/>
              <w:spacing w:after="0" w:line="240" w:lineRule="auto" w:before="0"/>
              <w:jc w:val="left"/>
            </w:pPr>
            <w:r>
              <w:rPr>
                <w:rFonts w:ascii="Times New Roman" w:hAnsi="Times New Roman"/>
                <w:sz w:val="18"/>
              </w:rPr>
            </w:r>
            <w:r>
              <w:rPr>
                <w:rFonts w:ascii="Times New Roman" w:hAnsi="Times New Roman"/>
                <w:b w:val="0"/>
                <w:sz w:val="18"/>
              </w:rPr>
              <w:t>Sparse and unstable estimates prevented classification.</w:t>
            </w:r>
          </w:p>
        </w:tc>
        <w:tc>
          <w:tcPr>
            <w:tcW w:type="dxa" w:w="2088"/>
            <w:vAlign w:val="center"/>
          </w:tcPr>
          <w:p>
            <w:pPr>
              <w:keepNext w:val="0"/>
              <w:spacing w:before="0" w:after="0" w:line="240" w:lineRule="auto"/>
              <w:jc w:val="left"/>
            </w:pPr>
            <w:r>
              <w:rPr>
                <w:rFonts w:ascii="Times New Roman" w:hAnsi="Times New Roman"/>
                <w:sz w:val="18"/>
              </w:rPr>
              <w:t>Sensitive to weighting, threshold, and domain; no reliable location-specific or institutional inference.</w:t>
            </w:r>
          </w:p>
        </w:tc>
      </w:tr>
    </w:tbl>
    <w:p>
      <w:pPr>
        <w:pStyle w:val="Caption"/>
        <w:widowControl/>
      </w:pPr>
      <w:r>
        <w:t>Table S18. Agricultural inside-minus-outside log odds. HC3 intervals retain the established comparison; the final column reports 499 whole-trajectory 5 km spatial-bootstrap percentile intervals. Annual presence is prevalence, a different response from first establishment.</w:t>
      </w:r>
    </w:p>
    <w:tbl>
      <w:tblPr>
        <w:tblW w:type="auto" w:w="0"/>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592"/>
        <w:gridCol w:w="2592"/>
        <w:gridCol w:w="2592"/>
        <w:gridCol w:w="2592"/>
      </w:tblGrid>
      <w:tr>
        <w:trPr>
          <w:tblHeader/>
        </w:trPr>
        <w:tc>
          <w:tcPr>
            <w:tcW w:type="dxa" w:w="2592"/>
          </w:tcPr>
          <w:p>
            <w:pPr>
              <w:keepNext w:val="0"/>
            </w:pPr>
            <w:r>
              <w:rPr>
                <w:sz w:val="18"/>
              </w:rPr>
              <w:t>Response / period</w:t>
            </w:r>
          </w:p>
        </w:tc>
        <w:tc>
          <w:tcPr>
            <w:tcW w:type="dxa" w:w="2592"/>
          </w:tcPr>
          <w:p>
            <w:pPr>
              <w:keepNext w:val="0"/>
            </w:pPr>
            <w:r>
              <w:rPr>
                <w:sz w:val="18"/>
              </w:rPr>
              <w:t>Profile</w:t>
            </w:r>
          </w:p>
        </w:tc>
        <w:tc>
          <w:tcPr>
            <w:tcW w:type="dxa" w:w="2592"/>
          </w:tcPr>
          <w:p>
            <w:pPr>
              <w:keepNext w:val="0"/>
            </w:pPr>
            <w:r>
              <w:rPr>
                <w:sz w:val="18"/>
              </w:rPr>
              <w:t>Estimate [HC3 CI]</w:t>
            </w:r>
          </w:p>
        </w:tc>
        <w:tc>
          <w:tcPr>
            <w:tcW w:type="dxa" w:w="2592"/>
          </w:tcPr>
          <w:p>
            <w:pPr>
              <w:keepNext w:val="0"/>
            </w:pPr>
            <w:r>
              <w:rPr>
                <w:sz w:val="18"/>
              </w:rPr>
              <w:t>Spatial-bootstrap CI</w:t>
            </w:r>
          </w:p>
        </w:tc>
      </w:tr>
      <w:tr>
        <w:tc>
          <w:tcPr>
            <w:tcW w:type="dxa" w:w="2592"/>
          </w:tcPr>
          <w:p>
            <w:pPr>
              <w:keepNext w:val="0"/>
            </w:pPr>
            <w:r>
              <w:rPr>
                <w:sz w:val="18"/>
              </w:rPr>
              <w:t>First crossing, 2001–2022</w:t>
            </w:r>
          </w:p>
        </w:tc>
        <w:tc>
          <w:tcPr>
            <w:tcW w:type="dxa" w:w="2592"/>
          </w:tcPr>
          <w:p>
            <w:pPr>
              <w:keepNext w:val="0"/>
            </w:pPr>
            <w:r>
              <w:rPr>
                <w:sz w:val="18"/>
              </w:rPr>
              <w:t>Fragmented</w:t>
            </w:r>
          </w:p>
        </w:tc>
        <w:tc>
          <w:tcPr>
            <w:tcW w:type="dxa" w:w="2592"/>
          </w:tcPr>
          <w:p>
            <w:pPr>
              <w:keepNext w:val="0"/>
            </w:pPr>
            <w:r>
              <w:rPr>
                <w:sz w:val="18"/>
              </w:rPr>
              <w:t>0.286 [-0.164, 0.737]</w:t>
            </w:r>
          </w:p>
        </w:tc>
        <w:tc>
          <w:tcPr>
            <w:tcW w:type="dxa" w:w="2592"/>
          </w:tcPr>
          <w:p>
            <w:pPr>
              <w:keepNext w:val="0"/>
            </w:pPr>
            <w:r>
              <w:rPr>
                <w:sz w:val="18"/>
              </w:rPr>
              <w:t>[-0.246, 0.770]</w:t>
            </w:r>
          </w:p>
        </w:tc>
      </w:tr>
      <w:tr>
        <w:tc>
          <w:tcPr>
            <w:tcW w:type="dxa" w:w="2592"/>
          </w:tcPr>
          <w:p>
            <w:pPr>
              <w:keepNext w:val="0"/>
            </w:pPr>
            <w:r>
              <w:rPr>
                <w:sz w:val="18"/>
              </w:rPr>
              <w:t>First crossing, 2001–2022</w:t>
            </w:r>
          </w:p>
        </w:tc>
        <w:tc>
          <w:tcPr>
            <w:tcW w:type="dxa" w:w="2592"/>
          </w:tcPr>
          <w:p>
            <w:pPr>
              <w:keepNext w:val="0"/>
            </w:pPr>
            <w:r>
              <w:rPr>
                <w:sz w:val="18"/>
              </w:rPr>
              <w:t>Militia-centred</w:t>
            </w:r>
          </w:p>
        </w:tc>
        <w:tc>
          <w:tcPr>
            <w:tcW w:type="dxa" w:w="2592"/>
          </w:tcPr>
          <w:p>
            <w:pPr>
              <w:keepNext w:val="0"/>
            </w:pPr>
            <w:r>
              <w:rPr>
                <w:sz w:val="18"/>
              </w:rPr>
              <w:t>0.222 [-0.048, 0.492]</w:t>
            </w:r>
          </w:p>
        </w:tc>
        <w:tc>
          <w:tcPr>
            <w:tcW w:type="dxa" w:w="2592"/>
          </w:tcPr>
          <w:p>
            <w:pPr>
              <w:keepNext w:val="0"/>
            </w:pPr>
            <w:r>
              <w:rPr>
                <w:sz w:val="18"/>
              </w:rPr>
              <w:t>[-0.265, 0.671]</w:t>
            </w:r>
          </w:p>
        </w:tc>
      </w:tr>
      <w:tr>
        <w:tc>
          <w:tcPr>
            <w:tcW w:type="dxa" w:w="2592"/>
          </w:tcPr>
          <w:p>
            <w:pPr>
              <w:keepNext w:val="0"/>
            </w:pPr>
            <w:r>
              <w:rPr>
                <w:sz w:val="18"/>
              </w:rPr>
              <w:t>First crossing, 2001–2022</w:t>
            </w:r>
          </w:p>
        </w:tc>
        <w:tc>
          <w:tcPr>
            <w:tcW w:type="dxa" w:w="2592"/>
          </w:tcPr>
          <w:p>
            <w:pPr>
              <w:keepNext w:val="0"/>
            </w:pPr>
            <w:r>
              <w:rPr>
                <w:sz w:val="18"/>
              </w:rPr>
              <w:t>Park-centred</w:t>
            </w:r>
          </w:p>
        </w:tc>
        <w:tc>
          <w:tcPr>
            <w:tcW w:type="dxa" w:w="2592"/>
          </w:tcPr>
          <w:p>
            <w:pPr>
              <w:keepNext w:val="0"/>
            </w:pPr>
            <w:r>
              <w:rPr>
                <w:sz w:val="18"/>
              </w:rPr>
              <w:t>-0.347 [-0.657, -0.037]</w:t>
            </w:r>
          </w:p>
        </w:tc>
        <w:tc>
          <w:tcPr>
            <w:tcW w:type="dxa" w:w="2592"/>
          </w:tcPr>
          <w:p>
            <w:pPr>
              <w:keepNext w:val="0"/>
            </w:pPr>
            <w:r>
              <w:rPr>
                <w:sz w:val="18"/>
              </w:rPr>
              <w:t>[-0.807, 0.102]</w:t>
            </w:r>
          </w:p>
        </w:tc>
      </w:tr>
      <w:tr>
        <w:tc>
          <w:tcPr>
            <w:tcW w:type="dxa" w:w="2592"/>
          </w:tcPr>
          <w:p>
            <w:pPr>
              <w:keepNext w:val="0"/>
            </w:pPr>
            <w:r>
              <w:rPr>
                <w:sz w:val="18"/>
              </w:rPr>
              <w:t>First crossing, 2001–2019</w:t>
            </w:r>
          </w:p>
        </w:tc>
        <w:tc>
          <w:tcPr>
            <w:tcW w:type="dxa" w:w="2592"/>
          </w:tcPr>
          <w:p>
            <w:pPr>
              <w:keepNext w:val="0"/>
            </w:pPr>
            <w:r>
              <w:rPr>
                <w:sz w:val="18"/>
              </w:rPr>
              <w:t>Fragmented</w:t>
            </w:r>
          </w:p>
        </w:tc>
        <w:tc>
          <w:tcPr>
            <w:tcW w:type="dxa" w:w="2592"/>
          </w:tcPr>
          <w:p>
            <w:pPr>
              <w:keepNext w:val="0"/>
            </w:pPr>
            <w:r>
              <w:rPr>
                <w:sz w:val="18"/>
              </w:rPr>
              <w:t>0.222 [-0.220, 0.663]</w:t>
            </w:r>
          </w:p>
        </w:tc>
        <w:tc>
          <w:tcPr>
            <w:tcW w:type="dxa" w:w="2592"/>
          </w:tcPr>
          <w:p>
            <w:pPr>
              <w:keepNext w:val="0"/>
            </w:pPr>
            <w:r>
              <w:rPr>
                <w:sz w:val="18"/>
              </w:rPr>
              <w:t>[-0.288, 0.689]</w:t>
            </w:r>
          </w:p>
        </w:tc>
      </w:tr>
      <w:tr>
        <w:tc>
          <w:tcPr>
            <w:tcW w:type="dxa" w:w="2592"/>
          </w:tcPr>
          <w:p>
            <w:pPr>
              <w:keepNext w:val="0"/>
            </w:pPr>
            <w:r>
              <w:rPr>
                <w:sz w:val="18"/>
              </w:rPr>
              <w:t>First crossing, 2001–2019</w:t>
            </w:r>
          </w:p>
        </w:tc>
        <w:tc>
          <w:tcPr>
            <w:tcW w:type="dxa" w:w="2592"/>
          </w:tcPr>
          <w:p>
            <w:pPr>
              <w:keepNext w:val="0"/>
            </w:pPr>
            <w:r>
              <w:rPr>
                <w:sz w:val="18"/>
              </w:rPr>
              <w:t>Militia-centred</w:t>
            </w:r>
          </w:p>
        </w:tc>
        <w:tc>
          <w:tcPr>
            <w:tcW w:type="dxa" w:w="2592"/>
          </w:tcPr>
          <w:p>
            <w:pPr>
              <w:keepNext w:val="0"/>
            </w:pPr>
            <w:r>
              <w:rPr>
                <w:sz w:val="18"/>
              </w:rPr>
              <w:t>0.153 [-0.119, 0.425]</w:t>
            </w:r>
          </w:p>
        </w:tc>
        <w:tc>
          <w:tcPr>
            <w:tcW w:type="dxa" w:w="2592"/>
          </w:tcPr>
          <w:p>
            <w:pPr>
              <w:keepNext w:val="0"/>
            </w:pPr>
            <w:r>
              <w:rPr>
                <w:sz w:val="18"/>
              </w:rPr>
              <w:t>[-0.295, 0.588]</w:t>
            </w:r>
          </w:p>
        </w:tc>
      </w:tr>
      <w:tr>
        <w:tc>
          <w:tcPr>
            <w:tcW w:type="dxa" w:w="2592"/>
          </w:tcPr>
          <w:p>
            <w:pPr>
              <w:keepNext w:val="0"/>
            </w:pPr>
            <w:r>
              <w:rPr>
                <w:sz w:val="18"/>
              </w:rPr>
              <w:t>First crossing, 2001–2019</w:t>
            </w:r>
          </w:p>
        </w:tc>
        <w:tc>
          <w:tcPr>
            <w:tcW w:type="dxa" w:w="2592"/>
          </w:tcPr>
          <w:p>
            <w:pPr>
              <w:keepNext w:val="0"/>
            </w:pPr>
            <w:r>
              <w:rPr>
                <w:sz w:val="18"/>
              </w:rPr>
              <w:t>Park-centred</w:t>
            </w:r>
          </w:p>
        </w:tc>
        <w:tc>
          <w:tcPr>
            <w:tcW w:type="dxa" w:w="2592"/>
          </w:tcPr>
          <w:p>
            <w:pPr>
              <w:keepNext w:val="0"/>
            </w:pPr>
            <w:r>
              <w:rPr>
                <w:sz w:val="18"/>
              </w:rPr>
              <w:t>-0.240 [-0.611, 0.131]</w:t>
            </w:r>
          </w:p>
        </w:tc>
        <w:tc>
          <w:tcPr>
            <w:tcW w:type="dxa" w:w="2592"/>
          </w:tcPr>
          <w:p>
            <w:pPr>
              <w:keepNext w:val="0"/>
            </w:pPr>
            <w:r>
              <w:rPr>
                <w:sz w:val="18"/>
              </w:rPr>
              <w:t>[-0.726, 0.265]</w:t>
            </w:r>
          </w:p>
        </w:tc>
      </w:tr>
      <w:tr>
        <w:tc>
          <w:tcPr>
            <w:tcW w:type="dxa" w:w="2592"/>
          </w:tcPr>
          <w:p>
            <w:pPr>
              <w:keepNext w:val="0"/>
            </w:pPr>
            <w:r>
              <w:rPr>
                <w:sz w:val="18"/>
              </w:rPr>
              <w:t>Persistent establishment, 2001–2019</w:t>
            </w:r>
          </w:p>
        </w:tc>
        <w:tc>
          <w:tcPr>
            <w:tcW w:type="dxa" w:w="2592"/>
          </w:tcPr>
          <w:p>
            <w:pPr>
              <w:keepNext w:val="0"/>
            </w:pPr>
            <w:r>
              <w:rPr>
                <w:sz w:val="18"/>
              </w:rPr>
              <w:t>Fragmented</w:t>
            </w:r>
          </w:p>
        </w:tc>
        <w:tc>
          <w:tcPr>
            <w:tcW w:type="dxa" w:w="2592"/>
          </w:tcPr>
          <w:p>
            <w:pPr>
              <w:keepNext w:val="0"/>
            </w:pPr>
            <w:r>
              <w:rPr>
                <w:sz w:val="18"/>
              </w:rPr>
              <w:t>0.257 [-0.169, 0.683]</w:t>
            </w:r>
          </w:p>
        </w:tc>
        <w:tc>
          <w:tcPr>
            <w:tcW w:type="dxa" w:w="2592"/>
          </w:tcPr>
          <w:p>
            <w:pPr>
              <w:keepNext w:val="0"/>
            </w:pPr>
            <w:r>
              <w:rPr>
                <w:sz w:val="18"/>
              </w:rPr>
              <w:t>[-0.241, 0.756]</w:t>
            </w:r>
          </w:p>
        </w:tc>
      </w:tr>
      <w:tr>
        <w:tc>
          <w:tcPr>
            <w:tcW w:type="dxa" w:w="2592"/>
          </w:tcPr>
          <w:p>
            <w:pPr>
              <w:keepNext w:val="0"/>
            </w:pPr>
            <w:r>
              <w:rPr>
                <w:sz w:val="18"/>
              </w:rPr>
              <w:t>Persistent establishment, 2001–2019</w:t>
            </w:r>
          </w:p>
        </w:tc>
        <w:tc>
          <w:tcPr>
            <w:tcW w:type="dxa" w:w="2592"/>
          </w:tcPr>
          <w:p>
            <w:pPr>
              <w:keepNext w:val="0"/>
            </w:pPr>
            <w:r>
              <w:rPr>
                <w:sz w:val="18"/>
              </w:rPr>
              <w:t>Militia-centred</w:t>
            </w:r>
          </w:p>
        </w:tc>
        <w:tc>
          <w:tcPr>
            <w:tcW w:type="dxa" w:w="2592"/>
          </w:tcPr>
          <w:p>
            <w:pPr>
              <w:keepNext w:val="0"/>
            </w:pPr>
            <w:r>
              <w:rPr>
                <w:sz w:val="18"/>
              </w:rPr>
              <w:t>0.139 [-0.191, 0.468]</w:t>
            </w:r>
          </w:p>
        </w:tc>
        <w:tc>
          <w:tcPr>
            <w:tcW w:type="dxa" w:w="2592"/>
          </w:tcPr>
          <w:p>
            <w:pPr>
              <w:keepNext w:val="0"/>
            </w:pPr>
            <w:r>
              <w:rPr>
                <w:sz w:val="18"/>
              </w:rPr>
              <w:t>[-0.350, 0.593]</w:t>
            </w:r>
          </w:p>
        </w:tc>
      </w:tr>
      <w:tr>
        <w:tc>
          <w:tcPr>
            <w:tcW w:type="dxa" w:w="2592"/>
          </w:tcPr>
          <w:p>
            <w:pPr>
              <w:keepNext w:val="0"/>
            </w:pPr>
            <w:r>
              <w:rPr>
                <w:sz w:val="18"/>
              </w:rPr>
              <w:t>Persistent establishment, 2001–2019</w:t>
            </w:r>
          </w:p>
        </w:tc>
        <w:tc>
          <w:tcPr>
            <w:tcW w:type="dxa" w:w="2592"/>
          </w:tcPr>
          <w:p>
            <w:pPr>
              <w:keepNext w:val="0"/>
            </w:pPr>
            <w:r>
              <w:rPr>
                <w:sz w:val="18"/>
              </w:rPr>
              <w:t>Park-centred</w:t>
            </w:r>
          </w:p>
        </w:tc>
        <w:tc>
          <w:tcPr>
            <w:tcW w:type="dxa" w:w="2592"/>
          </w:tcPr>
          <w:p>
            <w:pPr>
              <w:keepNext w:val="0"/>
            </w:pPr>
            <w:r>
              <w:rPr>
                <w:sz w:val="18"/>
              </w:rPr>
              <w:t>-0.235 [-0.753, 0.284]</w:t>
            </w:r>
          </w:p>
        </w:tc>
        <w:tc>
          <w:tcPr>
            <w:tcW w:type="dxa" w:w="2592"/>
          </w:tcPr>
          <w:p>
            <w:pPr>
              <w:keepNext w:val="0"/>
            </w:pPr>
            <w:r>
              <w:rPr>
                <w:sz w:val="18"/>
              </w:rPr>
              <w:t>[-0.683, 0.236]</w:t>
            </w:r>
          </w:p>
        </w:tc>
      </w:tr>
      <w:tr>
        <w:tc>
          <w:tcPr>
            <w:tcW w:type="dxa" w:w="2592"/>
          </w:tcPr>
          <w:p>
            <w:pPr>
              <w:keepNext w:val="0"/>
            </w:pPr>
            <w:r>
              <w:rPr>
                <w:sz w:val="18"/>
              </w:rPr>
              <w:t>Annual presence, 2001–2022</w:t>
            </w:r>
          </w:p>
        </w:tc>
        <w:tc>
          <w:tcPr>
            <w:tcW w:type="dxa" w:w="2592"/>
          </w:tcPr>
          <w:p>
            <w:pPr>
              <w:keepNext w:val="0"/>
            </w:pPr>
            <w:r>
              <w:rPr>
                <w:sz w:val="18"/>
              </w:rPr>
              <w:t>Fragmented</w:t>
            </w:r>
          </w:p>
        </w:tc>
        <w:tc>
          <w:tcPr>
            <w:tcW w:type="dxa" w:w="2592"/>
          </w:tcPr>
          <w:p>
            <w:pPr>
              <w:keepNext w:val="0"/>
            </w:pPr>
            <w:r>
              <w:rPr>
                <w:sz w:val="18"/>
              </w:rPr>
              <w:t>-1.549 [-1.651, -1.448]</w:t>
            </w:r>
          </w:p>
        </w:tc>
        <w:tc>
          <w:tcPr>
            <w:tcW w:type="dxa" w:w="2592"/>
          </w:tcPr>
          <w:p>
            <w:pPr>
              <w:keepNext w:val="0"/>
            </w:pPr>
            <w:r>
              <w:rPr>
                <w:sz w:val="18"/>
              </w:rPr>
              <w:t>[-2.311, -0.098]</w:t>
            </w:r>
          </w:p>
        </w:tc>
      </w:tr>
      <w:tr>
        <w:tc>
          <w:tcPr>
            <w:tcW w:type="dxa" w:w="2592"/>
          </w:tcPr>
          <w:p>
            <w:pPr>
              <w:keepNext w:val="0"/>
            </w:pPr>
            <w:r>
              <w:rPr>
                <w:sz w:val="18"/>
              </w:rPr>
              <w:t>Annual presence, 2001–2022</w:t>
            </w:r>
          </w:p>
        </w:tc>
        <w:tc>
          <w:tcPr>
            <w:tcW w:type="dxa" w:w="2592"/>
          </w:tcPr>
          <w:p>
            <w:pPr>
              <w:keepNext w:val="0"/>
            </w:pPr>
            <w:r>
              <w:rPr>
                <w:sz w:val="18"/>
              </w:rPr>
              <w:t>Militia-centred</w:t>
            </w:r>
          </w:p>
        </w:tc>
        <w:tc>
          <w:tcPr>
            <w:tcW w:type="dxa" w:w="2592"/>
          </w:tcPr>
          <w:p>
            <w:pPr>
              <w:keepNext w:val="0"/>
            </w:pPr>
            <w:r>
              <w:rPr>
                <w:sz w:val="18"/>
              </w:rPr>
              <w:t>-1.356 [-1.504, -1.208]</w:t>
            </w:r>
          </w:p>
        </w:tc>
        <w:tc>
          <w:tcPr>
            <w:tcW w:type="dxa" w:w="2592"/>
          </w:tcPr>
          <w:p>
            <w:pPr>
              <w:keepNext w:val="0"/>
            </w:pPr>
            <w:r>
              <w:rPr>
                <w:sz w:val="18"/>
              </w:rPr>
              <w:t>[-2.074, 0.061]</w:t>
            </w:r>
          </w:p>
        </w:tc>
      </w:tr>
      <w:tr>
        <w:tc>
          <w:tcPr>
            <w:tcW w:type="dxa" w:w="2592"/>
          </w:tcPr>
          <w:p>
            <w:pPr>
              <w:keepNext w:val="0"/>
            </w:pPr>
            <w:r>
              <w:rPr>
                <w:sz w:val="18"/>
              </w:rPr>
              <w:t>Annual presence, 2001–2022</w:t>
            </w:r>
          </w:p>
        </w:tc>
        <w:tc>
          <w:tcPr>
            <w:tcW w:type="dxa" w:w="2592"/>
          </w:tcPr>
          <w:p>
            <w:pPr>
              <w:keepNext w:val="0"/>
            </w:pPr>
            <w:r>
              <w:rPr>
                <w:sz w:val="18"/>
              </w:rPr>
              <w:t>Park-centred</w:t>
            </w:r>
          </w:p>
        </w:tc>
        <w:tc>
          <w:tcPr>
            <w:tcW w:type="dxa" w:w="2592"/>
          </w:tcPr>
          <w:p>
            <w:pPr>
              <w:keepNext w:val="0"/>
            </w:pPr>
            <w:r>
              <w:rPr>
                <w:sz w:val="18"/>
              </w:rPr>
              <w:t>-1.175 [-1.259, -1.092]</w:t>
            </w:r>
          </w:p>
        </w:tc>
        <w:tc>
          <w:tcPr>
            <w:tcW w:type="dxa" w:w="2592"/>
          </w:tcPr>
          <w:p>
            <w:pPr>
              <w:keepNext w:val="0"/>
            </w:pPr>
            <w:r>
              <w:rPr>
                <w:sz w:val="18"/>
              </w:rPr>
              <w:t>[-1.900, 0.233]</w:t>
            </w:r>
          </w:p>
        </w:tc>
      </w:tr>
    </w:tbl>
    <w:p>
      <w:pPr>
        <w:pStyle w:val="Caption"/>
        <w:widowControl/>
      </w:pPr>
      <w:r>
        <w:t>Table S19A. Reversal after the original crossing. Denominators require both follow-ups. No missing-data cases occurred.</w:t>
      </w:r>
    </w:p>
    <w:tbl>
      <w:tblPr>
        <w:tblW w:type="auto" w:w="0"/>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trPr>
        <w:tc>
          <w:tcPr>
            <w:tcW w:type="dxa" w:w="2074"/>
          </w:tcPr>
          <w:p>
            <w:pPr>
              <w:keepNext w:val="0"/>
            </w:pPr>
            <w:r>
              <w:rPr>
                <w:sz w:val="18"/>
              </w:rPr>
              <w:t>Domain</w:t>
            </w:r>
          </w:p>
        </w:tc>
        <w:tc>
          <w:tcPr>
            <w:tcW w:type="dxa" w:w="2074"/>
          </w:tcPr>
          <w:p>
            <w:pPr>
              <w:keepNext w:val="0"/>
            </w:pPr>
            <w:r>
              <w:rPr>
                <w:sz w:val="18"/>
              </w:rPr>
              <w:t>Side</w:t>
            </w:r>
          </w:p>
        </w:tc>
        <w:tc>
          <w:tcPr>
            <w:tcW w:type="dxa" w:w="2074"/>
          </w:tcPr>
          <w:p>
            <w:pPr>
              <w:keepNext w:val="0"/>
            </w:pPr>
            <w:r>
              <w:rPr>
                <w:sz w:val="18"/>
              </w:rPr>
              <w:t>All events</w:t>
            </w:r>
          </w:p>
        </w:tc>
        <w:tc>
          <w:tcPr>
            <w:tcW w:type="dxa" w:w="2074"/>
          </w:tcPr>
          <w:p>
            <w:pPr>
              <w:keepNext w:val="0"/>
            </w:pPr>
            <w:r>
              <w:rPr>
                <w:sz w:val="18"/>
              </w:rPr>
              <w:t>Reversed / eligible</w:t>
            </w:r>
          </w:p>
        </w:tc>
        <w:tc>
          <w:tcPr>
            <w:tcW w:type="dxa" w:w="2074"/>
          </w:tcPr>
          <w:p>
            <w:pPr>
              <w:keepNext w:val="0"/>
            </w:pPr>
            <w:r>
              <w:rPr>
                <w:sz w:val="18"/>
              </w:rPr>
              <w:t>Insufficient follow-up</w:t>
            </w:r>
          </w:p>
        </w:tc>
      </w:tr>
      <w:tr>
        <w:tc>
          <w:tcPr>
            <w:tcW w:type="dxa" w:w="2074"/>
          </w:tcPr>
          <w:p>
            <w:pPr>
              <w:keepNext w:val="0"/>
            </w:pPr>
            <w:r>
              <w:rPr>
                <w:sz w:val="18"/>
              </w:rPr>
              <w:t>full</w:t>
            </w:r>
          </w:p>
        </w:tc>
        <w:tc>
          <w:tcPr>
            <w:tcW w:type="dxa" w:w="2074"/>
          </w:tcPr>
          <w:p>
            <w:pPr>
              <w:keepNext w:val="0"/>
            </w:pPr>
            <w:r>
              <w:rPr>
                <w:sz w:val="18"/>
              </w:rPr>
              <w:t>outside</w:t>
            </w:r>
          </w:p>
        </w:tc>
        <w:tc>
          <w:tcPr>
            <w:tcW w:type="dxa" w:w="2074"/>
          </w:tcPr>
          <w:p>
            <w:pPr>
              <w:keepNext w:val="0"/>
            </w:pPr>
            <w:r>
              <w:rPr>
                <w:sz w:val="18"/>
              </w:rPr>
              <w:t>2430</w:t>
            </w:r>
          </w:p>
        </w:tc>
        <w:tc>
          <w:tcPr>
            <w:tcW w:type="dxa" w:w="2074"/>
          </w:tcPr>
          <w:p>
            <w:pPr>
              <w:keepNext w:val="0"/>
            </w:pPr>
            <w:r>
              <w:rPr>
                <w:sz w:val="18"/>
              </w:rPr>
              <w:t>193 / 2092</w:t>
            </w:r>
          </w:p>
        </w:tc>
        <w:tc>
          <w:tcPr>
            <w:tcW w:type="dxa" w:w="2074"/>
          </w:tcPr>
          <w:p>
            <w:pPr>
              <w:keepNext w:val="0"/>
            </w:pPr>
            <w:r>
              <w:rPr>
                <w:sz w:val="18"/>
              </w:rPr>
              <w:t>338</w:t>
            </w:r>
          </w:p>
        </w:tc>
      </w:tr>
      <w:tr>
        <w:tc>
          <w:tcPr>
            <w:tcW w:type="dxa" w:w="2074"/>
          </w:tcPr>
          <w:p>
            <w:pPr>
              <w:keepNext w:val="0"/>
            </w:pPr>
            <w:r>
              <w:rPr>
                <w:sz w:val="18"/>
              </w:rPr>
              <w:t>full</w:t>
            </w:r>
          </w:p>
        </w:tc>
        <w:tc>
          <w:tcPr>
            <w:tcW w:type="dxa" w:w="2074"/>
          </w:tcPr>
          <w:p>
            <w:pPr>
              <w:keepNext w:val="0"/>
            </w:pPr>
            <w:r>
              <w:rPr>
                <w:sz w:val="18"/>
              </w:rPr>
              <w:t>inside</w:t>
            </w:r>
          </w:p>
        </w:tc>
        <w:tc>
          <w:tcPr>
            <w:tcW w:type="dxa" w:w="2074"/>
          </w:tcPr>
          <w:p>
            <w:pPr>
              <w:keepNext w:val="0"/>
            </w:pPr>
            <w:r>
              <w:rPr>
                <w:sz w:val="18"/>
              </w:rPr>
              <w:t>255</w:t>
            </w:r>
          </w:p>
        </w:tc>
        <w:tc>
          <w:tcPr>
            <w:tcW w:type="dxa" w:w="2074"/>
          </w:tcPr>
          <w:p>
            <w:pPr>
              <w:keepNext w:val="0"/>
            </w:pPr>
            <w:r>
              <w:rPr>
                <w:sz w:val="18"/>
              </w:rPr>
              <w:t>10 / 237</w:t>
            </w:r>
          </w:p>
        </w:tc>
        <w:tc>
          <w:tcPr>
            <w:tcW w:type="dxa" w:w="2074"/>
          </w:tcPr>
          <w:p>
            <w:pPr>
              <w:keepNext w:val="0"/>
            </w:pPr>
            <w:r>
              <w:rPr>
                <w:sz w:val="18"/>
              </w:rPr>
              <w:t>18</w:t>
            </w:r>
          </w:p>
        </w:tc>
      </w:tr>
      <w:tr>
        <w:tc>
          <w:tcPr>
            <w:tcW w:type="dxa" w:w="2074"/>
          </w:tcPr>
          <w:p>
            <w:pPr>
              <w:keepNext w:val="0"/>
            </w:pPr>
            <w:r>
              <w:rPr>
                <w:sz w:val="18"/>
              </w:rPr>
              <w:t>10km</w:t>
            </w:r>
          </w:p>
        </w:tc>
        <w:tc>
          <w:tcPr>
            <w:tcW w:type="dxa" w:w="2074"/>
          </w:tcPr>
          <w:p>
            <w:pPr>
              <w:keepNext w:val="0"/>
            </w:pPr>
            <w:r>
              <w:rPr>
                <w:sz w:val="18"/>
              </w:rPr>
              <w:t>inside</w:t>
            </w:r>
          </w:p>
        </w:tc>
        <w:tc>
          <w:tcPr>
            <w:tcW w:type="dxa" w:w="2074"/>
          </w:tcPr>
          <w:p>
            <w:pPr>
              <w:keepNext w:val="0"/>
            </w:pPr>
            <w:r>
              <w:rPr>
                <w:sz w:val="18"/>
              </w:rPr>
              <w:t>254</w:t>
            </w:r>
          </w:p>
        </w:tc>
        <w:tc>
          <w:tcPr>
            <w:tcW w:type="dxa" w:w="2074"/>
          </w:tcPr>
          <w:p>
            <w:pPr>
              <w:keepNext w:val="0"/>
            </w:pPr>
            <w:r>
              <w:rPr>
                <w:sz w:val="18"/>
              </w:rPr>
              <w:t>10 / 236</w:t>
            </w:r>
          </w:p>
        </w:tc>
        <w:tc>
          <w:tcPr>
            <w:tcW w:type="dxa" w:w="2074"/>
          </w:tcPr>
          <w:p>
            <w:pPr>
              <w:keepNext w:val="0"/>
            </w:pPr>
            <w:r>
              <w:rPr>
                <w:sz w:val="18"/>
              </w:rPr>
              <w:t>18</w:t>
            </w:r>
          </w:p>
        </w:tc>
      </w:tr>
      <w:tr>
        <w:tc>
          <w:tcPr>
            <w:tcW w:type="dxa" w:w="2074"/>
          </w:tcPr>
          <w:p>
            <w:pPr>
              <w:keepNext w:val="0"/>
            </w:pPr>
            <w:r>
              <w:rPr>
                <w:sz w:val="18"/>
              </w:rPr>
              <w:t>10km</w:t>
            </w:r>
          </w:p>
        </w:tc>
        <w:tc>
          <w:tcPr>
            <w:tcW w:type="dxa" w:w="2074"/>
          </w:tcPr>
          <w:p>
            <w:pPr>
              <w:keepNext w:val="0"/>
            </w:pPr>
            <w:r>
              <w:rPr>
                <w:sz w:val="18"/>
              </w:rPr>
              <w:t>outside</w:t>
            </w:r>
          </w:p>
        </w:tc>
        <w:tc>
          <w:tcPr>
            <w:tcW w:type="dxa" w:w="2074"/>
          </w:tcPr>
          <w:p>
            <w:pPr>
              <w:keepNext w:val="0"/>
            </w:pPr>
            <w:r>
              <w:rPr>
                <w:sz w:val="18"/>
              </w:rPr>
              <w:t>264</w:t>
            </w:r>
          </w:p>
        </w:tc>
        <w:tc>
          <w:tcPr>
            <w:tcW w:type="dxa" w:w="2074"/>
          </w:tcPr>
          <w:p>
            <w:pPr>
              <w:keepNext w:val="0"/>
            </w:pPr>
            <w:r>
              <w:rPr>
                <w:sz w:val="18"/>
              </w:rPr>
              <w:t>13 / 227</w:t>
            </w:r>
          </w:p>
        </w:tc>
        <w:tc>
          <w:tcPr>
            <w:tcW w:type="dxa" w:w="2074"/>
          </w:tcPr>
          <w:p>
            <w:pPr>
              <w:keepNext w:val="0"/>
            </w:pPr>
            <w:r>
              <w:rPr>
                <w:sz w:val="18"/>
              </w:rPr>
              <w:t>37</w:t>
            </w:r>
          </w:p>
        </w:tc>
      </w:tr>
    </w:tbl>
    <w:p>
      <w:pPr>
        <w:pStyle w:val="Caption"/>
        <w:widowControl/>
      </w:pPr>
      <w:r>
        <w:t>Table S19B. Static gain among loss-threshold crossings through 2012. Neither gain measure establishes post-loss recovery.</w:t>
      </w:r>
    </w:p>
    <w:tbl>
      <w:tblPr>
        <w:tblW w:type="auto" w:w="0"/>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592"/>
        <w:gridCol w:w="2592"/>
        <w:gridCol w:w="2592"/>
        <w:gridCol w:w="2592"/>
      </w:tblGrid>
      <w:tr>
        <w:trPr>
          <w:tblHeader/>
        </w:trPr>
        <w:tc>
          <w:tcPr>
            <w:tcW w:type="dxa" w:w="2592"/>
          </w:tcPr>
          <w:p>
            <w:pPr>
              <w:keepNext w:val="0"/>
            </w:pPr>
            <w:r>
              <w:rPr>
                <w:sz w:val="18"/>
              </w:rPr>
              <w:t>Domain</w:t>
            </w:r>
          </w:p>
        </w:tc>
        <w:tc>
          <w:tcPr>
            <w:tcW w:type="dxa" w:w="2592"/>
          </w:tcPr>
          <w:p>
            <w:pPr>
              <w:keepNext w:val="0"/>
            </w:pPr>
            <w:r>
              <w:rPr>
                <w:sz w:val="18"/>
              </w:rPr>
              <w:t>Crossings</w:t>
            </w:r>
          </w:p>
        </w:tc>
        <w:tc>
          <w:tcPr>
            <w:tcW w:type="dxa" w:w="2592"/>
          </w:tcPr>
          <w:p>
            <w:pPr>
              <w:keepNext w:val="0"/>
            </w:pPr>
            <w:r>
              <w:rPr>
                <w:sz w:val="18"/>
              </w:rPr>
              <w:t>Any gain in cell</w:t>
            </w:r>
          </w:p>
        </w:tc>
        <w:tc>
          <w:tcPr>
            <w:tcW w:type="dxa" w:w="2592"/>
          </w:tcPr>
          <w:p>
            <w:pPr>
              <w:keepNext w:val="0"/>
            </w:pPr>
            <w:r>
              <w:rPr>
                <w:sz w:val="18"/>
              </w:rPr>
              <w:t>Native overlap</w:t>
            </w:r>
          </w:p>
        </w:tc>
      </w:tr>
      <w:tr>
        <w:tc>
          <w:tcPr>
            <w:tcW w:type="dxa" w:w="2592"/>
          </w:tcPr>
          <w:p>
            <w:pPr>
              <w:keepNext w:val="0"/>
            </w:pPr>
            <w:r>
              <w:rPr>
                <w:sz w:val="18"/>
              </w:rPr>
              <w:t>Full retained domain</w:t>
            </w:r>
          </w:p>
        </w:tc>
        <w:tc>
          <w:tcPr>
            <w:tcW w:type="dxa" w:w="2592"/>
          </w:tcPr>
          <w:p>
            <w:pPr>
              <w:keepNext w:val="0"/>
            </w:pPr>
            <w:r>
              <w:rPr>
                <w:sz w:val="18"/>
              </w:rPr>
              <w:t>2801</w:t>
            </w:r>
          </w:p>
        </w:tc>
        <w:tc>
          <w:tcPr>
            <w:tcW w:type="dxa" w:w="2592"/>
          </w:tcPr>
          <w:p>
            <w:pPr>
              <w:keepNext w:val="0"/>
            </w:pPr>
            <w:r>
              <w:rPr>
                <w:sz w:val="18"/>
              </w:rPr>
              <w:t>754</w:t>
            </w:r>
          </w:p>
        </w:tc>
        <w:tc>
          <w:tcPr>
            <w:tcW w:type="dxa" w:w="2592"/>
          </w:tcPr>
          <w:p>
            <w:pPr>
              <w:keepNext w:val="0"/>
            </w:pPr>
            <w:r>
              <w:rPr>
                <w:sz w:val="18"/>
              </w:rPr>
              <w:t>599</w:t>
            </w:r>
          </w:p>
        </w:tc>
      </w:tr>
      <w:tr>
        <w:tc>
          <w:tcPr>
            <w:tcW w:type="dxa" w:w="2592"/>
          </w:tcPr>
          <w:p>
            <w:pPr>
              <w:keepNext w:val="0"/>
            </w:pPr>
            <w:r>
              <w:rPr>
                <w:sz w:val="18"/>
              </w:rPr>
              <w:t>10 km corridor</w:t>
            </w:r>
          </w:p>
        </w:tc>
        <w:tc>
          <w:tcPr>
            <w:tcW w:type="dxa" w:w="2592"/>
          </w:tcPr>
          <w:p>
            <w:pPr>
              <w:keepNext w:val="0"/>
            </w:pPr>
            <w:r>
              <w:rPr>
                <w:sz w:val="18"/>
              </w:rPr>
              <w:t>364</w:t>
            </w:r>
          </w:p>
        </w:tc>
        <w:tc>
          <w:tcPr>
            <w:tcW w:type="dxa" w:w="2592"/>
          </w:tcPr>
          <w:p>
            <w:pPr>
              <w:keepNext w:val="0"/>
            </w:pPr>
            <w:r>
              <w:rPr>
                <w:sz w:val="18"/>
              </w:rPr>
              <w:t>58</w:t>
            </w:r>
          </w:p>
        </w:tc>
        <w:tc>
          <w:tcPr>
            <w:tcW w:type="dxa" w:w="2592"/>
          </w:tcPr>
          <w:p>
            <w:pPr>
              <w:keepNext w:val="0"/>
            </w:pPr>
            <w:r>
              <w:rPr>
                <w:sz w:val="18"/>
              </w:rPr>
              <w:t>46</w:t>
            </w:r>
          </w:p>
        </w:tc>
      </w:tr>
    </w:tbl>
    <w:p>
      <w:pPr>
        <w:pStyle w:val="Caption"/>
        <w:widowControl/>
      </w:pPr>
      <w:r>
        <w:t>Table S20. Response support by profile and side. Annual-presence numerators count agricultural cell-years; first-event numerators count events. Denominators are at-risk or observed cell-years. Group-by-year counts and all coefficients accompany the analysis.</w:t>
      </w:r>
    </w:p>
    <w:tbl>
      <w:tblPr>
        <w:tblW w:type="auto" w:w="0"/>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trPr>
        <w:tc>
          <w:tcPr>
            <w:tcW w:type="dxa" w:w="2074"/>
          </w:tcPr>
          <w:p>
            <w:pPr>
              <w:keepNext w:val="0"/>
            </w:pPr>
            <w:r>
              <w:rPr>
                <w:sz w:val="18"/>
              </w:rPr>
              <w:t>Response / period</w:t>
            </w:r>
          </w:p>
        </w:tc>
        <w:tc>
          <w:tcPr>
            <w:tcW w:type="dxa" w:w="2074"/>
          </w:tcPr>
          <w:p>
            <w:pPr>
              <w:keepNext w:val="0"/>
            </w:pPr>
            <w:r>
              <w:rPr>
                <w:sz w:val="18"/>
              </w:rPr>
              <w:t>Profile</w:t>
            </w:r>
          </w:p>
        </w:tc>
        <w:tc>
          <w:tcPr>
            <w:tcW w:type="dxa" w:w="2074"/>
          </w:tcPr>
          <w:p>
            <w:pPr>
              <w:keepNext w:val="0"/>
            </w:pPr>
            <w:r>
              <w:rPr>
                <w:sz w:val="18"/>
              </w:rPr>
              <w:t>Inside</w:t>
            </w:r>
          </w:p>
        </w:tc>
        <w:tc>
          <w:tcPr>
            <w:tcW w:type="dxa" w:w="2074"/>
          </w:tcPr>
          <w:p>
            <w:pPr>
              <w:keepNext w:val="0"/>
            </w:pPr>
            <w:r>
              <w:rPr>
                <w:sz w:val="18"/>
              </w:rPr>
              <w:t>Outside</w:t>
            </w:r>
          </w:p>
        </w:tc>
        <w:tc>
          <w:tcPr>
            <w:tcW w:type="dxa" w:w="2074"/>
          </w:tcPr>
          <w:p>
            <w:pPr>
              <w:keepNext w:val="0"/>
            </w:pPr>
            <w:r>
              <w:rPr>
                <w:sz w:val="18"/>
              </w:rPr>
              <w:t>Cell-years</w:t>
            </w:r>
          </w:p>
        </w:tc>
      </w:tr>
      <w:tr>
        <w:tc>
          <w:tcPr>
            <w:tcW w:type="dxa" w:w="2074"/>
          </w:tcPr>
          <w:p>
            <w:pPr>
              <w:keepNext w:val="0"/>
            </w:pPr>
            <w:r>
              <w:rPr>
                <w:sz w:val="18"/>
              </w:rPr>
              <w:t>First crossing, 2001–2022</w:t>
            </w:r>
          </w:p>
        </w:tc>
        <w:tc>
          <w:tcPr>
            <w:tcW w:type="dxa" w:w="2074"/>
          </w:tcPr>
          <w:p>
            <w:pPr>
              <w:keepNext w:val="0"/>
            </w:pPr>
            <w:r>
              <w:rPr>
                <w:sz w:val="18"/>
              </w:rPr>
              <w:t>Fragmented</w:t>
            </w:r>
          </w:p>
        </w:tc>
        <w:tc>
          <w:tcPr>
            <w:tcW w:type="dxa" w:w="2074"/>
          </w:tcPr>
          <w:p>
            <w:pPr>
              <w:keepNext w:val="0"/>
            </w:pPr>
            <w:r>
              <w:rPr>
                <w:sz w:val="18"/>
              </w:rPr>
              <w:t>70</w:t>
            </w:r>
          </w:p>
        </w:tc>
        <w:tc>
          <w:tcPr>
            <w:tcW w:type="dxa" w:w="2074"/>
          </w:tcPr>
          <w:p>
            <w:pPr>
              <w:keepNext w:val="0"/>
            </w:pPr>
            <w:r>
              <w:rPr>
                <w:sz w:val="18"/>
              </w:rPr>
              <w:t>52</w:t>
            </w:r>
          </w:p>
        </w:tc>
        <w:tc>
          <w:tcPr>
            <w:tcW w:type="dxa" w:w="2074"/>
          </w:tcPr>
          <w:p>
            <w:pPr>
              <w:keepNext w:val="0"/>
            </w:pPr>
            <w:r>
              <w:rPr>
                <w:sz w:val="18"/>
              </w:rPr>
              <w:t>332331</w:t>
            </w:r>
          </w:p>
        </w:tc>
      </w:tr>
      <w:tr>
        <w:tc>
          <w:tcPr>
            <w:tcW w:type="dxa" w:w="2074"/>
          </w:tcPr>
          <w:p>
            <w:pPr>
              <w:keepNext w:val="0"/>
            </w:pPr>
            <w:r>
              <w:rPr>
                <w:sz w:val="18"/>
              </w:rPr>
              <w:t>First crossing, 2001–2022</w:t>
            </w:r>
          </w:p>
        </w:tc>
        <w:tc>
          <w:tcPr>
            <w:tcW w:type="dxa" w:w="2074"/>
          </w:tcPr>
          <w:p>
            <w:pPr>
              <w:keepNext w:val="0"/>
            </w:pPr>
            <w:r>
              <w:rPr>
                <w:sz w:val="18"/>
              </w:rPr>
              <w:t>Militia-centred</w:t>
            </w:r>
          </w:p>
        </w:tc>
        <w:tc>
          <w:tcPr>
            <w:tcW w:type="dxa" w:w="2074"/>
          </w:tcPr>
          <w:p>
            <w:pPr>
              <w:keepNext w:val="0"/>
            </w:pPr>
            <w:r>
              <w:rPr>
                <w:sz w:val="18"/>
              </w:rPr>
              <w:t>110</w:t>
            </w:r>
          </w:p>
        </w:tc>
        <w:tc>
          <w:tcPr>
            <w:tcW w:type="dxa" w:w="2074"/>
          </w:tcPr>
          <w:p>
            <w:pPr>
              <w:keepNext w:val="0"/>
            </w:pPr>
            <w:r>
              <w:rPr>
                <w:sz w:val="18"/>
              </w:rPr>
              <w:t>98</w:t>
            </w:r>
          </w:p>
        </w:tc>
        <w:tc>
          <w:tcPr>
            <w:tcW w:type="dxa" w:w="2074"/>
          </w:tcPr>
          <w:p>
            <w:pPr>
              <w:keepNext w:val="0"/>
            </w:pPr>
            <w:r>
              <w:rPr>
                <w:sz w:val="18"/>
              </w:rPr>
              <w:t>271770</w:t>
            </w:r>
          </w:p>
        </w:tc>
      </w:tr>
      <w:tr>
        <w:tc>
          <w:tcPr>
            <w:tcW w:type="dxa" w:w="2074"/>
          </w:tcPr>
          <w:p>
            <w:pPr>
              <w:keepNext w:val="0"/>
            </w:pPr>
            <w:r>
              <w:rPr>
                <w:sz w:val="18"/>
              </w:rPr>
              <w:t>First crossing, 2001–2022</w:t>
            </w:r>
          </w:p>
        </w:tc>
        <w:tc>
          <w:tcPr>
            <w:tcW w:type="dxa" w:w="2074"/>
          </w:tcPr>
          <w:p>
            <w:pPr>
              <w:keepNext w:val="0"/>
            </w:pPr>
            <w:r>
              <w:rPr>
                <w:sz w:val="18"/>
              </w:rPr>
              <w:t>Park-centred</w:t>
            </w:r>
          </w:p>
        </w:tc>
        <w:tc>
          <w:tcPr>
            <w:tcW w:type="dxa" w:w="2074"/>
          </w:tcPr>
          <w:p>
            <w:pPr>
              <w:keepNext w:val="0"/>
            </w:pPr>
            <w:r>
              <w:rPr>
                <w:sz w:val="18"/>
              </w:rPr>
              <w:t>74</w:t>
            </w:r>
          </w:p>
        </w:tc>
        <w:tc>
          <w:tcPr>
            <w:tcW w:type="dxa" w:w="2074"/>
          </w:tcPr>
          <w:p>
            <w:pPr>
              <w:keepNext w:val="0"/>
            </w:pPr>
            <w:r>
              <w:rPr>
                <w:sz w:val="18"/>
              </w:rPr>
              <w:t>114</w:t>
            </w:r>
          </w:p>
        </w:tc>
        <w:tc>
          <w:tcPr>
            <w:tcW w:type="dxa" w:w="2074"/>
          </w:tcPr>
          <w:p>
            <w:pPr>
              <w:keepNext w:val="0"/>
            </w:pPr>
            <w:r>
              <w:rPr>
                <w:sz w:val="18"/>
              </w:rPr>
              <w:t>327556</w:t>
            </w:r>
          </w:p>
        </w:tc>
      </w:tr>
      <w:tr>
        <w:tc>
          <w:tcPr>
            <w:tcW w:type="dxa" w:w="2074"/>
          </w:tcPr>
          <w:p>
            <w:pPr>
              <w:keepNext w:val="0"/>
            </w:pPr>
            <w:r>
              <w:rPr>
                <w:sz w:val="18"/>
              </w:rPr>
              <w:t>First crossing, 2001–2019</w:t>
            </w:r>
          </w:p>
        </w:tc>
        <w:tc>
          <w:tcPr>
            <w:tcW w:type="dxa" w:w="2074"/>
          </w:tcPr>
          <w:p>
            <w:pPr>
              <w:keepNext w:val="0"/>
            </w:pPr>
            <w:r>
              <w:rPr>
                <w:sz w:val="18"/>
              </w:rPr>
              <w:t>Fragmented</w:t>
            </w:r>
          </w:p>
        </w:tc>
        <w:tc>
          <w:tcPr>
            <w:tcW w:type="dxa" w:w="2074"/>
          </w:tcPr>
          <w:p>
            <w:pPr>
              <w:keepNext w:val="0"/>
            </w:pPr>
            <w:r>
              <w:rPr>
                <w:sz w:val="18"/>
              </w:rPr>
              <w:t>70</w:t>
            </w:r>
          </w:p>
        </w:tc>
        <w:tc>
          <w:tcPr>
            <w:tcW w:type="dxa" w:w="2074"/>
          </w:tcPr>
          <w:p>
            <w:pPr>
              <w:keepNext w:val="0"/>
            </w:pPr>
            <w:r>
              <w:rPr>
                <w:sz w:val="18"/>
              </w:rPr>
              <w:t>52</w:t>
            </w:r>
          </w:p>
        </w:tc>
        <w:tc>
          <w:tcPr>
            <w:tcW w:type="dxa" w:w="2074"/>
          </w:tcPr>
          <w:p>
            <w:pPr>
              <w:keepNext w:val="0"/>
            </w:pPr>
            <w:r>
              <w:rPr>
                <w:sz w:val="18"/>
              </w:rPr>
              <w:t>332331</w:t>
            </w:r>
          </w:p>
        </w:tc>
      </w:tr>
      <w:tr>
        <w:tc>
          <w:tcPr>
            <w:tcW w:type="dxa" w:w="2074"/>
          </w:tcPr>
          <w:p>
            <w:pPr>
              <w:keepNext w:val="0"/>
            </w:pPr>
            <w:r>
              <w:rPr>
                <w:sz w:val="18"/>
              </w:rPr>
              <w:t>First crossing, 2001–2019</w:t>
            </w:r>
          </w:p>
        </w:tc>
        <w:tc>
          <w:tcPr>
            <w:tcW w:type="dxa" w:w="2074"/>
          </w:tcPr>
          <w:p>
            <w:pPr>
              <w:keepNext w:val="0"/>
            </w:pPr>
            <w:r>
              <w:rPr>
                <w:sz w:val="18"/>
              </w:rPr>
              <w:t>Militia-centred</w:t>
            </w:r>
          </w:p>
        </w:tc>
        <w:tc>
          <w:tcPr>
            <w:tcW w:type="dxa" w:w="2074"/>
          </w:tcPr>
          <w:p>
            <w:pPr>
              <w:keepNext w:val="0"/>
            </w:pPr>
            <w:r>
              <w:rPr>
                <w:sz w:val="18"/>
              </w:rPr>
              <w:t>110</w:t>
            </w:r>
          </w:p>
        </w:tc>
        <w:tc>
          <w:tcPr>
            <w:tcW w:type="dxa" w:w="2074"/>
          </w:tcPr>
          <w:p>
            <w:pPr>
              <w:keepNext w:val="0"/>
            </w:pPr>
            <w:r>
              <w:rPr>
                <w:sz w:val="18"/>
              </w:rPr>
              <w:t>98</w:t>
            </w:r>
          </w:p>
        </w:tc>
        <w:tc>
          <w:tcPr>
            <w:tcW w:type="dxa" w:w="2074"/>
          </w:tcPr>
          <w:p>
            <w:pPr>
              <w:keepNext w:val="0"/>
            </w:pPr>
            <w:r>
              <w:rPr>
                <w:sz w:val="18"/>
              </w:rPr>
              <w:t>271770</w:t>
            </w:r>
          </w:p>
        </w:tc>
      </w:tr>
      <w:tr>
        <w:tc>
          <w:tcPr>
            <w:tcW w:type="dxa" w:w="2074"/>
          </w:tcPr>
          <w:p>
            <w:pPr>
              <w:keepNext w:val="0"/>
            </w:pPr>
            <w:r>
              <w:rPr>
                <w:sz w:val="18"/>
              </w:rPr>
              <w:t>First crossing, 2001–2019</w:t>
            </w:r>
          </w:p>
        </w:tc>
        <w:tc>
          <w:tcPr>
            <w:tcW w:type="dxa" w:w="2074"/>
          </w:tcPr>
          <w:p>
            <w:pPr>
              <w:keepNext w:val="0"/>
            </w:pPr>
            <w:r>
              <w:rPr>
                <w:sz w:val="18"/>
              </w:rPr>
              <w:t>Park-centred</w:t>
            </w:r>
          </w:p>
        </w:tc>
        <w:tc>
          <w:tcPr>
            <w:tcW w:type="dxa" w:w="2074"/>
          </w:tcPr>
          <w:p>
            <w:pPr>
              <w:keepNext w:val="0"/>
            </w:pPr>
            <w:r>
              <w:rPr>
                <w:sz w:val="18"/>
              </w:rPr>
              <w:t>49</w:t>
            </w:r>
          </w:p>
        </w:tc>
        <w:tc>
          <w:tcPr>
            <w:tcW w:type="dxa" w:w="2074"/>
          </w:tcPr>
          <w:p>
            <w:pPr>
              <w:keepNext w:val="0"/>
            </w:pPr>
            <w:r>
              <w:rPr>
                <w:sz w:val="18"/>
              </w:rPr>
              <w:t>63</w:t>
            </w:r>
          </w:p>
        </w:tc>
        <w:tc>
          <w:tcPr>
            <w:tcW w:type="dxa" w:w="2074"/>
          </w:tcPr>
          <w:p>
            <w:pPr>
              <w:keepNext w:val="0"/>
            </w:pPr>
            <w:r>
              <w:rPr>
                <w:sz w:val="18"/>
              </w:rPr>
              <w:t>201290</w:t>
            </w:r>
          </w:p>
        </w:tc>
      </w:tr>
      <w:tr>
        <w:tc>
          <w:tcPr>
            <w:tcW w:type="dxa" w:w="2074"/>
          </w:tcPr>
          <w:p>
            <w:pPr>
              <w:keepNext w:val="0"/>
            </w:pPr>
            <w:r>
              <w:rPr>
                <w:sz w:val="18"/>
              </w:rPr>
              <w:t>Persistent establishment, 2001–2019</w:t>
            </w:r>
          </w:p>
        </w:tc>
        <w:tc>
          <w:tcPr>
            <w:tcW w:type="dxa" w:w="2074"/>
          </w:tcPr>
          <w:p>
            <w:pPr>
              <w:keepNext w:val="0"/>
            </w:pPr>
            <w:r>
              <w:rPr>
                <w:sz w:val="18"/>
              </w:rPr>
              <w:t>Fragmented</w:t>
            </w:r>
          </w:p>
        </w:tc>
        <w:tc>
          <w:tcPr>
            <w:tcW w:type="dxa" w:w="2074"/>
          </w:tcPr>
          <w:p>
            <w:pPr>
              <w:keepNext w:val="0"/>
            </w:pPr>
            <w:r>
              <w:rPr>
                <w:sz w:val="18"/>
              </w:rPr>
              <w:t>73</w:t>
            </w:r>
          </w:p>
        </w:tc>
        <w:tc>
          <w:tcPr>
            <w:tcW w:type="dxa" w:w="2074"/>
          </w:tcPr>
          <w:p>
            <w:pPr>
              <w:keepNext w:val="0"/>
            </w:pPr>
            <w:r>
              <w:rPr>
                <w:sz w:val="18"/>
              </w:rPr>
              <w:t>51</w:t>
            </w:r>
          </w:p>
        </w:tc>
        <w:tc>
          <w:tcPr>
            <w:tcW w:type="dxa" w:w="2074"/>
          </w:tcPr>
          <w:p>
            <w:pPr>
              <w:keepNext w:val="0"/>
            </w:pPr>
            <w:r>
              <w:rPr>
                <w:sz w:val="18"/>
              </w:rPr>
              <w:t>332397</w:t>
            </w:r>
          </w:p>
        </w:tc>
      </w:tr>
      <w:tr>
        <w:tc>
          <w:tcPr>
            <w:tcW w:type="dxa" w:w="2074"/>
          </w:tcPr>
          <w:p>
            <w:pPr>
              <w:keepNext w:val="0"/>
            </w:pPr>
            <w:r>
              <w:rPr>
                <w:sz w:val="18"/>
              </w:rPr>
              <w:t>Persistent establishment, 2001–2019</w:t>
            </w:r>
          </w:p>
        </w:tc>
        <w:tc>
          <w:tcPr>
            <w:tcW w:type="dxa" w:w="2074"/>
          </w:tcPr>
          <w:p>
            <w:pPr>
              <w:keepNext w:val="0"/>
            </w:pPr>
            <w:r>
              <w:rPr>
                <w:sz w:val="18"/>
              </w:rPr>
              <w:t>Militia-centred</w:t>
            </w:r>
          </w:p>
        </w:tc>
        <w:tc>
          <w:tcPr>
            <w:tcW w:type="dxa" w:w="2074"/>
          </w:tcPr>
          <w:p>
            <w:pPr>
              <w:keepNext w:val="0"/>
            </w:pPr>
            <w:r>
              <w:rPr>
                <w:sz w:val="18"/>
              </w:rPr>
              <w:t>101</w:t>
            </w:r>
          </w:p>
        </w:tc>
        <w:tc>
          <w:tcPr>
            <w:tcW w:type="dxa" w:w="2074"/>
          </w:tcPr>
          <w:p>
            <w:pPr>
              <w:keepNext w:val="0"/>
            </w:pPr>
            <w:r>
              <w:rPr>
                <w:sz w:val="18"/>
              </w:rPr>
              <w:t>91</w:t>
            </w:r>
          </w:p>
        </w:tc>
        <w:tc>
          <w:tcPr>
            <w:tcW w:type="dxa" w:w="2074"/>
          </w:tcPr>
          <w:p>
            <w:pPr>
              <w:keepNext w:val="0"/>
            </w:pPr>
            <w:r>
              <w:rPr>
                <w:sz w:val="18"/>
              </w:rPr>
              <w:t>271846</w:t>
            </w:r>
          </w:p>
        </w:tc>
      </w:tr>
      <w:tr>
        <w:tc>
          <w:tcPr>
            <w:tcW w:type="dxa" w:w="2074"/>
          </w:tcPr>
          <w:p>
            <w:pPr>
              <w:keepNext w:val="0"/>
            </w:pPr>
            <w:r>
              <w:rPr>
                <w:sz w:val="18"/>
              </w:rPr>
              <w:t>Persistent establishment, 2001–2019</w:t>
            </w:r>
          </w:p>
        </w:tc>
        <w:tc>
          <w:tcPr>
            <w:tcW w:type="dxa" w:w="2074"/>
          </w:tcPr>
          <w:p>
            <w:pPr>
              <w:keepNext w:val="0"/>
            </w:pPr>
            <w:r>
              <w:rPr>
                <w:sz w:val="18"/>
              </w:rPr>
              <w:t>Park-centred</w:t>
            </w:r>
          </w:p>
        </w:tc>
        <w:tc>
          <w:tcPr>
            <w:tcW w:type="dxa" w:w="2074"/>
          </w:tcPr>
          <w:p>
            <w:pPr>
              <w:keepNext w:val="0"/>
            </w:pPr>
            <w:r>
              <w:rPr>
                <w:sz w:val="18"/>
              </w:rPr>
              <w:t>43</w:t>
            </w:r>
          </w:p>
        </w:tc>
        <w:tc>
          <w:tcPr>
            <w:tcW w:type="dxa" w:w="2074"/>
          </w:tcPr>
          <w:p>
            <w:pPr>
              <w:keepNext w:val="0"/>
            </w:pPr>
            <w:r>
              <w:rPr>
                <w:sz w:val="18"/>
              </w:rPr>
              <w:t>55</w:t>
            </w:r>
          </w:p>
        </w:tc>
        <w:tc>
          <w:tcPr>
            <w:tcW w:type="dxa" w:w="2074"/>
          </w:tcPr>
          <w:p>
            <w:pPr>
              <w:keepNext w:val="0"/>
            </w:pPr>
            <w:r>
              <w:rPr>
                <w:sz w:val="18"/>
              </w:rPr>
              <w:t>201349</w:t>
            </w:r>
          </w:p>
        </w:tc>
      </w:tr>
      <w:tr>
        <w:tc>
          <w:tcPr>
            <w:tcW w:type="dxa" w:w="2074"/>
          </w:tcPr>
          <w:p>
            <w:pPr>
              <w:keepNext w:val="0"/>
            </w:pPr>
            <w:r>
              <w:rPr>
                <w:sz w:val="18"/>
              </w:rPr>
              <w:t>Annual presence, 2001–2022</w:t>
            </w:r>
          </w:p>
        </w:tc>
        <w:tc>
          <w:tcPr>
            <w:tcW w:type="dxa" w:w="2074"/>
          </w:tcPr>
          <w:p>
            <w:pPr>
              <w:keepNext w:val="0"/>
            </w:pPr>
            <w:r>
              <w:rPr>
                <w:sz w:val="18"/>
              </w:rPr>
              <w:t>Fragmented</w:t>
            </w:r>
          </w:p>
        </w:tc>
        <w:tc>
          <w:tcPr>
            <w:tcW w:type="dxa" w:w="2074"/>
          </w:tcPr>
          <w:p>
            <w:pPr>
              <w:keepNext w:val="0"/>
            </w:pPr>
            <w:r>
              <w:rPr>
                <w:sz w:val="18"/>
              </w:rPr>
              <w:t>1314</w:t>
            </w:r>
          </w:p>
        </w:tc>
        <w:tc>
          <w:tcPr>
            <w:tcW w:type="dxa" w:w="2074"/>
          </w:tcPr>
          <w:p>
            <w:pPr>
              <w:keepNext w:val="0"/>
            </w:pPr>
            <w:r>
              <w:rPr>
                <w:sz w:val="18"/>
              </w:rPr>
              <w:t>2678</w:t>
            </w:r>
          </w:p>
        </w:tc>
        <w:tc>
          <w:tcPr>
            <w:tcW w:type="dxa" w:w="2074"/>
          </w:tcPr>
          <w:p>
            <w:pPr>
              <w:keepNext w:val="0"/>
            </w:pPr>
            <w:r>
              <w:rPr>
                <w:sz w:val="18"/>
              </w:rPr>
              <w:t>333140</w:t>
            </w:r>
          </w:p>
        </w:tc>
      </w:tr>
      <w:tr>
        <w:tc>
          <w:tcPr>
            <w:tcW w:type="dxa" w:w="2074"/>
          </w:tcPr>
          <w:p>
            <w:pPr>
              <w:keepNext w:val="0"/>
            </w:pPr>
            <w:r>
              <w:rPr>
                <w:sz w:val="18"/>
              </w:rPr>
              <w:t>Annual presence, 2001–2022</w:t>
            </w:r>
          </w:p>
        </w:tc>
        <w:tc>
          <w:tcPr>
            <w:tcW w:type="dxa" w:w="2074"/>
          </w:tcPr>
          <w:p>
            <w:pPr>
              <w:keepNext w:val="0"/>
            </w:pPr>
            <w:r>
              <w:rPr>
                <w:sz w:val="18"/>
              </w:rPr>
              <w:t>Militia-centred</w:t>
            </w:r>
          </w:p>
        </w:tc>
        <w:tc>
          <w:tcPr>
            <w:tcW w:type="dxa" w:w="2074"/>
          </w:tcPr>
          <w:p>
            <w:pPr>
              <w:keepNext w:val="0"/>
            </w:pPr>
            <w:r>
              <w:rPr>
                <w:sz w:val="18"/>
              </w:rPr>
              <w:t>1375</w:t>
            </w:r>
          </w:p>
        </w:tc>
        <w:tc>
          <w:tcPr>
            <w:tcW w:type="dxa" w:w="2074"/>
          </w:tcPr>
          <w:p>
            <w:pPr>
              <w:keepNext w:val="0"/>
            </w:pPr>
            <w:r>
              <w:rPr>
                <w:sz w:val="18"/>
              </w:rPr>
              <w:t>2321</w:t>
            </w:r>
          </w:p>
        </w:tc>
        <w:tc>
          <w:tcPr>
            <w:tcW w:type="dxa" w:w="2074"/>
          </w:tcPr>
          <w:p>
            <w:pPr>
              <w:keepNext w:val="0"/>
            </w:pPr>
            <w:r>
              <w:rPr>
                <w:sz w:val="18"/>
              </w:rPr>
              <w:t>272955</w:t>
            </w:r>
          </w:p>
        </w:tc>
      </w:tr>
      <w:tr>
        <w:tc>
          <w:tcPr>
            <w:tcW w:type="dxa" w:w="2074"/>
          </w:tcPr>
          <w:p>
            <w:pPr>
              <w:keepNext w:val="0"/>
            </w:pPr>
            <w:r>
              <w:rPr>
                <w:sz w:val="18"/>
              </w:rPr>
              <w:t>Annual presence, 2001–2022</w:t>
            </w:r>
          </w:p>
        </w:tc>
        <w:tc>
          <w:tcPr>
            <w:tcW w:type="dxa" w:w="2074"/>
          </w:tcPr>
          <w:p>
            <w:pPr>
              <w:keepNext w:val="0"/>
            </w:pPr>
            <w:r>
              <w:rPr>
                <w:sz w:val="18"/>
              </w:rPr>
              <w:t>Park-centred</w:t>
            </w:r>
          </w:p>
        </w:tc>
        <w:tc>
          <w:tcPr>
            <w:tcW w:type="dxa" w:w="2074"/>
          </w:tcPr>
          <w:p>
            <w:pPr>
              <w:keepNext w:val="0"/>
            </w:pPr>
            <w:r>
              <w:rPr>
                <w:sz w:val="18"/>
              </w:rPr>
              <w:t>1793</w:t>
            </w:r>
          </w:p>
        </w:tc>
        <w:tc>
          <w:tcPr>
            <w:tcW w:type="dxa" w:w="2074"/>
          </w:tcPr>
          <w:p>
            <w:pPr>
              <w:keepNext w:val="0"/>
            </w:pPr>
            <w:r>
              <w:rPr>
                <w:sz w:val="18"/>
              </w:rPr>
              <w:t>2550</w:t>
            </w:r>
          </w:p>
        </w:tc>
        <w:tc>
          <w:tcPr>
            <w:tcW w:type="dxa" w:w="2074"/>
          </w:tcPr>
          <w:p>
            <w:pPr>
              <w:keepNext w:val="0"/>
            </w:pPr>
            <w:r>
              <w:rPr>
                <w:sz w:val="18"/>
              </w:rPr>
              <w:t>330093</w:t>
            </w:r>
          </w:p>
        </w:tc>
      </w:tr>
    </w:tbl>
    <w:p>
      <w:pPr>
        <w:pStyle w:val="Caption"/>
        <w:widowControl/>
      </w:pPr>
      <w:r>
        <w:t>Table S21. Matched primary-corridor temporal-alignment checks. Intervals retain conditional model covariance. Lags change eligible years; transition exclusions remove specified years. These are not causal-delay estimates. Detailed support and diagnostics accompany the CSV outputs.</w:t>
      </w:r>
    </w:p>
    <w:tbl>
      <w:tblPr>
        <w:tblW w:type="auto" w:w="0"/>
        <w:tblLook w:firstColumn="1" w:firstRow="1" w:lastColumn="0" w:lastRow="0" w:noHBand="0" w:noVBand="1" w:val="04A0"/>
        <w:tblBorders>
          <w:top w:val="single" w:sz="4" w:color="AAAAAA"/>
          <w:bottom w:val="single" w:sz="4" w:color="AAAAAA"/>
          <w:left w:val="nil" w:sz="4" w:color="AAAAAA"/>
          <w:right w:val="nil" w:sz="4" w:color="AAAAAA"/>
          <w:insideH w:val="single" w:sz="4" w:color="AAAAAA"/>
          <w:insideV w:val="nil" w:sz="4" w:color="AAAAAA"/>
        </w:tblBorders>
      </w:tblPr>
      <w:tblGrid>
        <w:gridCol w:w="2074"/>
        <w:gridCol w:w="2074"/>
        <w:gridCol w:w="2074"/>
        <w:gridCol w:w="2074"/>
        <w:gridCol w:w="2074"/>
      </w:tblGrid>
      <w:tr>
        <w:trPr>
          <w:tblHeader/>
        </w:trPr>
        <w:tc>
          <w:tcPr>
            <w:tcW w:type="dxa" w:w="2074"/>
          </w:tcPr>
          <w:p>
            <w:pPr>
              <w:keepNext w:val="0"/>
            </w:pPr>
            <w:r>
              <w:rPr>
                <w:sz w:val="18"/>
              </w:rPr>
              <w:t>Outcome</w:t>
            </w:r>
          </w:p>
        </w:tc>
        <w:tc>
          <w:tcPr>
            <w:tcW w:type="dxa" w:w="2074"/>
          </w:tcPr>
          <w:p>
            <w:pPr>
              <w:keepNext w:val="0"/>
            </w:pPr>
            <w:r>
              <w:rPr>
                <w:sz w:val="18"/>
              </w:rPr>
              <w:t>Alignment</w:t>
            </w:r>
          </w:p>
        </w:tc>
        <w:tc>
          <w:tcPr>
            <w:tcW w:type="dxa" w:w="2074"/>
          </w:tcPr>
          <w:p>
            <w:pPr>
              <w:keepNext w:val="0"/>
            </w:pPr>
            <w:r>
              <w:rPr>
                <w:sz w:val="18"/>
              </w:rPr>
              <w:t>Profile</w:t>
            </w:r>
          </w:p>
        </w:tc>
        <w:tc>
          <w:tcPr>
            <w:tcW w:type="dxa" w:w="2074"/>
          </w:tcPr>
          <w:p>
            <w:pPr>
              <w:keepNext w:val="0"/>
            </w:pPr>
            <w:r>
              <w:rPr>
                <w:sz w:val="18"/>
              </w:rPr>
              <w:t>Estimate [95% CI]</w:t>
            </w:r>
          </w:p>
        </w:tc>
        <w:tc>
          <w:tcPr>
            <w:tcW w:type="dxa" w:w="2074"/>
          </w:tcPr>
          <w:p>
            <w:pPr>
              <w:keepNext w:val="0"/>
            </w:pPr>
            <w:r>
              <w:rPr>
                <w:sz w:val="18"/>
              </w:rPr>
              <w:t>Events</w:t>
            </w:r>
          </w:p>
        </w:tc>
      </w:tr>
      <w:tr>
        <w:tc>
          <w:tcPr>
            <w:tcW w:type="dxa" w:w="2074"/>
          </w:tcPr>
          <w:p>
            <w:pPr>
              <w:keepNext w:val="0"/>
            </w:pPr>
            <w:r>
              <w:rPr>
                <w:sz w:val="18"/>
              </w:rPr>
              <w:t>fire</w:t>
            </w:r>
          </w:p>
        </w:tc>
        <w:tc>
          <w:tcPr>
            <w:tcW w:type="dxa" w:w="2074"/>
          </w:tcPr>
          <w:p>
            <w:pPr>
              <w:keepNext w:val="0"/>
            </w:pPr>
            <w:r>
              <w:rPr>
                <w:sz w:val="18"/>
              </w:rPr>
              <w:t>lag0</w:t>
            </w:r>
          </w:p>
        </w:tc>
        <w:tc>
          <w:tcPr>
            <w:tcW w:type="dxa" w:w="2074"/>
          </w:tcPr>
          <w:p>
            <w:pPr>
              <w:keepNext w:val="0"/>
            </w:pPr>
            <w:r>
              <w:rPr>
                <w:sz w:val="18"/>
              </w:rPr>
              <w:t>Fragmented</w:t>
            </w:r>
          </w:p>
        </w:tc>
        <w:tc>
          <w:tcPr>
            <w:tcW w:type="dxa" w:w="2074"/>
          </w:tcPr>
          <w:p>
            <w:pPr>
              <w:keepNext w:val="0"/>
            </w:pPr>
            <w:r>
              <w:rPr>
                <w:sz w:val="18"/>
              </w:rPr>
              <w:t>0.170 [0.112, 0.229]</w:t>
            </w:r>
          </w:p>
        </w:tc>
        <w:tc>
          <w:tcPr>
            <w:tcW w:type="dxa" w:w="2074"/>
          </w:tcPr>
          <w:p>
            <w:pPr>
              <w:keepNext w:val="0"/>
            </w:pPr>
            <w:r>
              <w:rPr>
                <w:sz w:val="18"/>
              </w:rPr>
              <w:t>508320</w:t>
            </w:r>
          </w:p>
        </w:tc>
      </w:tr>
      <w:tr>
        <w:tc>
          <w:tcPr>
            <w:tcW w:type="dxa" w:w="2074"/>
          </w:tcPr>
          <w:p>
            <w:pPr>
              <w:keepNext w:val="0"/>
            </w:pPr>
            <w:r>
              <w:rPr>
                <w:sz w:val="18"/>
              </w:rPr>
              <w:t>fire</w:t>
            </w:r>
          </w:p>
        </w:tc>
        <w:tc>
          <w:tcPr>
            <w:tcW w:type="dxa" w:w="2074"/>
          </w:tcPr>
          <w:p>
            <w:pPr>
              <w:keepNext w:val="0"/>
            </w:pPr>
            <w:r>
              <w:rPr>
                <w:sz w:val="18"/>
              </w:rPr>
              <w:t>lag0</w:t>
            </w:r>
          </w:p>
        </w:tc>
        <w:tc>
          <w:tcPr>
            <w:tcW w:type="dxa" w:w="2074"/>
          </w:tcPr>
          <w:p>
            <w:pPr>
              <w:keepNext w:val="0"/>
            </w:pPr>
            <w:r>
              <w:rPr>
                <w:sz w:val="18"/>
              </w:rPr>
              <w:t>Militia-centred</w:t>
            </w:r>
          </w:p>
        </w:tc>
        <w:tc>
          <w:tcPr>
            <w:tcW w:type="dxa" w:w="2074"/>
          </w:tcPr>
          <w:p>
            <w:pPr>
              <w:keepNext w:val="0"/>
            </w:pPr>
            <w:r>
              <w:rPr>
                <w:sz w:val="18"/>
              </w:rPr>
              <w:t>0.011 [-0.054, 0.075]</w:t>
            </w:r>
          </w:p>
        </w:tc>
        <w:tc>
          <w:tcPr>
            <w:tcW w:type="dxa" w:w="2074"/>
          </w:tcPr>
          <w:p>
            <w:pPr>
              <w:keepNext w:val="0"/>
            </w:pPr>
            <w:r>
              <w:rPr>
                <w:sz w:val="18"/>
              </w:rPr>
              <w:t>508320</w:t>
            </w:r>
          </w:p>
        </w:tc>
      </w:tr>
      <w:tr>
        <w:tc>
          <w:tcPr>
            <w:tcW w:type="dxa" w:w="2074"/>
          </w:tcPr>
          <w:p>
            <w:pPr>
              <w:keepNext w:val="0"/>
            </w:pPr>
            <w:r>
              <w:rPr>
                <w:sz w:val="18"/>
              </w:rPr>
              <w:t>fire</w:t>
            </w:r>
          </w:p>
        </w:tc>
        <w:tc>
          <w:tcPr>
            <w:tcW w:type="dxa" w:w="2074"/>
          </w:tcPr>
          <w:p>
            <w:pPr>
              <w:keepNext w:val="0"/>
            </w:pPr>
            <w:r>
              <w:rPr>
                <w:sz w:val="18"/>
              </w:rPr>
              <w:t>lag0</w:t>
            </w:r>
          </w:p>
        </w:tc>
        <w:tc>
          <w:tcPr>
            <w:tcW w:type="dxa" w:w="2074"/>
          </w:tcPr>
          <w:p>
            <w:pPr>
              <w:keepNext w:val="0"/>
            </w:pPr>
            <w:r>
              <w:rPr>
                <w:sz w:val="18"/>
              </w:rPr>
              <w:t>Park-centred</w:t>
            </w:r>
          </w:p>
        </w:tc>
        <w:tc>
          <w:tcPr>
            <w:tcW w:type="dxa" w:w="2074"/>
          </w:tcPr>
          <w:p>
            <w:pPr>
              <w:keepNext w:val="0"/>
            </w:pPr>
            <w:r>
              <w:rPr>
                <w:sz w:val="18"/>
              </w:rPr>
              <w:t>0.068 [0.008, 0.128]</w:t>
            </w:r>
          </w:p>
        </w:tc>
        <w:tc>
          <w:tcPr>
            <w:tcW w:type="dxa" w:w="2074"/>
          </w:tcPr>
          <w:p>
            <w:pPr>
              <w:keepNext w:val="0"/>
            </w:pPr>
            <w:r>
              <w:rPr>
                <w:sz w:val="18"/>
              </w:rPr>
              <w:t>508320</w:t>
            </w:r>
          </w:p>
        </w:tc>
      </w:tr>
      <w:tr>
        <w:tc>
          <w:tcPr>
            <w:tcW w:type="dxa" w:w="2074"/>
          </w:tcPr>
          <w:p>
            <w:pPr>
              <w:keepNext w:val="0"/>
            </w:pPr>
            <w:r>
              <w:rPr>
                <w:sz w:val="18"/>
              </w:rPr>
              <w:t>tree cover loss</w:t>
            </w:r>
          </w:p>
        </w:tc>
        <w:tc>
          <w:tcPr>
            <w:tcW w:type="dxa" w:w="2074"/>
          </w:tcPr>
          <w:p>
            <w:pPr>
              <w:keepNext w:val="0"/>
            </w:pPr>
            <w:r>
              <w:rPr>
                <w:sz w:val="18"/>
              </w:rPr>
              <w:t>lag0</w:t>
            </w:r>
          </w:p>
        </w:tc>
        <w:tc>
          <w:tcPr>
            <w:tcW w:type="dxa" w:w="2074"/>
          </w:tcPr>
          <w:p>
            <w:pPr>
              <w:keepNext w:val="0"/>
            </w:pPr>
            <w:r>
              <w:rPr>
                <w:sz w:val="18"/>
              </w:rPr>
              <w:t>Fragmented</w:t>
            </w:r>
          </w:p>
        </w:tc>
        <w:tc>
          <w:tcPr>
            <w:tcW w:type="dxa" w:w="2074"/>
          </w:tcPr>
          <w:p>
            <w:pPr>
              <w:keepNext w:val="0"/>
            </w:pPr>
            <w:r>
              <w:rPr>
                <w:sz w:val="18"/>
              </w:rPr>
              <w:t>-0.846 [-1.293, -0.399]</w:t>
            </w:r>
          </w:p>
        </w:tc>
        <w:tc>
          <w:tcPr>
            <w:tcW w:type="dxa" w:w="2074"/>
          </w:tcPr>
          <w:p>
            <w:pPr>
              <w:keepNext w:val="0"/>
            </w:pPr>
            <w:r>
              <w:rPr>
                <w:sz w:val="18"/>
              </w:rPr>
              <w:t>519</w:t>
            </w:r>
          </w:p>
        </w:tc>
      </w:tr>
      <w:tr>
        <w:tc>
          <w:tcPr>
            <w:tcW w:type="dxa" w:w="2074"/>
          </w:tcPr>
          <w:p>
            <w:pPr>
              <w:keepNext w:val="0"/>
            </w:pPr>
            <w:r>
              <w:rPr>
                <w:sz w:val="18"/>
              </w:rPr>
              <w:t>tree cover loss</w:t>
            </w:r>
          </w:p>
        </w:tc>
        <w:tc>
          <w:tcPr>
            <w:tcW w:type="dxa" w:w="2074"/>
          </w:tcPr>
          <w:p>
            <w:pPr>
              <w:keepNext w:val="0"/>
            </w:pPr>
            <w:r>
              <w:rPr>
                <w:sz w:val="18"/>
              </w:rPr>
              <w:t>lag0</w:t>
            </w:r>
          </w:p>
        </w:tc>
        <w:tc>
          <w:tcPr>
            <w:tcW w:type="dxa" w:w="2074"/>
          </w:tcPr>
          <w:p>
            <w:pPr>
              <w:keepNext w:val="0"/>
            </w:pPr>
            <w:r>
              <w:rPr>
                <w:sz w:val="18"/>
              </w:rPr>
              <w:t>Militia-centred</w:t>
            </w:r>
          </w:p>
        </w:tc>
        <w:tc>
          <w:tcPr>
            <w:tcW w:type="dxa" w:w="2074"/>
          </w:tcPr>
          <w:p>
            <w:pPr>
              <w:keepNext w:val="0"/>
            </w:pPr>
            <w:r>
              <w:rPr>
                <w:sz w:val="18"/>
              </w:rPr>
              <w:t>-0.898 [-1.509, -0.287]</w:t>
            </w:r>
          </w:p>
        </w:tc>
        <w:tc>
          <w:tcPr>
            <w:tcW w:type="dxa" w:w="2074"/>
          </w:tcPr>
          <w:p>
            <w:pPr>
              <w:keepNext w:val="0"/>
            </w:pPr>
            <w:r>
              <w:rPr>
                <w:sz w:val="18"/>
              </w:rPr>
              <w:t>519</w:t>
            </w:r>
          </w:p>
        </w:tc>
      </w:tr>
      <w:tr>
        <w:tc>
          <w:tcPr>
            <w:tcW w:type="dxa" w:w="2074"/>
          </w:tcPr>
          <w:p>
            <w:pPr>
              <w:keepNext w:val="0"/>
            </w:pPr>
            <w:r>
              <w:rPr>
                <w:sz w:val="18"/>
              </w:rPr>
              <w:t>tree cover loss</w:t>
            </w:r>
          </w:p>
        </w:tc>
        <w:tc>
          <w:tcPr>
            <w:tcW w:type="dxa" w:w="2074"/>
          </w:tcPr>
          <w:p>
            <w:pPr>
              <w:keepNext w:val="0"/>
            </w:pPr>
            <w:r>
              <w:rPr>
                <w:sz w:val="18"/>
              </w:rPr>
              <w:t>lag0</w:t>
            </w:r>
          </w:p>
        </w:tc>
        <w:tc>
          <w:tcPr>
            <w:tcW w:type="dxa" w:w="2074"/>
          </w:tcPr>
          <w:p>
            <w:pPr>
              <w:keepNext w:val="0"/>
            </w:pPr>
            <w:r>
              <w:rPr>
                <w:sz w:val="18"/>
              </w:rPr>
              <w:t>Park-centred</w:t>
            </w:r>
          </w:p>
        </w:tc>
        <w:tc>
          <w:tcPr>
            <w:tcW w:type="dxa" w:w="2074"/>
          </w:tcPr>
          <w:p>
            <w:pPr>
              <w:keepNext w:val="0"/>
            </w:pPr>
            <w:r>
              <w:rPr>
                <w:sz w:val="18"/>
              </w:rPr>
              <w:t>-1.430 [-1.941, -0.919]</w:t>
            </w:r>
          </w:p>
        </w:tc>
        <w:tc>
          <w:tcPr>
            <w:tcW w:type="dxa" w:w="2074"/>
          </w:tcPr>
          <w:p>
            <w:pPr>
              <w:keepNext w:val="0"/>
            </w:pPr>
            <w:r>
              <w:rPr>
                <w:sz w:val="18"/>
              </w:rPr>
              <w:t>519</w:t>
            </w:r>
          </w:p>
        </w:tc>
      </w:tr>
      <w:tr>
        <w:tc>
          <w:tcPr>
            <w:tcW w:type="dxa" w:w="2074"/>
          </w:tcPr>
          <w:p>
            <w:pPr>
              <w:keepNext w:val="0"/>
            </w:pPr>
            <w:r>
              <w:rPr>
                <w:sz w:val="18"/>
              </w:rPr>
              <w:t>agriculture</w:t>
            </w:r>
          </w:p>
        </w:tc>
        <w:tc>
          <w:tcPr>
            <w:tcW w:type="dxa" w:w="2074"/>
          </w:tcPr>
          <w:p>
            <w:pPr>
              <w:keepNext w:val="0"/>
            </w:pPr>
            <w:r>
              <w:rPr>
                <w:sz w:val="18"/>
              </w:rPr>
              <w:t>lag0</w:t>
            </w:r>
          </w:p>
        </w:tc>
        <w:tc>
          <w:tcPr>
            <w:tcW w:type="dxa" w:w="2074"/>
          </w:tcPr>
          <w:p>
            <w:pPr>
              <w:keepNext w:val="0"/>
            </w:pPr>
            <w:r>
              <w:rPr>
                <w:sz w:val="18"/>
              </w:rPr>
              <w:t>Fragmented</w:t>
            </w:r>
          </w:p>
        </w:tc>
        <w:tc>
          <w:tcPr>
            <w:tcW w:type="dxa" w:w="2074"/>
          </w:tcPr>
          <w:p>
            <w:pPr>
              <w:keepNext w:val="0"/>
            </w:pPr>
            <w:r>
              <w:rPr>
                <w:sz w:val="18"/>
              </w:rPr>
              <w:t>0.286 [-0.164, 0.737]</w:t>
            </w:r>
          </w:p>
        </w:tc>
        <w:tc>
          <w:tcPr>
            <w:tcW w:type="dxa" w:w="2074"/>
          </w:tcPr>
          <w:p>
            <w:pPr>
              <w:keepNext w:val="0"/>
            </w:pPr>
            <w:r>
              <w:rPr>
                <w:sz w:val="18"/>
              </w:rPr>
              <w:t>518</w:t>
            </w:r>
          </w:p>
        </w:tc>
      </w:tr>
      <w:tr>
        <w:tc>
          <w:tcPr>
            <w:tcW w:type="dxa" w:w="2074"/>
          </w:tcPr>
          <w:p>
            <w:pPr>
              <w:keepNext w:val="0"/>
            </w:pPr>
            <w:r>
              <w:rPr>
                <w:sz w:val="18"/>
              </w:rPr>
              <w:t>agriculture</w:t>
            </w:r>
          </w:p>
        </w:tc>
        <w:tc>
          <w:tcPr>
            <w:tcW w:type="dxa" w:w="2074"/>
          </w:tcPr>
          <w:p>
            <w:pPr>
              <w:keepNext w:val="0"/>
            </w:pPr>
            <w:r>
              <w:rPr>
                <w:sz w:val="18"/>
              </w:rPr>
              <w:t>lag0</w:t>
            </w:r>
          </w:p>
        </w:tc>
        <w:tc>
          <w:tcPr>
            <w:tcW w:type="dxa" w:w="2074"/>
          </w:tcPr>
          <w:p>
            <w:pPr>
              <w:keepNext w:val="0"/>
            </w:pPr>
            <w:r>
              <w:rPr>
                <w:sz w:val="18"/>
              </w:rPr>
              <w:t>Militia-centred</w:t>
            </w:r>
          </w:p>
        </w:tc>
        <w:tc>
          <w:tcPr>
            <w:tcW w:type="dxa" w:w="2074"/>
          </w:tcPr>
          <w:p>
            <w:pPr>
              <w:keepNext w:val="0"/>
            </w:pPr>
            <w:r>
              <w:rPr>
                <w:sz w:val="18"/>
              </w:rPr>
              <w:t>0.222 [-0.048, 0.492]</w:t>
            </w:r>
          </w:p>
        </w:tc>
        <w:tc>
          <w:tcPr>
            <w:tcW w:type="dxa" w:w="2074"/>
          </w:tcPr>
          <w:p>
            <w:pPr>
              <w:keepNext w:val="0"/>
            </w:pPr>
            <w:r>
              <w:rPr>
                <w:sz w:val="18"/>
              </w:rPr>
              <w:t>518</w:t>
            </w:r>
          </w:p>
        </w:tc>
      </w:tr>
      <w:tr>
        <w:tc>
          <w:tcPr>
            <w:tcW w:type="dxa" w:w="2074"/>
          </w:tcPr>
          <w:p>
            <w:pPr>
              <w:keepNext w:val="0"/>
            </w:pPr>
            <w:r>
              <w:rPr>
                <w:sz w:val="18"/>
              </w:rPr>
              <w:t>agriculture</w:t>
            </w:r>
          </w:p>
        </w:tc>
        <w:tc>
          <w:tcPr>
            <w:tcW w:type="dxa" w:w="2074"/>
          </w:tcPr>
          <w:p>
            <w:pPr>
              <w:keepNext w:val="0"/>
            </w:pPr>
            <w:r>
              <w:rPr>
                <w:sz w:val="18"/>
              </w:rPr>
              <w:t>lag0</w:t>
            </w:r>
          </w:p>
        </w:tc>
        <w:tc>
          <w:tcPr>
            <w:tcW w:type="dxa" w:w="2074"/>
          </w:tcPr>
          <w:p>
            <w:pPr>
              <w:keepNext w:val="0"/>
            </w:pPr>
            <w:r>
              <w:rPr>
                <w:sz w:val="18"/>
              </w:rPr>
              <w:t>Park-centred</w:t>
            </w:r>
          </w:p>
        </w:tc>
        <w:tc>
          <w:tcPr>
            <w:tcW w:type="dxa" w:w="2074"/>
          </w:tcPr>
          <w:p>
            <w:pPr>
              <w:keepNext w:val="0"/>
            </w:pPr>
            <w:r>
              <w:rPr>
                <w:sz w:val="18"/>
              </w:rPr>
              <w:t>-0.347 [-0.657, -0.037]</w:t>
            </w:r>
          </w:p>
        </w:tc>
        <w:tc>
          <w:tcPr>
            <w:tcW w:type="dxa" w:w="2074"/>
          </w:tcPr>
          <w:p>
            <w:pPr>
              <w:keepNext w:val="0"/>
            </w:pPr>
            <w:r>
              <w:rPr>
                <w:sz w:val="18"/>
              </w:rPr>
              <w:t>518</w:t>
            </w:r>
          </w:p>
        </w:tc>
      </w:tr>
      <w:tr>
        <w:tc>
          <w:tcPr>
            <w:tcW w:type="dxa" w:w="2074"/>
          </w:tcPr>
          <w:p>
            <w:pPr>
              <w:keepNext w:val="0"/>
            </w:pPr>
            <w:r>
              <w:rPr>
                <w:sz w:val="18"/>
              </w:rPr>
              <w:t>fire</w:t>
            </w:r>
          </w:p>
        </w:tc>
        <w:tc>
          <w:tcPr>
            <w:tcW w:type="dxa" w:w="2074"/>
          </w:tcPr>
          <w:p>
            <w:pPr>
              <w:keepNext w:val="0"/>
            </w:pPr>
            <w:r>
              <w:rPr>
                <w:sz w:val="18"/>
              </w:rPr>
              <w:t>lag1</w:t>
            </w:r>
          </w:p>
        </w:tc>
        <w:tc>
          <w:tcPr>
            <w:tcW w:type="dxa" w:w="2074"/>
          </w:tcPr>
          <w:p>
            <w:pPr>
              <w:keepNext w:val="0"/>
            </w:pPr>
            <w:r>
              <w:rPr>
                <w:sz w:val="18"/>
              </w:rPr>
              <w:t>Fragmented</w:t>
            </w:r>
          </w:p>
        </w:tc>
        <w:tc>
          <w:tcPr>
            <w:tcW w:type="dxa" w:w="2074"/>
          </w:tcPr>
          <w:p>
            <w:pPr>
              <w:keepNext w:val="0"/>
            </w:pPr>
            <w:r>
              <w:rPr>
                <w:sz w:val="18"/>
              </w:rPr>
              <w:t>0.095 [0.035, 0.155]</w:t>
            </w:r>
          </w:p>
        </w:tc>
        <w:tc>
          <w:tcPr>
            <w:tcW w:type="dxa" w:w="2074"/>
          </w:tcPr>
          <w:p>
            <w:pPr>
              <w:keepNext w:val="0"/>
            </w:pPr>
            <w:r>
              <w:rPr>
                <w:sz w:val="18"/>
              </w:rPr>
              <w:t>494511</w:t>
            </w:r>
          </w:p>
        </w:tc>
      </w:tr>
      <w:tr>
        <w:tc>
          <w:tcPr>
            <w:tcW w:type="dxa" w:w="2074"/>
          </w:tcPr>
          <w:p>
            <w:pPr>
              <w:keepNext w:val="0"/>
            </w:pPr>
            <w:r>
              <w:rPr>
                <w:sz w:val="18"/>
              </w:rPr>
              <w:t>fire</w:t>
            </w:r>
          </w:p>
        </w:tc>
        <w:tc>
          <w:tcPr>
            <w:tcW w:type="dxa" w:w="2074"/>
          </w:tcPr>
          <w:p>
            <w:pPr>
              <w:keepNext w:val="0"/>
            </w:pPr>
            <w:r>
              <w:rPr>
                <w:sz w:val="18"/>
              </w:rPr>
              <w:t>lag1</w:t>
            </w:r>
          </w:p>
        </w:tc>
        <w:tc>
          <w:tcPr>
            <w:tcW w:type="dxa" w:w="2074"/>
          </w:tcPr>
          <w:p>
            <w:pPr>
              <w:keepNext w:val="0"/>
            </w:pPr>
            <w:r>
              <w:rPr>
                <w:sz w:val="18"/>
              </w:rPr>
              <w:t>Militia-centred</w:t>
            </w:r>
          </w:p>
        </w:tc>
        <w:tc>
          <w:tcPr>
            <w:tcW w:type="dxa" w:w="2074"/>
          </w:tcPr>
          <w:p>
            <w:pPr>
              <w:keepNext w:val="0"/>
            </w:pPr>
            <w:r>
              <w:rPr>
                <w:sz w:val="18"/>
              </w:rPr>
              <w:t>0.058 [-0.008, 0.125]</w:t>
            </w:r>
          </w:p>
        </w:tc>
        <w:tc>
          <w:tcPr>
            <w:tcW w:type="dxa" w:w="2074"/>
          </w:tcPr>
          <w:p>
            <w:pPr>
              <w:keepNext w:val="0"/>
            </w:pPr>
            <w:r>
              <w:rPr>
                <w:sz w:val="18"/>
              </w:rPr>
              <w:t>494511</w:t>
            </w:r>
          </w:p>
        </w:tc>
      </w:tr>
      <w:tr>
        <w:tc>
          <w:tcPr>
            <w:tcW w:type="dxa" w:w="2074"/>
          </w:tcPr>
          <w:p>
            <w:pPr>
              <w:keepNext w:val="0"/>
            </w:pPr>
            <w:r>
              <w:rPr>
                <w:sz w:val="18"/>
              </w:rPr>
              <w:t>fire</w:t>
            </w:r>
          </w:p>
        </w:tc>
        <w:tc>
          <w:tcPr>
            <w:tcW w:type="dxa" w:w="2074"/>
          </w:tcPr>
          <w:p>
            <w:pPr>
              <w:keepNext w:val="0"/>
            </w:pPr>
            <w:r>
              <w:rPr>
                <w:sz w:val="18"/>
              </w:rPr>
              <w:t>lag1</w:t>
            </w:r>
          </w:p>
        </w:tc>
        <w:tc>
          <w:tcPr>
            <w:tcW w:type="dxa" w:w="2074"/>
          </w:tcPr>
          <w:p>
            <w:pPr>
              <w:keepNext w:val="0"/>
            </w:pPr>
            <w:r>
              <w:rPr>
                <w:sz w:val="18"/>
              </w:rPr>
              <w:t>Park-centred</w:t>
            </w:r>
          </w:p>
        </w:tc>
        <w:tc>
          <w:tcPr>
            <w:tcW w:type="dxa" w:w="2074"/>
          </w:tcPr>
          <w:p>
            <w:pPr>
              <w:keepNext w:val="0"/>
            </w:pPr>
            <w:r>
              <w:rPr>
                <w:sz w:val="18"/>
              </w:rPr>
              <w:t>0.071 [0.004, 0.138]</w:t>
            </w:r>
          </w:p>
        </w:tc>
        <w:tc>
          <w:tcPr>
            <w:tcW w:type="dxa" w:w="2074"/>
          </w:tcPr>
          <w:p>
            <w:pPr>
              <w:keepNext w:val="0"/>
            </w:pPr>
            <w:r>
              <w:rPr>
                <w:sz w:val="18"/>
              </w:rPr>
              <w:t>494511</w:t>
            </w:r>
          </w:p>
        </w:tc>
      </w:tr>
      <w:tr>
        <w:tc>
          <w:tcPr>
            <w:tcW w:type="dxa" w:w="2074"/>
          </w:tcPr>
          <w:p>
            <w:pPr>
              <w:keepNext w:val="0"/>
            </w:pPr>
            <w:r>
              <w:rPr>
                <w:sz w:val="18"/>
              </w:rPr>
              <w:t>tree cover loss</w:t>
            </w:r>
          </w:p>
        </w:tc>
        <w:tc>
          <w:tcPr>
            <w:tcW w:type="dxa" w:w="2074"/>
          </w:tcPr>
          <w:p>
            <w:pPr>
              <w:keepNext w:val="0"/>
            </w:pPr>
            <w:r>
              <w:rPr>
                <w:sz w:val="18"/>
              </w:rPr>
              <w:t>lag1</w:t>
            </w:r>
          </w:p>
        </w:tc>
        <w:tc>
          <w:tcPr>
            <w:tcW w:type="dxa" w:w="2074"/>
          </w:tcPr>
          <w:p>
            <w:pPr>
              <w:keepNext w:val="0"/>
            </w:pPr>
            <w:r>
              <w:rPr>
                <w:sz w:val="18"/>
              </w:rPr>
              <w:t>Fragmented</w:t>
            </w:r>
          </w:p>
        </w:tc>
        <w:tc>
          <w:tcPr>
            <w:tcW w:type="dxa" w:w="2074"/>
          </w:tcPr>
          <w:p>
            <w:pPr>
              <w:keepNext w:val="0"/>
            </w:pPr>
            <w:r>
              <w:rPr>
                <w:sz w:val="18"/>
              </w:rPr>
              <w:t>-0.787 [-1.271, -0.304]</w:t>
            </w:r>
          </w:p>
        </w:tc>
        <w:tc>
          <w:tcPr>
            <w:tcW w:type="dxa" w:w="2074"/>
          </w:tcPr>
          <w:p>
            <w:pPr>
              <w:keepNext w:val="0"/>
            </w:pPr>
            <w:r>
              <w:rPr>
                <w:sz w:val="18"/>
              </w:rPr>
              <w:t>518</w:t>
            </w:r>
          </w:p>
        </w:tc>
      </w:tr>
      <w:tr>
        <w:tc>
          <w:tcPr>
            <w:tcW w:type="dxa" w:w="2074"/>
          </w:tcPr>
          <w:p>
            <w:pPr>
              <w:keepNext w:val="0"/>
            </w:pPr>
            <w:r>
              <w:rPr>
                <w:sz w:val="18"/>
              </w:rPr>
              <w:t>tree cover loss</w:t>
            </w:r>
          </w:p>
        </w:tc>
        <w:tc>
          <w:tcPr>
            <w:tcW w:type="dxa" w:w="2074"/>
          </w:tcPr>
          <w:p>
            <w:pPr>
              <w:keepNext w:val="0"/>
            </w:pPr>
            <w:r>
              <w:rPr>
                <w:sz w:val="18"/>
              </w:rPr>
              <w:t>lag1</w:t>
            </w:r>
          </w:p>
        </w:tc>
        <w:tc>
          <w:tcPr>
            <w:tcW w:type="dxa" w:w="2074"/>
          </w:tcPr>
          <w:p>
            <w:pPr>
              <w:keepNext w:val="0"/>
            </w:pPr>
            <w:r>
              <w:rPr>
                <w:sz w:val="18"/>
              </w:rPr>
              <w:t>Militia-centred</w:t>
            </w:r>
          </w:p>
        </w:tc>
        <w:tc>
          <w:tcPr>
            <w:tcW w:type="dxa" w:w="2074"/>
          </w:tcPr>
          <w:p>
            <w:pPr>
              <w:keepNext w:val="0"/>
            </w:pPr>
            <w:r>
              <w:rPr>
                <w:sz w:val="18"/>
              </w:rPr>
              <w:t>-1.272 [-1.924, -0.620]</w:t>
            </w:r>
          </w:p>
        </w:tc>
        <w:tc>
          <w:tcPr>
            <w:tcW w:type="dxa" w:w="2074"/>
          </w:tcPr>
          <w:p>
            <w:pPr>
              <w:keepNext w:val="0"/>
            </w:pPr>
            <w:r>
              <w:rPr>
                <w:sz w:val="18"/>
              </w:rPr>
              <w:t>518</w:t>
            </w:r>
          </w:p>
        </w:tc>
      </w:tr>
      <w:tr>
        <w:tc>
          <w:tcPr>
            <w:tcW w:type="dxa" w:w="2074"/>
          </w:tcPr>
          <w:p>
            <w:pPr>
              <w:keepNext w:val="0"/>
            </w:pPr>
            <w:r>
              <w:rPr>
                <w:sz w:val="18"/>
              </w:rPr>
              <w:t>tree cover loss</w:t>
            </w:r>
          </w:p>
        </w:tc>
        <w:tc>
          <w:tcPr>
            <w:tcW w:type="dxa" w:w="2074"/>
          </w:tcPr>
          <w:p>
            <w:pPr>
              <w:keepNext w:val="0"/>
            </w:pPr>
            <w:r>
              <w:rPr>
                <w:sz w:val="18"/>
              </w:rPr>
              <w:t>lag1</w:t>
            </w:r>
          </w:p>
        </w:tc>
        <w:tc>
          <w:tcPr>
            <w:tcW w:type="dxa" w:w="2074"/>
          </w:tcPr>
          <w:p>
            <w:pPr>
              <w:keepNext w:val="0"/>
            </w:pPr>
            <w:r>
              <w:rPr>
                <w:sz w:val="18"/>
              </w:rPr>
              <w:t>Park-centred</w:t>
            </w:r>
          </w:p>
        </w:tc>
        <w:tc>
          <w:tcPr>
            <w:tcW w:type="dxa" w:w="2074"/>
          </w:tcPr>
          <w:p>
            <w:pPr>
              <w:keepNext w:val="0"/>
            </w:pPr>
            <w:r>
              <w:rPr>
                <w:sz w:val="18"/>
              </w:rPr>
              <w:t>-1.395 [-1.934, -0.857]</w:t>
            </w:r>
          </w:p>
        </w:tc>
        <w:tc>
          <w:tcPr>
            <w:tcW w:type="dxa" w:w="2074"/>
          </w:tcPr>
          <w:p>
            <w:pPr>
              <w:keepNext w:val="0"/>
            </w:pPr>
            <w:r>
              <w:rPr>
                <w:sz w:val="18"/>
              </w:rPr>
              <w:t>518</w:t>
            </w:r>
          </w:p>
        </w:tc>
      </w:tr>
      <w:tr>
        <w:tc>
          <w:tcPr>
            <w:tcW w:type="dxa" w:w="2074"/>
          </w:tcPr>
          <w:p>
            <w:pPr>
              <w:keepNext w:val="0"/>
            </w:pPr>
            <w:r>
              <w:rPr>
                <w:sz w:val="18"/>
              </w:rPr>
              <w:t>agriculture</w:t>
            </w:r>
          </w:p>
        </w:tc>
        <w:tc>
          <w:tcPr>
            <w:tcW w:type="dxa" w:w="2074"/>
          </w:tcPr>
          <w:p>
            <w:pPr>
              <w:keepNext w:val="0"/>
            </w:pPr>
            <w:r>
              <w:rPr>
                <w:sz w:val="18"/>
              </w:rPr>
              <w:t>lag1</w:t>
            </w:r>
          </w:p>
        </w:tc>
        <w:tc>
          <w:tcPr>
            <w:tcW w:type="dxa" w:w="2074"/>
          </w:tcPr>
          <w:p>
            <w:pPr>
              <w:keepNext w:val="0"/>
            </w:pPr>
            <w:r>
              <w:rPr>
                <w:sz w:val="18"/>
              </w:rPr>
              <w:t>Fragmented</w:t>
            </w:r>
          </w:p>
        </w:tc>
        <w:tc>
          <w:tcPr>
            <w:tcW w:type="dxa" w:w="2074"/>
          </w:tcPr>
          <w:p>
            <w:pPr>
              <w:keepNext w:val="0"/>
            </w:pPr>
            <w:r>
              <w:rPr>
                <w:sz w:val="18"/>
              </w:rPr>
              <w:t>0.252 [-0.070, 0.575]</w:t>
            </w:r>
          </w:p>
        </w:tc>
        <w:tc>
          <w:tcPr>
            <w:tcW w:type="dxa" w:w="2074"/>
          </w:tcPr>
          <w:p>
            <w:pPr>
              <w:keepNext w:val="0"/>
            </w:pPr>
            <w:r>
              <w:rPr>
                <w:sz w:val="18"/>
              </w:rPr>
              <w:t>510</w:t>
            </w:r>
          </w:p>
        </w:tc>
      </w:tr>
      <w:tr>
        <w:tc>
          <w:tcPr>
            <w:tcW w:type="dxa" w:w="2074"/>
          </w:tcPr>
          <w:p>
            <w:pPr>
              <w:keepNext w:val="0"/>
            </w:pPr>
            <w:r>
              <w:rPr>
                <w:sz w:val="18"/>
              </w:rPr>
              <w:t>agriculture</w:t>
            </w:r>
          </w:p>
        </w:tc>
        <w:tc>
          <w:tcPr>
            <w:tcW w:type="dxa" w:w="2074"/>
          </w:tcPr>
          <w:p>
            <w:pPr>
              <w:keepNext w:val="0"/>
            </w:pPr>
            <w:r>
              <w:rPr>
                <w:sz w:val="18"/>
              </w:rPr>
              <w:t>lag1</w:t>
            </w:r>
          </w:p>
        </w:tc>
        <w:tc>
          <w:tcPr>
            <w:tcW w:type="dxa" w:w="2074"/>
          </w:tcPr>
          <w:p>
            <w:pPr>
              <w:keepNext w:val="0"/>
            </w:pPr>
            <w:r>
              <w:rPr>
                <w:sz w:val="18"/>
              </w:rPr>
              <w:t>Militia-centred</w:t>
            </w:r>
          </w:p>
        </w:tc>
        <w:tc>
          <w:tcPr>
            <w:tcW w:type="dxa" w:w="2074"/>
          </w:tcPr>
          <w:p>
            <w:pPr>
              <w:keepNext w:val="0"/>
            </w:pPr>
            <w:r>
              <w:rPr>
                <w:sz w:val="18"/>
              </w:rPr>
              <w:t>0.130 [-0.287, 0.548]</w:t>
            </w:r>
          </w:p>
        </w:tc>
        <w:tc>
          <w:tcPr>
            <w:tcW w:type="dxa" w:w="2074"/>
          </w:tcPr>
          <w:p>
            <w:pPr>
              <w:keepNext w:val="0"/>
            </w:pPr>
            <w:r>
              <w:rPr>
                <w:sz w:val="18"/>
              </w:rPr>
              <w:t>510</w:t>
            </w:r>
          </w:p>
        </w:tc>
      </w:tr>
      <w:tr>
        <w:tc>
          <w:tcPr>
            <w:tcW w:type="dxa" w:w="2074"/>
          </w:tcPr>
          <w:p>
            <w:pPr>
              <w:keepNext w:val="0"/>
            </w:pPr>
            <w:r>
              <w:rPr>
                <w:sz w:val="18"/>
              </w:rPr>
              <w:t>agriculture</w:t>
            </w:r>
          </w:p>
        </w:tc>
        <w:tc>
          <w:tcPr>
            <w:tcW w:type="dxa" w:w="2074"/>
          </w:tcPr>
          <w:p>
            <w:pPr>
              <w:keepNext w:val="0"/>
            </w:pPr>
            <w:r>
              <w:rPr>
                <w:sz w:val="18"/>
              </w:rPr>
              <w:t>lag1</w:t>
            </w:r>
          </w:p>
        </w:tc>
        <w:tc>
          <w:tcPr>
            <w:tcW w:type="dxa" w:w="2074"/>
          </w:tcPr>
          <w:p>
            <w:pPr>
              <w:keepNext w:val="0"/>
            </w:pPr>
            <w:r>
              <w:rPr>
                <w:sz w:val="18"/>
              </w:rPr>
              <w:t>Park-centred</w:t>
            </w:r>
          </w:p>
        </w:tc>
        <w:tc>
          <w:tcPr>
            <w:tcW w:type="dxa" w:w="2074"/>
          </w:tcPr>
          <w:p>
            <w:pPr>
              <w:keepNext w:val="0"/>
            </w:pPr>
            <w:r>
              <w:rPr>
                <w:sz w:val="18"/>
              </w:rPr>
              <w:t>-0.382 [-0.841, 0.078]</w:t>
            </w:r>
          </w:p>
        </w:tc>
        <w:tc>
          <w:tcPr>
            <w:tcW w:type="dxa" w:w="2074"/>
          </w:tcPr>
          <w:p>
            <w:pPr>
              <w:keepNext w:val="0"/>
            </w:pPr>
            <w:r>
              <w:rPr>
                <w:sz w:val="18"/>
              </w:rPr>
              <w:t>510</w:t>
            </w:r>
          </w:p>
        </w:tc>
      </w:tr>
      <w:tr>
        <w:tc>
          <w:tcPr>
            <w:tcW w:type="dxa" w:w="2074"/>
          </w:tcPr>
          <w:p>
            <w:pPr>
              <w:keepNext w:val="0"/>
            </w:pPr>
            <w:r>
              <w:rPr>
                <w:sz w:val="18"/>
              </w:rPr>
              <w:t>fire</w:t>
            </w:r>
          </w:p>
        </w:tc>
        <w:tc>
          <w:tcPr>
            <w:tcW w:type="dxa" w:w="2074"/>
          </w:tcPr>
          <w:p>
            <w:pPr>
              <w:keepNext w:val="0"/>
            </w:pPr>
            <w:r>
              <w:rPr>
                <w:sz w:val="18"/>
              </w:rPr>
              <w:t>lag2</w:t>
            </w:r>
          </w:p>
        </w:tc>
        <w:tc>
          <w:tcPr>
            <w:tcW w:type="dxa" w:w="2074"/>
          </w:tcPr>
          <w:p>
            <w:pPr>
              <w:keepNext w:val="0"/>
            </w:pPr>
            <w:r>
              <w:rPr>
                <w:sz w:val="18"/>
              </w:rPr>
              <w:t>Fragmented</w:t>
            </w:r>
          </w:p>
        </w:tc>
        <w:tc>
          <w:tcPr>
            <w:tcW w:type="dxa" w:w="2074"/>
          </w:tcPr>
          <w:p>
            <w:pPr>
              <w:keepNext w:val="0"/>
            </w:pPr>
            <w:r>
              <w:rPr>
                <w:sz w:val="18"/>
              </w:rPr>
              <w:t>0.060 [-0.001, 0.121]</w:t>
            </w:r>
          </w:p>
        </w:tc>
        <w:tc>
          <w:tcPr>
            <w:tcW w:type="dxa" w:w="2074"/>
          </w:tcPr>
          <w:p>
            <w:pPr>
              <w:keepNext w:val="0"/>
            </w:pPr>
            <w:r>
              <w:rPr>
                <w:sz w:val="18"/>
              </w:rPr>
              <w:t>472870</w:t>
            </w:r>
          </w:p>
        </w:tc>
      </w:tr>
      <w:tr>
        <w:tc>
          <w:tcPr>
            <w:tcW w:type="dxa" w:w="2074"/>
          </w:tcPr>
          <w:p>
            <w:pPr>
              <w:keepNext w:val="0"/>
            </w:pPr>
            <w:r>
              <w:rPr>
                <w:sz w:val="18"/>
              </w:rPr>
              <w:t>fire</w:t>
            </w:r>
          </w:p>
        </w:tc>
        <w:tc>
          <w:tcPr>
            <w:tcW w:type="dxa" w:w="2074"/>
          </w:tcPr>
          <w:p>
            <w:pPr>
              <w:keepNext w:val="0"/>
            </w:pPr>
            <w:r>
              <w:rPr>
                <w:sz w:val="18"/>
              </w:rPr>
              <w:t>lag2</w:t>
            </w:r>
          </w:p>
        </w:tc>
        <w:tc>
          <w:tcPr>
            <w:tcW w:type="dxa" w:w="2074"/>
          </w:tcPr>
          <w:p>
            <w:pPr>
              <w:keepNext w:val="0"/>
            </w:pPr>
            <w:r>
              <w:rPr>
                <w:sz w:val="18"/>
              </w:rPr>
              <w:t>Militia-centred</w:t>
            </w:r>
          </w:p>
        </w:tc>
        <w:tc>
          <w:tcPr>
            <w:tcW w:type="dxa" w:w="2074"/>
          </w:tcPr>
          <w:p>
            <w:pPr>
              <w:keepNext w:val="0"/>
            </w:pPr>
            <w:r>
              <w:rPr>
                <w:sz w:val="18"/>
              </w:rPr>
              <w:t>0.111 [0.044, 0.177]</w:t>
            </w:r>
          </w:p>
        </w:tc>
        <w:tc>
          <w:tcPr>
            <w:tcW w:type="dxa" w:w="2074"/>
          </w:tcPr>
          <w:p>
            <w:pPr>
              <w:keepNext w:val="0"/>
            </w:pPr>
            <w:r>
              <w:rPr>
                <w:sz w:val="18"/>
              </w:rPr>
              <w:t>472870</w:t>
            </w:r>
          </w:p>
        </w:tc>
      </w:tr>
      <w:tr>
        <w:tc>
          <w:tcPr>
            <w:tcW w:type="dxa" w:w="2074"/>
          </w:tcPr>
          <w:p>
            <w:pPr>
              <w:keepNext w:val="0"/>
            </w:pPr>
            <w:r>
              <w:rPr>
                <w:sz w:val="18"/>
              </w:rPr>
              <w:t>fire</w:t>
            </w:r>
          </w:p>
        </w:tc>
        <w:tc>
          <w:tcPr>
            <w:tcW w:type="dxa" w:w="2074"/>
          </w:tcPr>
          <w:p>
            <w:pPr>
              <w:keepNext w:val="0"/>
            </w:pPr>
            <w:r>
              <w:rPr>
                <w:sz w:val="18"/>
              </w:rPr>
              <w:t>lag2</w:t>
            </w:r>
          </w:p>
        </w:tc>
        <w:tc>
          <w:tcPr>
            <w:tcW w:type="dxa" w:w="2074"/>
          </w:tcPr>
          <w:p>
            <w:pPr>
              <w:keepNext w:val="0"/>
            </w:pPr>
            <w:r>
              <w:rPr>
                <w:sz w:val="18"/>
              </w:rPr>
              <w:t>Park-centred</w:t>
            </w:r>
          </w:p>
        </w:tc>
        <w:tc>
          <w:tcPr>
            <w:tcW w:type="dxa" w:w="2074"/>
          </w:tcPr>
          <w:p>
            <w:pPr>
              <w:keepNext w:val="0"/>
            </w:pPr>
            <w:r>
              <w:rPr>
                <w:sz w:val="18"/>
              </w:rPr>
              <w:t>0.058 [-0.015, 0.132]</w:t>
            </w:r>
          </w:p>
        </w:tc>
        <w:tc>
          <w:tcPr>
            <w:tcW w:type="dxa" w:w="2074"/>
          </w:tcPr>
          <w:p>
            <w:pPr>
              <w:keepNext w:val="0"/>
            </w:pPr>
            <w:r>
              <w:rPr>
                <w:sz w:val="18"/>
              </w:rPr>
              <w:t>472870</w:t>
            </w:r>
          </w:p>
        </w:tc>
      </w:tr>
      <w:tr>
        <w:tc>
          <w:tcPr>
            <w:tcW w:type="dxa" w:w="2074"/>
          </w:tcPr>
          <w:p>
            <w:pPr>
              <w:keepNext w:val="0"/>
            </w:pPr>
            <w:r>
              <w:rPr>
                <w:sz w:val="18"/>
              </w:rPr>
              <w:t>tree cover loss</w:t>
            </w:r>
          </w:p>
        </w:tc>
        <w:tc>
          <w:tcPr>
            <w:tcW w:type="dxa" w:w="2074"/>
          </w:tcPr>
          <w:p>
            <w:pPr>
              <w:keepNext w:val="0"/>
            </w:pPr>
            <w:r>
              <w:rPr>
                <w:sz w:val="18"/>
              </w:rPr>
              <w:t>lag2</w:t>
            </w:r>
          </w:p>
        </w:tc>
        <w:tc>
          <w:tcPr>
            <w:tcW w:type="dxa" w:w="2074"/>
          </w:tcPr>
          <w:p>
            <w:pPr>
              <w:keepNext w:val="0"/>
            </w:pPr>
            <w:r>
              <w:rPr>
                <w:sz w:val="18"/>
              </w:rPr>
              <w:t>Fragmented</w:t>
            </w:r>
          </w:p>
        </w:tc>
        <w:tc>
          <w:tcPr>
            <w:tcW w:type="dxa" w:w="2074"/>
          </w:tcPr>
          <w:p>
            <w:pPr>
              <w:keepNext w:val="0"/>
            </w:pPr>
            <w:r>
              <w:rPr>
                <w:sz w:val="18"/>
              </w:rPr>
              <w:t>-0.925 [-1.276, -0.575]</w:t>
            </w:r>
          </w:p>
        </w:tc>
        <w:tc>
          <w:tcPr>
            <w:tcW w:type="dxa" w:w="2074"/>
          </w:tcPr>
          <w:p>
            <w:pPr>
              <w:keepNext w:val="0"/>
            </w:pPr>
            <w:r>
              <w:rPr>
                <w:sz w:val="18"/>
              </w:rPr>
              <w:t>484</w:t>
            </w:r>
          </w:p>
        </w:tc>
      </w:tr>
      <w:tr>
        <w:tc>
          <w:tcPr>
            <w:tcW w:type="dxa" w:w="2074"/>
          </w:tcPr>
          <w:p>
            <w:pPr>
              <w:keepNext w:val="0"/>
            </w:pPr>
            <w:r>
              <w:rPr>
                <w:sz w:val="18"/>
              </w:rPr>
              <w:t>tree cover loss</w:t>
            </w:r>
          </w:p>
        </w:tc>
        <w:tc>
          <w:tcPr>
            <w:tcW w:type="dxa" w:w="2074"/>
          </w:tcPr>
          <w:p>
            <w:pPr>
              <w:keepNext w:val="0"/>
            </w:pPr>
            <w:r>
              <w:rPr>
                <w:sz w:val="18"/>
              </w:rPr>
              <w:t>lag2</w:t>
            </w:r>
          </w:p>
        </w:tc>
        <w:tc>
          <w:tcPr>
            <w:tcW w:type="dxa" w:w="2074"/>
          </w:tcPr>
          <w:p>
            <w:pPr>
              <w:keepNext w:val="0"/>
            </w:pPr>
            <w:r>
              <w:rPr>
                <w:sz w:val="18"/>
              </w:rPr>
              <w:t>Militia-centred</w:t>
            </w:r>
          </w:p>
        </w:tc>
        <w:tc>
          <w:tcPr>
            <w:tcW w:type="dxa" w:w="2074"/>
          </w:tcPr>
          <w:p>
            <w:pPr>
              <w:keepNext w:val="0"/>
            </w:pPr>
            <w:r>
              <w:rPr>
                <w:sz w:val="18"/>
              </w:rPr>
              <w:t>-1.346 [-1.868, -0.825]</w:t>
            </w:r>
          </w:p>
        </w:tc>
        <w:tc>
          <w:tcPr>
            <w:tcW w:type="dxa" w:w="2074"/>
          </w:tcPr>
          <w:p>
            <w:pPr>
              <w:keepNext w:val="0"/>
            </w:pPr>
            <w:r>
              <w:rPr>
                <w:sz w:val="18"/>
              </w:rPr>
              <w:t>484</w:t>
            </w:r>
          </w:p>
        </w:tc>
      </w:tr>
      <w:tr>
        <w:tc>
          <w:tcPr>
            <w:tcW w:type="dxa" w:w="2074"/>
          </w:tcPr>
          <w:p>
            <w:pPr>
              <w:keepNext w:val="0"/>
            </w:pPr>
            <w:r>
              <w:rPr>
                <w:sz w:val="18"/>
              </w:rPr>
              <w:t>tree cover loss</w:t>
            </w:r>
          </w:p>
        </w:tc>
        <w:tc>
          <w:tcPr>
            <w:tcW w:type="dxa" w:w="2074"/>
          </w:tcPr>
          <w:p>
            <w:pPr>
              <w:keepNext w:val="0"/>
            </w:pPr>
            <w:r>
              <w:rPr>
                <w:sz w:val="18"/>
              </w:rPr>
              <w:t>lag2</w:t>
            </w:r>
          </w:p>
        </w:tc>
        <w:tc>
          <w:tcPr>
            <w:tcW w:type="dxa" w:w="2074"/>
          </w:tcPr>
          <w:p>
            <w:pPr>
              <w:keepNext w:val="0"/>
            </w:pPr>
            <w:r>
              <w:rPr>
                <w:sz w:val="18"/>
              </w:rPr>
              <w:t>Park-centred</w:t>
            </w:r>
          </w:p>
        </w:tc>
        <w:tc>
          <w:tcPr>
            <w:tcW w:type="dxa" w:w="2074"/>
          </w:tcPr>
          <w:p>
            <w:pPr>
              <w:keepNext w:val="0"/>
            </w:pPr>
            <w:r>
              <w:rPr>
                <w:sz w:val="18"/>
              </w:rPr>
              <w:t>-1.456 [-2.088, -0.823]</w:t>
            </w:r>
          </w:p>
        </w:tc>
        <w:tc>
          <w:tcPr>
            <w:tcW w:type="dxa" w:w="2074"/>
          </w:tcPr>
          <w:p>
            <w:pPr>
              <w:keepNext w:val="0"/>
            </w:pPr>
            <w:r>
              <w:rPr>
                <w:sz w:val="18"/>
              </w:rPr>
              <w:t>484</w:t>
            </w:r>
          </w:p>
        </w:tc>
      </w:tr>
      <w:tr>
        <w:tc>
          <w:tcPr>
            <w:tcW w:type="dxa" w:w="2074"/>
          </w:tcPr>
          <w:p>
            <w:pPr>
              <w:keepNext w:val="0"/>
            </w:pPr>
            <w:r>
              <w:rPr>
                <w:sz w:val="18"/>
              </w:rPr>
              <w:t>agriculture</w:t>
            </w:r>
          </w:p>
        </w:tc>
        <w:tc>
          <w:tcPr>
            <w:tcW w:type="dxa" w:w="2074"/>
          </w:tcPr>
          <w:p>
            <w:pPr>
              <w:keepNext w:val="0"/>
            </w:pPr>
            <w:r>
              <w:rPr>
                <w:sz w:val="18"/>
              </w:rPr>
              <w:t>lag2</w:t>
            </w:r>
          </w:p>
        </w:tc>
        <w:tc>
          <w:tcPr>
            <w:tcW w:type="dxa" w:w="2074"/>
          </w:tcPr>
          <w:p>
            <w:pPr>
              <w:keepNext w:val="0"/>
            </w:pPr>
            <w:r>
              <w:rPr>
                <w:sz w:val="18"/>
              </w:rPr>
              <w:t>Fragmented</w:t>
            </w:r>
          </w:p>
        </w:tc>
        <w:tc>
          <w:tcPr>
            <w:tcW w:type="dxa" w:w="2074"/>
          </w:tcPr>
          <w:p>
            <w:pPr>
              <w:keepNext w:val="0"/>
            </w:pPr>
            <w:r>
              <w:rPr>
                <w:sz w:val="18"/>
              </w:rPr>
              <w:t>0.310 [0.028, 0.592]</w:t>
            </w:r>
          </w:p>
        </w:tc>
        <w:tc>
          <w:tcPr>
            <w:tcW w:type="dxa" w:w="2074"/>
          </w:tcPr>
          <w:p>
            <w:pPr>
              <w:keepNext w:val="0"/>
            </w:pPr>
            <w:r>
              <w:rPr>
                <w:sz w:val="18"/>
              </w:rPr>
              <w:t>491</w:t>
            </w:r>
          </w:p>
        </w:tc>
      </w:tr>
      <w:tr>
        <w:tc>
          <w:tcPr>
            <w:tcW w:type="dxa" w:w="2074"/>
          </w:tcPr>
          <w:p>
            <w:pPr>
              <w:keepNext w:val="0"/>
            </w:pPr>
            <w:r>
              <w:rPr>
                <w:sz w:val="18"/>
              </w:rPr>
              <w:t>agriculture</w:t>
            </w:r>
          </w:p>
        </w:tc>
        <w:tc>
          <w:tcPr>
            <w:tcW w:type="dxa" w:w="2074"/>
          </w:tcPr>
          <w:p>
            <w:pPr>
              <w:keepNext w:val="0"/>
            </w:pPr>
            <w:r>
              <w:rPr>
                <w:sz w:val="18"/>
              </w:rPr>
              <w:t>lag2</w:t>
            </w:r>
          </w:p>
        </w:tc>
        <w:tc>
          <w:tcPr>
            <w:tcW w:type="dxa" w:w="2074"/>
          </w:tcPr>
          <w:p>
            <w:pPr>
              <w:keepNext w:val="0"/>
            </w:pPr>
            <w:r>
              <w:rPr>
                <w:sz w:val="18"/>
              </w:rPr>
              <w:t>Militia-centred</w:t>
            </w:r>
          </w:p>
        </w:tc>
        <w:tc>
          <w:tcPr>
            <w:tcW w:type="dxa" w:w="2074"/>
          </w:tcPr>
          <w:p>
            <w:pPr>
              <w:keepNext w:val="0"/>
            </w:pPr>
            <w:r>
              <w:rPr>
                <w:sz w:val="18"/>
              </w:rPr>
              <w:t>0.125 [-0.292, 0.543]</w:t>
            </w:r>
          </w:p>
        </w:tc>
        <w:tc>
          <w:tcPr>
            <w:tcW w:type="dxa" w:w="2074"/>
          </w:tcPr>
          <w:p>
            <w:pPr>
              <w:keepNext w:val="0"/>
            </w:pPr>
            <w:r>
              <w:rPr>
                <w:sz w:val="18"/>
              </w:rPr>
              <w:t>491</w:t>
            </w:r>
          </w:p>
        </w:tc>
      </w:tr>
      <w:tr>
        <w:tc>
          <w:tcPr>
            <w:tcW w:type="dxa" w:w="2074"/>
          </w:tcPr>
          <w:p>
            <w:pPr>
              <w:keepNext w:val="0"/>
            </w:pPr>
            <w:r>
              <w:rPr>
                <w:sz w:val="18"/>
              </w:rPr>
              <w:t>agriculture</w:t>
            </w:r>
          </w:p>
        </w:tc>
        <w:tc>
          <w:tcPr>
            <w:tcW w:type="dxa" w:w="2074"/>
          </w:tcPr>
          <w:p>
            <w:pPr>
              <w:keepNext w:val="0"/>
            </w:pPr>
            <w:r>
              <w:rPr>
                <w:sz w:val="18"/>
              </w:rPr>
              <w:t>lag2</w:t>
            </w:r>
          </w:p>
        </w:tc>
        <w:tc>
          <w:tcPr>
            <w:tcW w:type="dxa" w:w="2074"/>
          </w:tcPr>
          <w:p>
            <w:pPr>
              <w:keepNext w:val="0"/>
            </w:pPr>
            <w:r>
              <w:rPr>
                <w:sz w:val="18"/>
              </w:rPr>
              <w:t>Park-centred</w:t>
            </w:r>
          </w:p>
        </w:tc>
        <w:tc>
          <w:tcPr>
            <w:tcW w:type="dxa" w:w="2074"/>
          </w:tcPr>
          <w:p>
            <w:pPr>
              <w:keepNext w:val="0"/>
            </w:pPr>
            <w:r>
              <w:rPr>
                <w:sz w:val="18"/>
              </w:rPr>
              <w:t>-0.594 [-0.861, -0.326]</w:t>
            </w:r>
          </w:p>
        </w:tc>
        <w:tc>
          <w:tcPr>
            <w:tcW w:type="dxa" w:w="2074"/>
          </w:tcPr>
          <w:p>
            <w:pPr>
              <w:keepNext w:val="0"/>
            </w:pPr>
            <w:r>
              <w:rPr>
                <w:sz w:val="18"/>
              </w:rPr>
              <w:t>491</w:t>
            </w:r>
          </w:p>
        </w:tc>
      </w:tr>
      <w:tr>
        <w:tc>
          <w:tcPr>
            <w:tcW w:type="dxa" w:w="2074"/>
          </w:tcPr>
          <w:p>
            <w:pPr>
              <w:keepNext w:val="0"/>
            </w:pPr>
            <w:r>
              <w:rPr>
                <w:sz w:val="18"/>
              </w:rPr>
              <w:t>fire</w:t>
            </w:r>
          </w:p>
        </w:tc>
        <w:tc>
          <w:tcPr>
            <w:tcW w:type="dxa" w:w="2074"/>
          </w:tcPr>
          <w:p>
            <w:pPr>
              <w:keepNext w:val="0"/>
            </w:pPr>
            <w:r>
              <w:rPr>
                <w:sz w:val="18"/>
              </w:rPr>
              <w:t>exclude_first_posttransition</w:t>
            </w:r>
          </w:p>
        </w:tc>
        <w:tc>
          <w:tcPr>
            <w:tcW w:type="dxa" w:w="2074"/>
          </w:tcPr>
          <w:p>
            <w:pPr>
              <w:keepNext w:val="0"/>
            </w:pPr>
            <w:r>
              <w:rPr>
                <w:sz w:val="18"/>
              </w:rPr>
              <w:t>Fragmented</w:t>
            </w:r>
          </w:p>
        </w:tc>
        <w:tc>
          <w:tcPr>
            <w:tcW w:type="dxa" w:w="2074"/>
          </w:tcPr>
          <w:p>
            <w:pPr>
              <w:keepNext w:val="0"/>
            </w:pPr>
            <w:r>
              <w:rPr>
                <w:sz w:val="18"/>
              </w:rPr>
              <w:t>0.173 [0.113, 0.233]</w:t>
            </w:r>
          </w:p>
        </w:tc>
        <w:tc>
          <w:tcPr>
            <w:tcW w:type="dxa" w:w="2074"/>
          </w:tcPr>
          <w:p>
            <w:pPr>
              <w:keepNext w:val="0"/>
            </w:pPr>
            <w:r>
              <w:rPr>
                <w:sz w:val="18"/>
              </w:rPr>
              <w:t>394145</w:t>
            </w:r>
          </w:p>
        </w:tc>
      </w:tr>
      <w:tr>
        <w:tc>
          <w:tcPr>
            <w:tcW w:type="dxa" w:w="2074"/>
          </w:tcPr>
          <w:p>
            <w:pPr>
              <w:keepNext w:val="0"/>
            </w:pPr>
            <w:r>
              <w:rPr>
                <w:sz w:val="18"/>
              </w:rPr>
              <w:t>fire</w:t>
            </w:r>
          </w:p>
        </w:tc>
        <w:tc>
          <w:tcPr>
            <w:tcW w:type="dxa" w:w="2074"/>
          </w:tcPr>
          <w:p>
            <w:pPr>
              <w:keepNext w:val="0"/>
            </w:pPr>
            <w:r>
              <w:rPr>
                <w:sz w:val="18"/>
              </w:rPr>
              <w:t>exclude_first_posttransition</w:t>
            </w:r>
          </w:p>
        </w:tc>
        <w:tc>
          <w:tcPr>
            <w:tcW w:type="dxa" w:w="2074"/>
          </w:tcPr>
          <w:p>
            <w:pPr>
              <w:keepNext w:val="0"/>
            </w:pPr>
            <w:r>
              <w:rPr>
                <w:sz w:val="18"/>
              </w:rPr>
              <w:t>Militia-centred</w:t>
            </w:r>
          </w:p>
        </w:tc>
        <w:tc>
          <w:tcPr>
            <w:tcW w:type="dxa" w:w="2074"/>
          </w:tcPr>
          <w:p>
            <w:pPr>
              <w:keepNext w:val="0"/>
            </w:pPr>
            <w:r>
              <w:rPr>
                <w:sz w:val="18"/>
              </w:rPr>
              <w:t>0.021 [-0.054, 0.095]</w:t>
            </w:r>
          </w:p>
        </w:tc>
        <w:tc>
          <w:tcPr>
            <w:tcW w:type="dxa" w:w="2074"/>
          </w:tcPr>
          <w:p>
            <w:pPr>
              <w:keepNext w:val="0"/>
            </w:pPr>
            <w:r>
              <w:rPr>
                <w:sz w:val="18"/>
              </w:rPr>
              <w:t>394145</w:t>
            </w:r>
          </w:p>
        </w:tc>
      </w:tr>
      <w:tr>
        <w:tc>
          <w:tcPr>
            <w:tcW w:type="dxa" w:w="2074"/>
          </w:tcPr>
          <w:p>
            <w:pPr>
              <w:keepNext w:val="0"/>
            </w:pPr>
            <w:r>
              <w:rPr>
                <w:sz w:val="18"/>
              </w:rPr>
              <w:t>fire</w:t>
            </w:r>
          </w:p>
        </w:tc>
        <w:tc>
          <w:tcPr>
            <w:tcW w:type="dxa" w:w="2074"/>
          </w:tcPr>
          <w:p>
            <w:pPr>
              <w:keepNext w:val="0"/>
            </w:pPr>
            <w:r>
              <w:rPr>
                <w:sz w:val="18"/>
              </w:rPr>
              <w:t>exclude_first_posttransition</w:t>
            </w:r>
          </w:p>
        </w:tc>
        <w:tc>
          <w:tcPr>
            <w:tcW w:type="dxa" w:w="2074"/>
          </w:tcPr>
          <w:p>
            <w:pPr>
              <w:keepNext w:val="0"/>
            </w:pPr>
            <w:r>
              <w:rPr>
                <w:sz w:val="18"/>
              </w:rPr>
              <w:t>Park-centred</w:t>
            </w:r>
          </w:p>
        </w:tc>
        <w:tc>
          <w:tcPr>
            <w:tcW w:type="dxa" w:w="2074"/>
          </w:tcPr>
          <w:p>
            <w:pPr>
              <w:keepNext w:val="0"/>
            </w:pPr>
            <w:r>
              <w:rPr>
                <w:sz w:val="18"/>
              </w:rPr>
              <w:t>0.074 [0.010, 0.139]</w:t>
            </w:r>
          </w:p>
        </w:tc>
        <w:tc>
          <w:tcPr>
            <w:tcW w:type="dxa" w:w="2074"/>
          </w:tcPr>
          <w:p>
            <w:pPr>
              <w:keepNext w:val="0"/>
            </w:pPr>
            <w:r>
              <w:rPr>
                <w:sz w:val="18"/>
              </w:rPr>
              <w:t>394145</w:t>
            </w:r>
          </w:p>
        </w:tc>
      </w:tr>
      <w:tr>
        <w:tc>
          <w:tcPr>
            <w:tcW w:type="dxa" w:w="2074"/>
          </w:tcPr>
          <w:p>
            <w:pPr>
              <w:keepNext w:val="0"/>
            </w:pPr>
            <w:r>
              <w:rPr>
                <w:sz w:val="18"/>
              </w:rPr>
              <w:t>tree cover loss</w:t>
            </w:r>
          </w:p>
        </w:tc>
        <w:tc>
          <w:tcPr>
            <w:tcW w:type="dxa" w:w="2074"/>
          </w:tcPr>
          <w:p>
            <w:pPr>
              <w:keepNext w:val="0"/>
            </w:pPr>
            <w:r>
              <w:rPr>
                <w:sz w:val="18"/>
              </w:rPr>
              <w:t>exclude_first_posttransition</w:t>
            </w:r>
          </w:p>
        </w:tc>
        <w:tc>
          <w:tcPr>
            <w:tcW w:type="dxa" w:w="2074"/>
          </w:tcPr>
          <w:p>
            <w:pPr>
              <w:keepNext w:val="0"/>
            </w:pPr>
            <w:r>
              <w:rPr>
                <w:sz w:val="18"/>
              </w:rPr>
              <w:t>Fragmented</w:t>
            </w:r>
          </w:p>
        </w:tc>
        <w:tc>
          <w:tcPr>
            <w:tcW w:type="dxa" w:w="2074"/>
          </w:tcPr>
          <w:p>
            <w:pPr>
              <w:keepNext w:val="0"/>
            </w:pPr>
            <w:r>
              <w:rPr>
                <w:sz w:val="18"/>
              </w:rPr>
              <w:t>-0.883 [-1.394, -0.372]</w:t>
            </w:r>
          </w:p>
        </w:tc>
        <w:tc>
          <w:tcPr>
            <w:tcW w:type="dxa" w:w="2074"/>
          </w:tcPr>
          <w:p>
            <w:pPr>
              <w:keepNext w:val="0"/>
            </w:pPr>
            <w:r>
              <w:rPr>
                <w:sz w:val="18"/>
              </w:rPr>
              <w:t>456</w:t>
            </w:r>
          </w:p>
        </w:tc>
      </w:tr>
      <w:tr>
        <w:tc>
          <w:tcPr>
            <w:tcW w:type="dxa" w:w="2074"/>
          </w:tcPr>
          <w:p>
            <w:pPr>
              <w:keepNext w:val="0"/>
            </w:pPr>
            <w:r>
              <w:rPr>
                <w:sz w:val="18"/>
              </w:rPr>
              <w:t>tree cover loss</w:t>
            </w:r>
          </w:p>
        </w:tc>
        <w:tc>
          <w:tcPr>
            <w:tcW w:type="dxa" w:w="2074"/>
          </w:tcPr>
          <w:p>
            <w:pPr>
              <w:keepNext w:val="0"/>
            </w:pPr>
            <w:r>
              <w:rPr>
                <w:sz w:val="18"/>
              </w:rPr>
              <w:t>exclude_first_posttransition</w:t>
            </w:r>
          </w:p>
        </w:tc>
        <w:tc>
          <w:tcPr>
            <w:tcW w:type="dxa" w:w="2074"/>
          </w:tcPr>
          <w:p>
            <w:pPr>
              <w:keepNext w:val="0"/>
            </w:pPr>
            <w:r>
              <w:rPr>
                <w:sz w:val="18"/>
              </w:rPr>
              <w:t>Militia-centred</w:t>
            </w:r>
          </w:p>
        </w:tc>
        <w:tc>
          <w:tcPr>
            <w:tcW w:type="dxa" w:w="2074"/>
          </w:tcPr>
          <w:p>
            <w:pPr>
              <w:keepNext w:val="0"/>
            </w:pPr>
            <w:r>
              <w:rPr>
                <w:sz w:val="18"/>
              </w:rPr>
              <w:t>-0.990 [-1.725, -0.254]</w:t>
            </w:r>
          </w:p>
        </w:tc>
        <w:tc>
          <w:tcPr>
            <w:tcW w:type="dxa" w:w="2074"/>
          </w:tcPr>
          <w:p>
            <w:pPr>
              <w:keepNext w:val="0"/>
            </w:pPr>
            <w:r>
              <w:rPr>
                <w:sz w:val="18"/>
              </w:rPr>
              <w:t>456</w:t>
            </w:r>
          </w:p>
        </w:tc>
      </w:tr>
      <w:tr>
        <w:tc>
          <w:tcPr>
            <w:tcW w:type="dxa" w:w="2074"/>
          </w:tcPr>
          <w:p>
            <w:pPr>
              <w:keepNext w:val="0"/>
            </w:pPr>
            <w:r>
              <w:rPr>
                <w:sz w:val="18"/>
              </w:rPr>
              <w:t>tree cover loss</w:t>
            </w:r>
          </w:p>
        </w:tc>
        <w:tc>
          <w:tcPr>
            <w:tcW w:type="dxa" w:w="2074"/>
          </w:tcPr>
          <w:p>
            <w:pPr>
              <w:keepNext w:val="0"/>
            </w:pPr>
            <w:r>
              <w:rPr>
                <w:sz w:val="18"/>
              </w:rPr>
              <w:t>exclude_first_posttransition</w:t>
            </w:r>
          </w:p>
        </w:tc>
        <w:tc>
          <w:tcPr>
            <w:tcW w:type="dxa" w:w="2074"/>
          </w:tcPr>
          <w:p>
            <w:pPr>
              <w:keepNext w:val="0"/>
            </w:pPr>
            <w:r>
              <w:rPr>
                <w:sz w:val="18"/>
              </w:rPr>
              <w:t>Park-centred</w:t>
            </w:r>
          </w:p>
        </w:tc>
        <w:tc>
          <w:tcPr>
            <w:tcW w:type="dxa" w:w="2074"/>
          </w:tcPr>
          <w:p>
            <w:pPr>
              <w:keepNext w:val="0"/>
            </w:pPr>
            <w:r>
              <w:rPr>
                <w:sz w:val="18"/>
              </w:rPr>
              <w:t>-1.516 [-2.118, -0.914]</w:t>
            </w:r>
          </w:p>
        </w:tc>
        <w:tc>
          <w:tcPr>
            <w:tcW w:type="dxa" w:w="2074"/>
          </w:tcPr>
          <w:p>
            <w:pPr>
              <w:keepNext w:val="0"/>
            </w:pPr>
            <w:r>
              <w:rPr>
                <w:sz w:val="18"/>
              </w:rPr>
              <w:t>456</w:t>
            </w:r>
          </w:p>
        </w:tc>
      </w:tr>
      <w:tr>
        <w:tc>
          <w:tcPr>
            <w:tcW w:type="dxa" w:w="2074"/>
          </w:tcPr>
          <w:p>
            <w:pPr>
              <w:keepNext w:val="0"/>
            </w:pPr>
            <w:r>
              <w:rPr>
                <w:sz w:val="18"/>
              </w:rPr>
              <w:t>agriculture</w:t>
            </w:r>
          </w:p>
        </w:tc>
        <w:tc>
          <w:tcPr>
            <w:tcW w:type="dxa" w:w="2074"/>
          </w:tcPr>
          <w:p>
            <w:pPr>
              <w:keepNext w:val="0"/>
            </w:pPr>
            <w:r>
              <w:rPr>
                <w:sz w:val="18"/>
              </w:rPr>
              <w:t>exclude_first_posttransition</w:t>
            </w:r>
          </w:p>
        </w:tc>
        <w:tc>
          <w:tcPr>
            <w:tcW w:type="dxa" w:w="2074"/>
          </w:tcPr>
          <w:p>
            <w:pPr>
              <w:keepNext w:val="0"/>
            </w:pPr>
            <w:r>
              <w:rPr>
                <w:sz w:val="18"/>
              </w:rPr>
              <w:t>Fragmented</w:t>
            </w:r>
          </w:p>
        </w:tc>
        <w:tc>
          <w:tcPr>
            <w:tcW w:type="dxa" w:w="2074"/>
          </w:tcPr>
          <w:p>
            <w:pPr>
              <w:keepNext w:val="0"/>
            </w:pPr>
            <w:r>
              <w:rPr>
                <w:sz w:val="18"/>
              </w:rPr>
              <w:t>0.339 [-0.145, 0.823]</w:t>
            </w:r>
          </w:p>
        </w:tc>
        <w:tc>
          <w:tcPr>
            <w:tcW w:type="dxa" w:w="2074"/>
          </w:tcPr>
          <w:p>
            <w:pPr>
              <w:keepNext w:val="0"/>
            </w:pPr>
            <w:r>
              <w:rPr>
                <w:sz w:val="18"/>
              </w:rPr>
              <w:t>412</w:t>
            </w:r>
          </w:p>
        </w:tc>
      </w:tr>
      <w:tr>
        <w:tc>
          <w:tcPr>
            <w:tcW w:type="dxa" w:w="2074"/>
          </w:tcPr>
          <w:p>
            <w:pPr>
              <w:keepNext w:val="0"/>
            </w:pPr>
            <w:r>
              <w:rPr>
                <w:sz w:val="18"/>
              </w:rPr>
              <w:t>agriculture</w:t>
            </w:r>
          </w:p>
        </w:tc>
        <w:tc>
          <w:tcPr>
            <w:tcW w:type="dxa" w:w="2074"/>
          </w:tcPr>
          <w:p>
            <w:pPr>
              <w:keepNext w:val="0"/>
            </w:pPr>
            <w:r>
              <w:rPr>
                <w:sz w:val="18"/>
              </w:rPr>
              <w:t>exclude_first_posttransition</w:t>
            </w:r>
          </w:p>
        </w:tc>
        <w:tc>
          <w:tcPr>
            <w:tcW w:type="dxa" w:w="2074"/>
          </w:tcPr>
          <w:p>
            <w:pPr>
              <w:keepNext w:val="0"/>
            </w:pPr>
            <w:r>
              <w:rPr>
                <w:sz w:val="18"/>
              </w:rPr>
              <w:t>Militia-centred</w:t>
            </w:r>
          </w:p>
        </w:tc>
        <w:tc>
          <w:tcPr>
            <w:tcW w:type="dxa" w:w="2074"/>
          </w:tcPr>
          <w:p>
            <w:pPr>
              <w:keepNext w:val="0"/>
            </w:pPr>
            <w:r>
              <w:rPr>
                <w:sz w:val="18"/>
              </w:rPr>
              <w:t>0.311 [-0.057, 0.680]</w:t>
            </w:r>
          </w:p>
        </w:tc>
        <w:tc>
          <w:tcPr>
            <w:tcW w:type="dxa" w:w="2074"/>
          </w:tcPr>
          <w:p>
            <w:pPr>
              <w:keepNext w:val="0"/>
            </w:pPr>
            <w:r>
              <w:rPr>
                <w:sz w:val="18"/>
              </w:rPr>
              <w:t>412</w:t>
            </w:r>
          </w:p>
        </w:tc>
      </w:tr>
      <w:tr>
        <w:tc>
          <w:tcPr>
            <w:tcW w:type="dxa" w:w="2074"/>
          </w:tcPr>
          <w:p>
            <w:pPr>
              <w:keepNext w:val="0"/>
            </w:pPr>
            <w:r>
              <w:rPr>
                <w:sz w:val="18"/>
              </w:rPr>
              <w:t>agriculture</w:t>
            </w:r>
          </w:p>
        </w:tc>
        <w:tc>
          <w:tcPr>
            <w:tcW w:type="dxa" w:w="2074"/>
          </w:tcPr>
          <w:p>
            <w:pPr>
              <w:keepNext w:val="0"/>
            </w:pPr>
            <w:r>
              <w:rPr>
                <w:sz w:val="18"/>
              </w:rPr>
              <w:t>exclude_first_posttransition</w:t>
            </w:r>
          </w:p>
        </w:tc>
        <w:tc>
          <w:tcPr>
            <w:tcW w:type="dxa" w:w="2074"/>
          </w:tcPr>
          <w:p>
            <w:pPr>
              <w:keepNext w:val="0"/>
            </w:pPr>
            <w:r>
              <w:rPr>
                <w:sz w:val="18"/>
              </w:rPr>
              <w:t>Park-centred</w:t>
            </w:r>
          </w:p>
        </w:tc>
        <w:tc>
          <w:tcPr>
            <w:tcW w:type="dxa" w:w="2074"/>
          </w:tcPr>
          <w:p>
            <w:pPr>
              <w:keepNext w:val="0"/>
            </w:pPr>
            <w:r>
              <w:rPr>
                <w:sz w:val="18"/>
              </w:rPr>
              <w:t>-0.413 [-0.725, -0.100]</w:t>
            </w:r>
          </w:p>
        </w:tc>
        <w:tc>
          <w:tcPr>
            <w:tcW w:type="dxa" w:w="2074"/>
          </w:tcPr>
          <w:p>
            <w:pPr>
              <w:keepNext w:val="0"/>
            </w:pPr>
            <w:r>
              <w:rPr>
                <w:sz w:val="18"/>
              </w:rPr>
              <w:t>412</w:t>
            </w:r>
          </w:p>
        </w:tc>
      </w:tr>
      <w:tr>
        <w:tc>
          <w:tcPr>
            <w:tcW w:type="dxa" w:w="2074"/>
          </w:tcPr>
          <w:p>
            <w:pPr>
              <w:keepNext w:val="0"/>
            </w:pPr>
            <w:r>
              <w:rPr>
                <w:sz w:val="18"/>
              </w:rPr>
              <w:t>fire</w:t>
            </w:r>
          </w:p>
        </w:tc>
        <w:tc>
          <w:tcPr>
            <w:tcW w:type="dxa" w:w="2074"/>
          </w:tcPr>
          <w:p>
            <w:pPr>
              <w:keepNext w:val="0"/>
            </w:pPr>
            <w:r>
              <w:rPr>
                <w:sz w:val="18"/>
              </w:rPr>
              <w:t>exclude_first_two_posttransition</w:t>
            </w:r>
          </w:p>
        </w:tc>
        <w:tc>
          <w:tcPr>
            <w:tcW w:type="dxa" w:w="2074"/>
          </w:tcPr>
          <w:p>
            <w:pPr>
              <w:keepNext w:val="0"/>
            </w:pPr>
            <w:r>
              <w:rPr>
                <w:sz w:val="18"/>
              </w:rPr>
              <w:t>Fragmented</w:t>
            </w:r>
          </w:p>
        </w:tc>
        <w:tc>
          <w:tcPr>
            <w:tcW w:type="dxa" w:w="2074"/>
          </w:tcPr>
          <w:p>
            <w:pPr>
              <w:keepNext w:val="0"/>
            </w:pPr>
            <w:r>
              <w:rPr>
                <w:sz w:val="18"/>
              </w:rPr>
              <w:t>0.196 [0.129, 0.262]</w:t>
            </w:r>
          </w:p>
        </w:tc>
        <w:tc>
          <w:tcPr>
            <w:tcW w:type="dxa" w:w="2074"/>
          </w:tcPr>
          <w:p>
            <w:pPr>
              <w:keepNext w:val="0"/>
            </w:pPr>
            <w:r>
              <w:rPr>
                <w:sz w:val="18"/>
              </w:rPr>
              <w:t>295325</w:t>
            </w:r>
          </w:p>
        </w:tc>
      </w:tr>
      <w:tr>
        <w:tc>
          <w:tcPr>
            <w:tcW w:type="dxa" w:w="2074"/>
          </w:tcPr>
          <w:p>
            <w:pPr>
              <w:keepNext w:val="0"/>
            </w:pPr>
            <w:r>
              <w:rPr>
                <w:sz w:val="18"/>
              </w:rPr>
              <w:t>fire</w:t>
            </w:r>
          </w:p>
        </w:tc>
        <w:tc>
          <w:tcPr>
            <w:tcW w:type="dxa" w:w="2074"/>
          </w:tcPr>
          <w:p>
            <w:pPr>
              <w:keepNext w:val="0"/>
            </w:pPr>
            <w:r>
              <w:rPr>
                <w:sz w:val="18"/>
              </w:rPr>
              <w:t>exclude_first_two_posttransition</w:t>
            </w:r>
          </w:p>
        </w:tc>
        <w:tc>
          <w:tcPr>
            <w:tcW w:type="dxa" w:w="2074"/>
          </w:tcPr>
          <w:p>
            <w:pPr>
              <w:keepNext w:val="0"/>
            </w:pPr>
            <w:r>
              <w:rPr>
                <w:sz w:val="18"/>
              </w:rPr>
              <w:t>Militia-centred</w:t>
            </w:r>
          </w:p>
        </w:tc>
        <w:tc>
          <w:tcPr>
            <w:tcW w:type="dxa" w:w="2074"/>
          </w:tcPr>
          <w:p>
            <w:pPr>
              <w:keepNext w:val="0"/>
            </w:pPr>
            <w:r>
              <w:rPr>
                <w:sz w:val="18"/>
              </w:rPr>
              <w:t>0.009 [-0.095, 0.112]</w:t>
            </w:r>
          </w:p>
        </w:tc>
        <w:tc>
          <w:tcPr>
            <w:tcW w:type="dxa" w:w="2074"/>
          </w:tcPr>
          <w:p>
            <w:pPr>
              <w:keepNext w:val="0"/>
            </w:pPr>
            <w:r>
              <w:rPr>
                <w:sz w:val="18"/>
              </w:rPr>
              <w:t>295325</w:t>
            </w:r>
          </w:p>
        </w:tc>
      </w:tr>
      <w:tr>
        <w:tc>
          <w:tcPr>
            <w:tcW w:type="dxa" w:w="2074"/>
          </w:tcPr>
          <w:p>
            <w:pPr>
              <w:keepNext w:val="0"/>
            </w:pPr>
            <w:r>
              <w:rPr>
                <w:sz w:val="18"/>
              </w:rPr>
              <w:t>fire</w:t>
            </w:r>
          </w:p>
        </w:tc>
        <w:tc>
          <w:tcPr>
            <w:tcW w:type="dxa" w:w="2074"/>
          </w:tcPr>
          <w:p>
            <w:pPr>
              <w:keepNext w:val="0"/>
            </w:pPr>
            <w:r>
              <w:rPr>
                <w:sz w:val="18"/>
              </w:rPr>
              <w:t>exclude_first_two_posttransition</w:t>
            </w:r>
          </w:p>
        </w:tc>
        <w:tc>
          <w:tcPr>
            <w:tcW w:type="dxa" w:w="2074"/>
          </w:tcPr>
          <w:p>
            <w:pPr>
              <w:keepNext w:val="0"/>
            </w:pPr>
            <w:r>
              <w:rPr>
                <w:sz w:val="18"/>
              </w:rPr>
              <w:t>Park-centred</w:t>
            </w:r>
          </w:p>
        </w:tc>
        <w:tc>
          <w:tcPr>
            <w:tcW w:type="dxa" w:w="2074"/>
          </w:tcPr>
          <w:p>
            <w:pPr>
              <w:keepNext w:val="0"/>
            </w:pPr>
            <w:r>
              <w:rPr>
                <w:sz w:val="18"/>
              </w:rPr>
              <w:t>0.098 [0.026, 0.170]</w:t>
            </w:r>
          </w:p>
        </w:tc>
        <w:tc>
          <w:tcPr>
            <w:tcW w:type="dxa" w:w="2074"/>
          </w:tcPr>
          <w:p>
            <w:pPr>
              <w:keepNext w:val="0"/>
            </w:pPr>
            <w:r>
              <w:rPr>
                <w:sz w:val="18"/>
              </w:rPr>
              <w:t>295325</w:t>
            </w:r>
          </w:p>
        </w:tc>
      </w:tr>
      <w:tr>
        <w:tc>
          <w:tcPr>
            <w:tcW w:type="dxa" w:w="2074"/>
          </w:tcPr>
          <w:p>
            <w:pPr>
              <w:keepNext w:val="0"/>
            </w:pPr>
            <w:r>
              <w:rPr>
                <w:sz w:val="18"/>
              </w:rPr>
              <w:t>tree cover loss</w:t>
            </w:r>
          </w:p>
        </w:tc>
        <w:tc>
          <w:tcPr>
            <w:tcW w:type="dxa" w:w="2074"/>
          </w:tcPr>
          <w:p>
            <w:pPr>
              <w:keepNext w:val="0"/>
            </w:pPr>
            <w:r>
              <w:rPr>
                <w:sz w:val="18"/>
              </w:rPr>
              <w:t>exclude_first_two_posttransition</w:t>
            </w:r>
          </w:p>
        </w:tc>
        <w:tc>
          <w:tcPr>
            <w:tcW w:type="dxa" w:w="2074"/>
          </w:tcPr>
          <w:p>
            <w:pPr>
              <w:keepNext w:val="0"/>
            </w:pPr>
            <w:r>
              <w:rPr>
                <w:sz w:val="18"/>
              </w:rPr>
              <w:t>Fragmented</w:t>
            </w:r>
          </w:p>
        </w:tc>
        <w:tc>
          <w:tcPr>
            <w:tcW w:type="dxa" w:w="2074"/>
          </w:tcPr>
          <w:p>
            <w:pPr>
              <w:keepNext w:val="0"/>
            </w:pPr>
            <w:r>
              <w:rPr>
                <w:sz w:val="18"/>
              </w:rPr>
              <w:t>-0.758 [-1.372, -0.144]</w:t>
            </w:r>
          </w:p>
        </w:tc>
        <w:tc>
          <w:tcPr>
            <w:tcW w:type="dxa" w:w="2074"/>
          </w:tcPr>
          <w:p>
            <w:pPr>
              <w:keepNext w:val="0"/>
            </w:pPr>
            <w:r>
              <w:rPr>
                <w:sz w:val="18"/>
              </w:rPr>
              <w:t>362</w:t>
            </w:r>
          </w:p>
        </w:tc>
      </w:tr>
      <w:tr>
        <w:tc>
          <w:tcPr>
            <w:tcW w:type="dxa" w:w="2074"/>
          </w:tcPr>
          <w:p>
            <w:pPr>
              <w:keepNext w:val="0"/>
            </w:pPr>
            <w:r>
              <w:rPr>
                <w:sz w:val="18"/>
              </w:rPr>
              <w:t>tree cover loss</w:t>
            </w:r>
          </w:p>
        </w:tc>
        <w:tc>
          <w:tcPr>
            <w:tcW w:type="dxa" w:w="2074"/>
          </w:tcPr>
          <w:p>
            <w:pPr>
              <w:keepNext w:val="0"/>
            </w:pPr>
            <w:r>
              <w:rPr>
                <w:sz w:val="18"/>
              </w:rPr>
              <w:t>exclude_first_two_posttransition</w:t>
            </w:r>
          </w:p>
        </w:tc>
        <w:tc>
          <w:tcPr>
            <w:tcW w:type="dxa" w:w="2074"/>
          </w:tcPr>
          <w:p>
            <w:pPr>
              <w:keepNext w:val="0"/>
            </w:pPr>
            <w:r>
              <w:rPr>
                <w:sz w:val="18"/>
              </w:rPr>
              <w:t>Militia-centred</w:t>
            </w:r>
          </w:p>
        </w:tc>
        <w:tc>
          <w:tcPr>
            <w:tcW w:type="dxa" w:w="2074"/>
          </w:tcPr>
          <w:p>
            <w:pPr>
              <w:keepNext w:val="0"/>
            </w:pPr>
            <w:r>
              <w:rPr>
                <w:sz w:val="18"/>
              </w:rPr>
              <w:t>-0.848 [-1.869, 0.173]</w:t>
            </w:r>
          </w:p>
        </w:tc>
        <w:tc>
          <w:tcPr>
            <w:tcW w:type="dxa" w:w="2074"/>
          </w:tcPr>
          <w:p>
            <w:pPr>
              <w:keepNext w:val="0"/>
            </w:pPr>
            <w:r>
              <w:rPr>
                <w:sz w:val="18"/>
              </w:rPr>
              <w:t>362</w:t>
            </w:r>
          </w:p>
        </w:tc>
      </w:tr>
      <w:tr>
        <w:tc>
          <w:tcPr>
            <w:tcW w:type="dxa" w:w="2074"/>
          </w:tcPr>
          <w:p>
            <w:pPr>
              <w:keepNext w:val="0"/>
            </w:pPr>
            <w:r>
              <w:rPr>
                <w:sz w:val="18"/>
              </w:rPr>
              <w:t>tree cover loss</w:t>
            </w:r>
          </w:p>
        </w:tc>
        <w:tc>
          <w:tcPr>
            <w:tcW w:type="dxa" w:w="2074"/>
          </w:tcPr>
          <w:p>
            <w:pPr>
              <w:keepNext w:val="0"/>
            </w:pPr>
            <w:r>
              <w:rPr>
                <w:sz w:val="18"/>
              </w:rPr>
              <w:t>exclude_first_two_posttransition</w:t>
            </w:r>
          </w:p>
        </w:tc>
        <w:tc>
          <w:tcPr>
            <w:tcW w:type="dxa" w:w="2074"/>
          </w:tcPr>
          <w:p>
            <w:pPr>
              <w:keepNext w:val="0"/>
            </w:pPr>
            <w:r>
              <w:rPr>
                <w:sz w:val="18"/>
              </w:rPr>
              <w:t>Park-centred</w:t>
            </w:r>
          </w:p>
        </w:tc>
        <w:tc>
          <w:tcPr>
            <w:tcW w:type="dxa" w:w="2074"/>
          </w:tcPr>
          <w:p>
            <w:pPr>
              <w:keepNext w:val="0"/>
            </w:pPr>
            <w:r>
              <w:rPr>
                <w:sz w:val="18"/>
              </w:rPr>
              <w:t>-1.462 [-2.403, -0.521]</w:t>
            </w:r>
          </w:p>
        </w:tc>
        <w:tc>
          <w:tcPr>
            <w:tcW w:type="dxa" w:w="2074"/>
          </w:tcPr>
          <w:p>
            <w:pPr>
              <w:keepNext w:val="0"/>
            </w:pPr>
            <w:r>
              <w:rPr>
                <w:sz w:val="18"/>
              </w:rPr>
              <w:t>362</w:t>
            </w:r>
          </w:p>
        </w:tc>
      </w:tr>
      <w:tr>
        <w:tc>
          <w:tcPr>
            <w:tcW w:type="dxa" w:w="2074"/>
          </w:tcPr>
          <w:p>
            <w:pPr>
              <w:keepNext w:val="0"/>
            </w:pPr>
            <w:r>
              <w:rPr>
                <w:sz w:val="18"/>
              </w:rPr>
              <w:t>agriculture</w:t>
            </w:r>
          </w:p>
        </w:tc>
        <w:tc>
          <w:tcPr>
            <w:tcW w:type="dxa" w:w="2074"/>
          </w:tcPr>
          <w:p>
            <w:pPr>
              <w:keepNext w:val="0"/>
            </w:pPr>
            <w:r>
              <w:rPr>
                <w:sz w:val="18"/>
              </w:rPr>
              <w:t>exclude_first_two_posttransition</w:t>
            </w:r>
          </w:p>
        </w:tc>
        <w:tc>
          <w:tcPr>
            <w:tcW w:type="dxa" w:w="2074"/>
          </w:tcPr>
          <w:p>
            <w:pPr>
              <w:keepNext w:val="0"/>
            </w:pPr>
            <w:r>
              <w:rPr>
                <w:sz w:val="18"/>
              </w:rPr>
              <w:t>Fragmented</w:t>
            </w:r>
          </w:p>
        </w:tc>
        <w:tc>
          <w:tcPr>
            <w:tcW w:type="dxa" w:w="2074"/>
          </w:tcPr>
          <w:p>
            <w:pPr>
              <w:keepNext w:val="0"/>
            </w:pPr>
            <w:r>
              <w:rPr>
                <w:sz w:val="18"/>
              </w:rPr>
              <w:t>0.309 [-0.288, 0.906]</w:t>
            </w:r>
          </w:p>
        </w:tc>
        <w:tc>
          <w:tcPr>
            <w:tcW w:type="dxa" w:w="2074"/>
          </w:tcPr>
          <w:p>
            <w:pPr>
              <w:keepNext w:val="0"/>
            </w:pPr>
            <w:r>
              <w:rPr>
                <w:sz w:val="18"/>
              </w:rPr>
              <w:t>343</w:t>
            </w:r>
          </w:p>
        </w:tc>
      </w:tr>
      <w:tr>
        <w:tc>
          <w:tcPr>
            <w:tcW w:type="dxa" w:w="2074"/>
          </w:tcPr>
          <w:p>
            <w:pPr>
              <w:keepNext w:val="0"/>
            </w:pPr>
            <w:r>
              <w:rPr>
                <w:sz w:val="18"/>
              </w:rPr>
              <w:t>agriculture</w:t>
            </w:r>
          </w:p>
        </w:tc>
        <w:tc>
          <w:tcPr>
            <w:tcW w:type="dxa" w:w="2074"/>
          </w:tcPr>
          <w:p>
            <w:pPr>
              <w:keepNext w:val="0"/>
            </w:pPr>
            <w:r>
              <w:rPr>
                <w:sz w:val="18"/>
              </w:rPr>
              <w:t>exclude_first_two_posttransition</w:t>
            </w:r>
          </w:p>
        </w:tc>
        <w:tc>
          <w:tcPr>
            <w:tcW w:type="dxa" w:w="2074"/>
          </w:tcPr>
          <w:p>
            <w:pPr>
              <w:keepNext w:val="0"/>
            </w:pPr>
            <w:r>
              <w:rPr>
                <w:sz w:val="18"/>
              </w:rPr>
              <w:t>Militia-centred</w:t>
            </w:r>
          </w:p>
        </w:tc>
        <w:tc>
          <w:tcPr>
            <w:tcW w:type="dxa" w:w="2074"/>
          </w:tcPr>
          <w:p>
            <w:pPr>
              <w:keepNext w:val="0"/>
            </w:pPr>
            <w:r>
              <w:rPr>
                <w:sz w:val="18"/>
              </w:rPr>
              <w:t>0.315 [-0.149, 0.780]</w:t>
            </w:r>
          </w:p>
        </w:tc>
        <w:tc>
          <w:tcPr>
            <w:tcW w:type="dxa" w:w="2074"/>
          </w:tcPr>
          <w:p>
            <w:pPr>
              <w:keepNext w:val="0"/>
            </w:pPr>
            <w:r>
              <w:rPr>
                <w:sz w:val="18"/>
              </w:rPr>
              <w:t>343</w:t>
            </w:r>
          </w:p>
        </w:tc>
      </w:tr>
      <w:tr>
        <w:tc>
          <w:tcPr>
            <w:tcW w:type="dxa" w:w="2074"/>
          </w:tcPr>
          <w:p>
            <w:pPr>
              <w:keepNext w:val="0"/>
            </w:pPr>
            <w:r>
              <w:rPr>
                <w:sz w:val="18"/>
              </w:rPr>
              <w:t>agriculture</w:t>
            </w:r>
          </w:p>
        </w:tc>
        <w:tc>
          <w:tcPr>
            <w:tcW w:type="dxa" w:w="2074"/>
          </w:tcPr>
          <w:p>
            <w:pPr>
              <w:keepNext w:val="0"/>
            </w:pPr>
            <w:r>
              <w:rPr>
                <w:sz w:val="18"/>
              </w:rPr>
              <w:t>exclude_first_two_posttransition</w:t>
            </w:r>
          </w:p>
        </w:tc>
        <w:tc>
          <w:tcPr>
            <w:tcW w:type="dxa" w:w="2074"/>
          </w:tcPr>
          <w:p>
            <w:pPr>
              <w:keepNext w:val="0"/>
            </w:pPr>
            <w:r>
              <w:rPr>
                <w:sz w:val="18"/>
              </w:rPr>
              <w:t>Park-centred</w:t>
            </w:r>
          </w:p>
        </w:tc>
        <w:tc>
          <w:tcPr>
            <w:tcW w:type="dxa" w:w="2074"/>
          </w:tcPr>
          <w:p>
            <w:pPr>
              <w:keepNext w:val="0"/>
            </w:pPr>
            <w:r>
              <w:rPr>
                <w:sz w:val="18"/>
              </w:rPr>
              <w:t>-0.377 [-0.721, -0.033]</w:t>
            </w:r>
          </w:p>
        </w:tc>
        <w:tc>
          <w:tcPr>
            <w:tcW w:type="dxa" w:w="2074"/>
          </w:tcPr>
          <w:p>
            <w:pPr>
              <w:keepNext w:val="0"/>
            </w:pPr>
            <w:r>
              <w:rPr>
                <w:sz w:val="18"/>
              </w:rPr>
              <w:t>343</w:t>
            </w:r>
          </w:p>
        </w:tc>
      </w:tr>
    </w:tbl>
    <w:p>
      <w:pPr>
        <w:pStyle w:val="Heading1"/>
        <w:widowControl/>
      </w:pPr>
      <w:r>
        <w:t>Supplementary Figures</w:t>
      </w:r>
    </w:p>
    <w:p>
      <w:pPr>
        <w:keepNext/>
        <w:widowControl/>
        <w:jc w:val="center"/>
      </w:pPr>
      <w:r>
        <w:drawing>
          <wp:inline xmlns:a="http://schemas.openxmlformats.org/drawingml/2006/main" xmlns:pic="http://schemas.openxmlformats.org/drawingml/2006/picture">
            <wp:extent cx="5486400" cy="5181791"/>
            <wp:docPr id="1" name="Picture 1" title="Figure S1" descr="Sensitivity forest plots of pooled profile-specific disturbance contrasts across event thresholds and spatial domains for tree-cover loss, fire, and agricultural expansion; non-strict fire fits are muted or ope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181791"/>
                    </a:xfrm>
                    <a:prstGeom prst="rect"/>
                  </pic:spPr>
                </pic:pic>
              </a:graphicData>
            </a:graphic>
          </wp:inline>
        </w:drawing>
      </w:r>
    </w:p>
    <w:p>
      <w:pPr>
        <w:pStyle w:val="Caption"/>
        <w:keepNext w:val="0"/>
        <w:widowControl/>
      </w:pPr>
      <w:r>
        <w:t>Figure S1. Threshold and spatial-domain sensitivities. Points show pooled profile-specific inside–outside log-odds contrasts. The primary 25% / 10 km estimates are emphasised; muted or open fire symbols denote non-strict fits for which interval-based inference is not used. These checks assess specification sensitivity but do not resolve spatial or serial dependence.</w:t>
      </w:r>
    </w:p>
    <w:p>
      <w:pPr>
        <w:keepNext/>
        <w:widowControl/>
        <w:jc w:val="center"/>
      </w:pPr>
      <w:r>
        <w:drawing>
          <wp:inline xmlns:a="http://schemas.openxmlformats.org/drawingml/2006/main" xmlns:pic="http://schemas.openxmlformats.org/drawingml/2006/picture">
            <wp:extent cx="5486400" cy="5682938"/>
            <wp:docPr id="2" name="Picture 2" title="Figure S2" descr="Annual disturbance trajectories inside and outside Upemba National Park from 2001 to 2022 for recurrent fire, first tree-cover-loss threshold crossings, and first agricultural-expansion events in the Depression and Plateau, with the reconstructed territorial-control chronology below."/>
            <wp:cNvGraphicFramePr>
              <a:graphicFrameLocks noChangeAspect="1"/>
            </wp:cNvGraphicFramePr>
            <a:graphic>
              <a:graphicData uri="http://schemas.openxmlformats.org/drawingml/2006/picture">
                <pic:pic>
                  <pic:nvPicPr>
                    <pic:cNvPr id="0" name="_moved_annual_trajectories.png"/>
                    <pic:cNvPicPr/>
                  </pic:nvPicPr>
                  <pic:blipFill>
                    <a:blip r:embed="rId41"/>
                    <a:stretch>
                      <a:fillRect/>
                    </a:stretch>
                  </pic:blipFill>
                  <pic:spPr>
                    <a:xfrm>
                      <a:off x="0" y="0"/>
                      <a:ext cx="5486400" cy="5682938"/>
                    </a:xfrm>
                    <a:prstGeom prst="rect"/>
                  </pic:spPr>
                </pic:pic>
              </a:graphicData>
            </a:graphic>
          </wp:inline>
        </w:drawing>
      </w:r>
    </w:p>
    <w:p>
      <w:pPr>
        <w:pStyle w:val="Caption"/>
        <w:keepNext w:val="0"/>
        <w:widowControl/>
      </w:pPr>
      <w:r>
        <w:t>Figure S2. Annual disturbance trajectories inside and outside Upemba National Park, 2001–2022. Panels show the percentage of eligible 500 m cells affected by recurrent fire, first crossing of the cumulative tree-cover-loss threshold, and first agricultural expansion in the Depression and Plateau comparison groups. Dashed lines denote cells inside and solid lines cells outside the symmetric 10 km corridor. Shading shows the direction of the annual contrast; vertical lines and the lower strip show the independently reconstructed territorial-control chronology. Trajectories are descriptive; formal inference uses the outcome-specific models.</w:t>
      </w:r>
    </w:p>
    <w:p>
      <w:pPr>
        <w:keepNext/>
        <w:widowControl/>
      </w:pPr>
      <w:r>
        <w:drawing>
          <wp:inline xmlns:a="http://schemas.openxmlformats.org/drawingml/2006/main" xmlns:pic="http://schemas.openxmlformats.org/drawingml/2006/picture">
            <wp:extent cx="5852160" cy="4203664"/>
            <wp:docPr id="3" name="Picture 3"/>
            <wp:cNvGraphicFramePr>
              <a:graphicFrameLocks noChangeAspect="1"/>
            </wp:cNvGraphicFramePr>
            <a:graphic>
              <a:graphicData uri="http://schemas.openxmlformats.org/drawingml/2006/picture">
                <pic:pic>
                  <pic:nvPicPr>
                    <pic:cNvPr id="0" name="Figure_S3_rainfall_fire_2021.png"/>
                    <pic:cNvPicPr/>
                  </pic:nvPicPr>
                  <pic:blipFill>
                    <a:blip r:embed="rId42"/>
                    <a:stretch>
                      <a:fillRect/>
                    </a:stretch>
                  </pic:blipFill>
                  <pic:spPr>
                    <a:xfrm>
                      <a:off x="0" y="0"/>
                      <a:ext cx="5852160" cy="4203664"/>
                    </a:xfrm>
                    <a:prstGeom prst="rect"/>
                  </pic:spPr>
                </pic:pic>
              </a:graphicData>
            </a:graphic>
          </wp:inline>
        </w:drawing>
      </w:r>
    </w:p>
    <w:p>
      <w:pPr>
        <w:pStyle w:val="Caption"/>
        <w:keepNext w:val="0"/>
        <w:widowControl/>
      </w:pPr>
      <w:r>
        <w:t>Figure S3. Seasonal rainfall and mapped burning in 2021. Monthly rainfall and mapped burned area in the Depression and Plateau portions of the primary 10 km corridor on both sides of Upemba National Park's legal boundary (retained landscape groups 1 and 3). Panel A shows the area-weighted mean of CHIRPS v2.0 final monthly accumulated precipitation (mm); rainfall values are not summed across pixels. Panel B shows the area of native FireCCI51 pixels with a positive monthly detection date, weighted by their exact intersection with the same corridor (km²). WGS84 pixel areas and polygon-intersection fractions provide spatial weights. The area denominator for supplementary burned fractions is the entire group-specific corridor footprint. JD=-1 or invalid observations are missing; JD=-2 is non-burnable and is reported separately. Valid burnable pixels require JD=0 or a date in that month and confidence in 1–100; no additional confidence cutoff is imposed. A pixel contributes at most once per monthly composite; burns detected in different months can contribute repeatedly. Multiple burns within one monthly composite cannot be recovered. Detection dates may lag actual burning. All twelve months are unfiltered by seasonal DOY. The year was selected using monthly coverage among the two years with reusable official monthly inputs (2021–2022). Neither met the initial 95% every-group-month target; 2021 had higher minimum coverage (93.99% versus 71.92%) and is retained with explicit missing-area bounds. Rainfall coverage was complete; fire coverage exceeded 99.5% in every Depression month and 99.6% in Plateau months other than January (93.99%). Grey vertical ranges extend from mapped burned area to mapped burned plus missing area, bounding classification of unobserved pixels; they are not confidence intervals. Zero mapped area means no detected burning in observed pixels, not demonstrated absence in missing pixels. This single year illustrates seasonal co-occurrence, not causation, a long-term association or representative climatology. See rainfall_fire_monthly_2021.csv for monthly areas and coverage. Codex assisted the reproducible plotting code; the plotted values derive from the stated satellite products.</w:t>
      </w:r>
    </w:p>
    <w:p>
      <w:pPr>
        <w:widowControl/>
      </w:pPr>
      <w:r>
        <w:t>Data and code availability. Satellite products and acquisition links are public. The analytical repository is currently private; authors must confirm anonymised reviewer access and a persistent deposit before submission. Restricted historical evidence is not included in the public-data deliverables. Compact numerical outputs and acquisition/processing manifests accompany this review.</w:t>
      </w:r>
    </w:p>
    <w:p>
      <w:pPr>
        <w:pStyle w:val="Heading1"/>
        <w:widowControl/>
      </w:pPr>
      <w:r>
        <w:t>Supplementary References</w:t>
      </w:r>
    </w:p>
    <w:p>
      <w:pPr>
        <w:pStyle w:val="SupplementaryReference"/>
        <w:widowControl/>
      </w:pPr>
      <w:r>
        <w:t>Aerden, L. (2012). Rapport d’information n°26/2012. Organisation Kanyundu pour le Développement Intégral (OKA).</w:t>
      </w:r>
    </w:p>
    <w:p>
      <w:pPr>
        <w:pStyle w:val="SupplementaryReference"/>
        <w:widowControl/>
      </w:pPr>
      <w:r>
        <w:t>Brugière, D., 2020. Public-private partnership for protected areas: current situation and prospects in French-speaking Africa. IUCN-papaco.</w:t>
      </w:r>
    </w:p>
    <w:p>
      <w:pPr>
        <w:pStyle w:val="SupplementaryReference"/>
        <w:widowControl/>
      </w:pPr>
      <w:r>
        <w:t>Chief Kayumba. (2010). Letter recognising the 1975 boundaries of Upemba National Park. Unpublished correspondence.</w:t>
      </w:r>
    </w:p>
    <w:p>
      <w:pPr>
        <w:pStyle w:val="SupplementaryReference"/>
        <w:widowControl/>
      </w:pPr>
      <w:r>
        <w:t>Cunningham, H.K. (2024). The rangers turning the DRC’s ‘triangle of death’ back into a thriving wildlife reserve. The Guardian. URL https://www.theguardian.com/environment/article/2024/aug/20/drc-wildlife-reserve-upemba (accessed 2.6.26).</w:t>
      </w:r>
    </w:p>
    <w:p>
      <w:pPr>
        <w:pStyle w:val="SupplementaryReference"/>
        <w:widowControl/>
      </w:pPr>
      <w:r>
        <w:t>d’Huart, J.-P. (2017). Plan d’aménagement et de gestion (PAG). Internal report.</w:t>
      </w:r>
    </w:p>
    <w:p>
      <w:pPr>
        <w:pStyle w:val="SupplementaryReference"/>
        <w:widowControl/>
      </w:pPr>
      <w:r>
        <w:t>FZS. (2009). Projet 10e FED - Narrative Report. Internal project document, Frankfurt Zoological Society, Kinshasa.</w:t>
      </w:r>
    </w:p>
    <w:p>
      <w:pPr>
        <w:pStyle w:val="SupplementaryReference"/>
        <w:widowControl/>
      </w:pPr>
      <w:r>
        <w:t>Hance, J. (2012a). Gang raids remote National Park in the Democratic Republic of the Congo. Mongabay. URL https://news.mongabay.com/2012/07/gang-raids-remote-national-park-in-the-democratic-republic-of-the-congo/ (accessed 1.19.26).</w:t>
      </w:r>
    </w:p>
    <w:p>
      <w:pPr>
        <w:pStyle w:val="SupplementaryReference"/>
        <w:widowControl/>
      </w:pPr>
      <w:r>
        <w:t>Hance, J. (2012b). Conflict and perseverance: rehabilitating a forgotten park in the Congo. Mongabay. URL https://news.mongabay.com/2012/09/conflict-and-perseverance-rehabilitating-a-forgotten-park-in-the-congo/ (accessed 1.19.26).</w:t>
      </w:r>
    </w:p>
    <w:p>
      <w:pPr>
        <w:pStyle w:val="SupplementaryReference"/>
        <w:widowControl/>
      </w:pPr>
      <w:r>
        <w:t>Hasson, M. (2003). Upemba, le parc oublié. Brussels: Nouvelles Approches.</w:t>
      </w:r>
    </w:p>
    <w:p>
      <w:pPr>
        <w:pStyle w:val="SupplementaryReference"/>
        <w:widowControl/>
      </w:pPr>
      <w:r>
        <w:t>Hasson, M. (2015). Katanga. Des animaux et des hommes. Vol. 1: Les animaux et la société. Tervuren: Musée royal de l’Afrique centrale (MRAC).</w:t>
      </w:r>
    </w:p>
    <w:p>
      <w:pPr>
        <w:pStyle w:val="SupplementaryReference"/>
        <w:widowControl/>
      </w:pPr>
      <w:r>
        <w:t>Hecht, D. (2006). The peculiar terror that is northern Katanga. IRIN News, 13 February 2006. Archived at The New Humanitarian. Available at: https://www.thenewhumanitarian.org/report/58122/drc-peculiar-terror-northern-katanga (accessed 1.19.26).</w:t>
      </w:r>
    </w:p>
    <w:p>
      <w:pPr>
        <w:pStyle w:val="SupplementaryReference"/>
        <w:widowControl/>
      </w:pPr>
      <w:r>
        <w:t>Huisman, R. (2017). “Ik ben al drie keer op de loop moeten gaan” [WWW Document]. HBVL. URL https://www.hbvl.be/regio/limburg/ik-ben-al-drie-keer-op-de-loop-moeten-gaan/31994038.html (accessed 1.19.26).</w:t>
      </w:r>
    </w:p>
    <w:p>
      <w:pPr>
        <w:pStyle w:val="SupplementaryReference"/>
        <w:widowControl/>
      </w:pPr>
      <w:r>
        <w:t>Human Rights Watch. (2006). RD Congo: Les élections approchent, l’impunité perdure au Katanga. URL https://www.hrw.org/fr/news/2006/07/21/rd-congo-les-elections-approchent-limpunite-perdure-au-katanga (accessed 8.10.25).</w:t>
      </w:r>
    </w:p>
    <w:p>
      <w:pPr>
        <w:pStyle w:val="SupplementaryReference"/>
        <w:widowControl/>
      </w:pPr>
      <w:r>
        <w:t>IPIS. (2007). Mapping interests in conflict areas: Katanga (August 2007). IPIS. URL https://ipisresearch.be/publication/mapping-interests-conflict-areas-katanga/ (accessed 1.19.26).</w:t>
      </w:r>
    </w:p>
    <w:p>
      <w:pPr>
        <w:pStyle w:val="SupplementaryReference"/>
        <w:widowControl/>
      </w:pPr>
      <w:r>
        <w:t>IUCN NL. (2021). Exemplary conviction for the slaughter of elephants in the National Park of Upemba (DRC) [WWW Document]. URL https://www.iucn.nl/en/news/exemplary-conviction-for-the-slaughter-of-elephants-in-the-national-park-of-upemba-drc/ (accessed 7.19.26).</w:t>
      </w:r>
    </w:p>
    <w:p>
      <w:pPr>
        <w:pStyle w:val="SupplementaryReference"/>
        <w:widowControl/>
      </w:pPr>
      <w:r>
        <w:t>Katanga Protection Cluster. (2015). Violence, displacement and humanitarian action in Katanga: A report on the protection of civilians in the south-eastern DR Congo province of Katanga. Produced with the support of OCHA, May 2015. https://www.ecoi.net/en/file/local/1095206/1930_1401096604_kantaga-report-2014-final-english-22052014-001.pdf</w:t>
      </w:r>
    </w:p>
    <w:p>
      <w:pPr>
        <w:pStyle w:val="SupplementaryReference"/>
        <w:widowControl/>
      </w:pPr>
      <w:r>
        <w:t>Katembo, R. (2016). Rapport technique sur l’opération de gardiennage et protection des derniers éléphants du Katanga. Lusinga/Upemba National Park: ICCN.</w:t>
      </w:r>
    </w:p>
    <w:p>
      <w:pPr>
        <w:pStyle w:val="SupplementaryReference"/>
        <w:widowControl/>
      </w:pPr>
      <w:r>
        <w:t>Katembo, R. (2017). Rapport technique sur l’opération de gardiennage et protection des derniers éléphants du Katanga. Lusinga/Upemba National Park: ICCN.</w:t>
      </w:r>
    </w:p>
    <w:p>
      <w:pPr>
        <w:pStyle w:val="SupplementaryReference"/>
        <w:widowControl/>
      </w:pPr>
      <w:r>
        <w:t>Livingstone, E. (2024). A rainforest in Africa aims to reverse damage after years of conflict and neglect. NPR. URL https://www.npr.org/2024/11/12/nx-s1-5110010-e1/a-rainforest-in-africa-aims-to-reverse-damage-after-years-of-conflict-and-neglect (accessed 1.19.26).</w:t>
      </w:r>
    </w:p>
    <w:p>
      <w:pPr>
        <w:pStyle w:val="SupplementaryReference"/>
        <w:widowControl/>
      </w:pPr>
      <w:r>
        <w:t>MONUSCO. (2013). MONUSCO welcomes the separation of 82 children from Mayi Mayi Bakata Katanga. URL https://monusco.unmissions.org/en/news/monusco-welcomes-separation-82-children-mayi-mayi-bakata-katanga-0 (accessed 1.19.26).</w:t>
      </w:r>
    </w:p>
    <w:p>
      <w:pPr>
        <w:pStyle w:val="SupplementaryReference"/>
        <w:widowControl/>
      </w:pPr>
      <w:r>
        <w:t>Mululwa, K.J. (2008). Rapport sur les éléphants: Mission effectuée par le conservateur Mululwa dans la Zone Annexe du PNU-N du 16 Juillet au 9 Septembre 2008. ICCN.</w:t>
      </w:r>
    </w:p>
    <w:p>
      <w:pPr>
        <w:pStyle w:val="SupplementaryReference"/>
        <w:widowControl/>
      </w:pPr>
      <w:r>
        <w:t>Ngoy, K.P. (2015). A critical assessment of the security sector reforms in Central Africa: The case study of the Democratic Republic of Congo, Northern Katanga Province, 2011-2014. Master’s dissertation, Africa University, Institute of Peace, Leadership and Governance.</w:t>
      </w:r>
    </w:p>
    <w:p>
      <w:pPr>
        <w:pStyle w:val="SupplementaryReference"/>
        <w:widowControl/>
      </w:pPr>
      <w:r>
        <w:t>Nouvelles Approches. (2002-2004). Le Rhino Fantôme.</w:t>
      </w:r>
    </w:p>
    <w:p>
      <w:pPr>
        <w:pStyle w:val="SupplementaryReference"/>
        <w:widowControl/>
      </w:pPr>
      <w:r>
        <w:t>OCHA. (2013). D.R. Congo’s neglected “Triangle of Death”: The challenges of the protection of civilians in Katanga. URL https://www.unocha.org/publications/report/democratic-republic-congo/dr-congo%E2%80%99s-neglected-%E2%80%9Ctriangle-death%E2%80%9D-challenges-protection (accessed 1.19.26).</w:t>
      </w:r>
    </w:p>
    <w:p>
      <w:pPr>
        <w:pStyle w:val="SupplementaryReference"/>
        <w:widowControl/>
      </w:pPr>
      <w:r>
        <w:t>OKA Kanyundu. (2018). Realisations [WWW Document]. URL https://kanyundu.jouwweb.be/realisations (accessed 1.19.26).</w:t>
      </w:r>
    </w:p>
    <w:p>
      <w:pPr>
        <w:pStyle w:val="SupplementaryReference"/>
        <w:widowControl/>
      </w:pPr>
      <w:r>
        <w:t>Radio Okapi. (2010). Katanga: les FARDC ripostent à une attaque des Maï Maï à Luena, 5 morts [WWW Document]. Publié le sam, 27/11/2010 - 16:44. URL https://www.radiookapi.net/actualite/2010/11/27/katanga-les-fardc-ripostent-a-une-attaque-des-mai-mai-a-luena-5-morts (accessed 1.20.26).</w:t>
      </w:r>
    </w:p>
    <w:p>
      <w:pPr>
        <w:pStyle w:val="SupplementaryReference"/>
        <w:widowControl/>
      </w:pPr>
      <w:r>
        <w:t>Radio Okapi. (2012a). Katanga: 12 miliciens de Mitwaba se rendent aux autorités provinciales [WWW Document]. Publié le dim, 05/08/2012 - 11:23. URL https://www.radiookapi.net/actualite/2012/08/05/katanga-12-miliciens-de-mitwaba-se-rendent-aux-autorites-provinciales (accessed 1.20.26).</w:t>
      </w:r>
    </w:p>
    <w:p>
      <w:pPr>
        <w:pStyle w:val="SupplementaryReference"/>
        <w:widowControl/>
      </w:pPr>
      <w:r>
        <w:t>Radio Okapi. (2012b). Mitwaba: des hommes armés tuent le conservateur du parc de l’Upemba [WWW Document]. Publié le mar, 18/12/2012 - 13:55. URL https://www.radiookapi.net/environnement/2012/12/18/mitwaba-des-hommes-armes-tuent-le-conservateur-du-parc-de-lupemba (accessed 1.20.26).</w:t>
      </w:r>
    </w:p>
    <w:p>
      <w:pPr>
        <w:pStyle w:val="SupplementaryReference"/>
        <w:widowControl/>
      </w:pPr>
      <w:r>
        <w:t>Radio Okapi. (2013). Parc Upemba: l’ICCN veut refouler des éléphants et rapatrier 2 gardes retenus en otage par des Maï-Maï [WWW Document]. Publié le lun, 22/04/2013 - 16:46. URL https://www.radiookapi.net/actualite/2013/04/22/parc-upemba-liccn-veut-refouler-des-elephants-rapatrier-2-gardes-retenus-en-otage-par-des-mai-mai (accessed 1.20.26).</w:t>
      </w:r>
    </w:p>
    <w:p>
      <w:pPr>
        <w:pStyle w:val="SupplementaryReference"/>
        <w:widowControl/>
      </w:pPr>
      <w:r>
        <w:t>Radio Okapi. (2014a). Parc Upemba: l’ICCN accuse des villageois de se livrer au braconnage [WWW Document]. Published 14 March 2014; updated 8 August 2015. URL https://www.radiookapi.net/environnement/2014/03/14/parc-upemba-liccn-denonce-le-braconnage-des-habitants-dun-village-disperse/ (accessed 1.20.26).</w:t>
      </w:r>
    </w:p>
    <w:p>
      <w:pPr>
        <w:pStyle w:val="SupplementaryReference"/>
        <w:widowControl/>
      </w:pPr>
      <w:r>
        <w:t>Radio Okapi. (2014b). Deux attaques des miliciens Bakata Katanga enregistrées à Mitwaba [WWW Document]. Publié le mar, 04/11/2014 - 17:45. URL https://www.radiookapi.net/regions/katanga/2014/11/04/deux-attaques-des-miliciens-bakata-katanga-enregistrees-mitwaba (accessed 1.20.26).</w:t>
      </w:r>
    </w:p>
    <w:p>
      <w:pPr>
        <w:pStyle w:val="SupplementaryReference"/>
        <w:widowControl/>
      </w:pPr>
      <w:r>
        <w:t>Radio Okapi. (2014c). Katanga: les FARDC délogent les Maï-Maï Bakata Katanga de Musumari [WWW Document]. Publié le mer, 05/11/2014 - 14:22. URL https://www.radiookapi.net/actualite/2014/11/05/katanga-les-fardc-delogent-les-mai-mai-bakata-katanga-de-musumari (accessed 1.20.26).</w:t>
      </w:r>
    </w:p>
    <w:p>
      <w:pPr>
        <w:pStyle w:val="SupplementaryReference"/>
        <w:widowControl/>
      </w:pPr>
      <w:r>
        <w:t>Radio Okapi. (2014d). Katanga: les FARDC se déploient dans le parc de l’Upemba pour traquer des miliciens [WWW Document]. Publié le mer, 12/11/2014 - 16:56. URL https://www.radiookapi.net/environnement/2014/11/12/katanga-les-fardc-se-deploient-dans-le-parc-de-lupemba-pour-traquer-des-miliciens (accessed 1.20.26).</w:t>
      </w:r>
    </w:p>
    <w:p>
      <w:pPr>
        <w:pStyle w:val="SupplementaryReference"/>
        <w:widowControl/>
      </w:pPr>
      <w:r>
        <w:t>Radio Okapi. (2021). Construction d’un barrage dans le parc Upemba: 185 ONG saisissent Félix Tshisekedi [WWW Document]. Publié le lun, 11/10/2021 - 12:41. URL https://www.radiookapi.net/2021/10/11/actualite/societe/construction-dun-barrage-dans-le-parc-upemba-185-ong-saisissent-felix (accessed 1.20.26).</w:t>
      </w:r>
    </w:p>
    <w:p>
      <w:pPr>
        <w:pStyle w:val="SupplementaryReference"/>
        <w:widowControl/>
      </w:pPr>
      <w:r>
        <w:t>Radio Okapi. (2022a). Les FARDC annoncent avoir désarmé des miliciens Bakata Katanga à Mitwaba [WWW Document]. Publié le mar, 01/02/2022 - 16:03. URL https://www.radiookapi.net/2022/02/01/actualite/securite/les-fardc-annoncent-avoir-desarme-des-miliciens-bakata-katanga-mitwaba (accessed 7.19.26).</w:t>
      </w:r>
    </w:p>
    <w:p>
      <w:pPr>
        <w:pStyle w:val="SupplementaryReference"/>
        <w:widowControl/>
      </w:pPr>
      <w:r>
        <w:t>Radio Okapi. (2022b). Des tirs à Mitwaba à la suite du refus des Bakata Katanga de se rendre à Lubumbashi [WWW Document]. Publié le mer, 02/02/2022 - 13:07. URL https://www.radiookapi.net/2022/02/02/actualite/securite/des-tirs-mitwaba-la-suite-du-refus-des-bakata-katanga-de-se-rendre (accessed 7.19.26).</w:t>
      </w:r>
    </w:p>
    <w:p>
      <w:pPr>
        <w:pStyle w:val="SupplementaryReference"/>
        <w:widowControl/>
      </w:pPr>
      <w:r>
        <w:t>Radio Okapi. (2024). RDC: le parc national d’Upemba célèbre ses 85 ans sous le signe de résilience en conservation [WWW Document]. Publié le mer, 15/05/2024 - 18:02. URL https://www.radiookapi.net/2024/05/15/actualite/societe/rdc-le-parc-national-dupemba-celebre-ses-85-ans-sous-le-signe-de (accessed 1.20.26).</w:t>
      </w:r>
    </w:p>
    <w:p>
      <w:pPr>
        <w:pStyle w:val="SupplementaryReference"/>
        <w:widowControl/>
      </w:pPr>
      <w:r>
        <w:t>Spittaels, S., &amp; Meynen, N. (2007). Cartographie des intérêts dans les zones de conflit: le cas du Katanga. Antwerp: IPIS.</w:t>
      </w:r>
    </w:p>
    <w:p>
      <w:pPr>
        <w:pStyle w:val="SupplementaryReference"/>
        <w:widowControl/>
      </w:pPr>
      <w:r>
        <w:t>Unknown author. (2010). Lettre du chef de Kilenge à Kasenga-Mondwe. Unpublished correspondence.</w:t>
      </w:r>
    </w:p>
    <w:p>
      <w:pPr>
        <w:pStyle w:val="SupplementaryReference"/>
        <w:widowControl/>
      </w:pPr>
      <w:r>
        <w:t>Upemba National Park. (2024). The High Cost of Conservation in the DRC [WWW Document]. Upemba National Park. URL https://www.upemba.org/post/the-high-cost-of-conservation-in-the-drc (accessed 1.19.26).</w:t>
      </w:r>
    </w:p>
    <w:p>
      <w:pPr>
        <w:pStyle w:val="SupplementaryReference"/>
        <w:widowControl/>
      </w:pPr>
      <w:r>
        <w:t>Van Acker, F., &amp; Vlassenroot, K. (2001). Les «maï-maï» et les fonctions de la violence milicienne dans l’est du Congo. Politique africaine, 84, 103-116. https://doi.org/10.3917/polaf.084.0103</w:t>
      </w:r>
    </w:p>
    <w:p>
      <w:pPr>
        <w:pStyle w:val="SupplementaryReference"/>
        <w:widowControl/>
      </w:pPr>
      <w:r>
        <w:t>Van Leeuwe, H., Henschel, P., Pélissier, C., &amp; Moyer, D. (2009). Recensement des grands mammifères et impacts humains: Parcs Nationaux de l’Upemba et de Kundelungu, RDC. Kinshasa: ICCN/WCS/USFWS/Panthera.</w:t>
      </w:r>
    </w:p>
    <w:p>
      <w:pPr>
        <w:pStyle w:val="SupplementaryReference"/>
        <w:widowControl/>
      </w:pPr>
      <w:r>
        <w:t>Villaespesa, P. (2020). Underprivileged youth become proud park rangers. IUCN NL. URL https://www.iucn.nl/en/story/underprivileged-youth-become-proud-park-rangers/ (accessed 1.19.26).</w:t>
      </w:r>
    </w:p>
    <w:sectPr>
      <w:footerReference w:type="default" r:id="rId38"/>
      <w:pgSz w:w="12240" w:h="15840"/>
      <w:pgMar w:top="936" w:right="936" w:bottom="936" w:left="93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conciliation review" w:initials="RR" w:date="2026-09-10T10:23:54Z">
    <w:p>
      <w:pPr>
        <w:pStyle w:val="CommentText"/>
      </w:pPr>
      <w:r>
        <w:rPr>
          <w:rStyle w:val="CommentReference"/>
        </w:rPr>
        <w:annotationRef/>
      </w:r>
      <w:r>
        <w:t>Review supplement: S5–S7 and Tables S18–S21 contain the verified corrections. The S7 Word document described in the request was unavailable. Reconcile its comments before submission.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E942" w14:textId="77777777">
      <w:pPr>
        <w:spacing w:after="0" w:line="240" w:lineRule="auto"/>
      </w:pPr>
      <w:r>
        <w:separator/>
      </w:r>
    </w:p>
  </w:endnote>
  <w:endnote w:type="continuationSeparator" w:id="0">
    <w:p w14:paraId="5C454DB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0892" w14:textId="77777777">
    <w:pPr>
      <w:pStyle w:val="Footer"/>
      <w:jc w:val="center"/>
    </w:pPr>
    <w:r>
      <w:fldChar w:fldCharType="begin"/>
    </w:r>
    <w:r>
      <w:instrText>PAGE</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D688" w14:textId="77777777">
    <w:pPr>
      <w:pStyle w:val="Footer"/>
      <w:jc w:val="center"/>
    </w:pPr>
    <w:r>
      <w:fldChar w:fldCharType="begin"/>
    </w:r>
    <w:r>
      <w:instrText>PAGE</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2E247" w14:textId="77777777">
      <w:pPr>
        <w:spacing w:after="0" w:line="240" w:lineRule="auto"/>
      </w:pPr>
      <w:r>
        <w:separator/>
      </w:r>
    </w:p>
  </w:footnote>
  <w:footnote w:type="continuationSeparator" w:id="0">
    <w:p w14:paraId="5FECA0B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554668">
    <w:abstractNumId w:val="8"/>
  </w:num>
  <w:num w:numId="2" w16cid:durableId="1192106539">
    <w:abstractNumId w:val="6"/>
  </w:num>
  <w:num w:numId="3" w16cid:durableId="895244247">
    <w:abstractNumId w:val="5"/>
  </w:num>
  <w:num w:numId="4" w16cid:durableId="296035144">
    <w:abstractNumId w:val="4"/>
  </w:num>
  <w:num w:numId="5" w16cid:durableId="333187847">
    <w:abstractNumId w:val="7"/>
  </w:num>
  <w:num w:numId="6" w16cid:durableId="1800415460">
    <w:abstractNumId w:val="3"/>
  </w:num>
  <w:num w:numId="7" w16cid:durableId="1110929039">
    <w:abstractNumId w:val="2"/>
  </w:num>
  <w:num w:numId="8" w16cid:durableId="416828123">
    <w:abstractNumId w:val="1"/>
  </w:num>
  <w:num w:numId="9" w16cid:durableId="208332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BD"/>
    <w:rsid w:val="00034616"/>
    <w:rsid w:val="00057BB3"/>
    <w:rsid w:val="0006063C"/>
    <w:rsid w:val="000A1587"/>
    <w:rsid w:val="000A1A7C"/>
    <w:rsid w:val="000A47C4"/>
    <w:rsid w:val="000F325A"/>
    <w:rsid w:val="000F3B45"/>
    <w:rsid w:val="00101991"/>
    <w:rsid w:val="00115608"/>
    <w:rsid w:val="00117154"/>
    <w:rsid w:val="001317D8"/>
    <w:rsid w:val="00144F25"/>
    <w:rsid w:val="0015074B"/>
    <w:rsid w:val="001617BD"/>
    <w:rsid w:val="00183087"/>
    <w:rsid w:val="00186D70"/>
    <w:rsid w:val="001B6323"/>
    <w:rsid w:val="001C627C"/>
    <w:rsid w:val="001E0DBD"/>
    <w:rsid w:val="001F3E11"/>
    <w:rsid w:val="001F6563"/>
    <w:rsid w:val="002039A6"/>
    <w:rsid w:val="00206246"/>
    <w:rsid w:val="002115A6"/>
    <w:rsid w:val="002348CC"/>
    <w:rsid w:val="00250727"/>
    <w:rsid w:val="002619A6"/>
    <w:rsid w:val="0026225B"/>
    <w:rsid w:val="0029639D"/>
    <w:rsid w:val="002A38E1"/>
    <w:rsid w:val="002B4AC6"/>
    <w:rsid w:val="002B602E"/>
    <w:rsid w:val="002C1936"/>
    <w:rsid w:val="002F39CF"/>
    <w:rsid w:val="00314C1E"/>
    <w:rsid w:val="00326F90"/>
    <w:rsid w:val="00331560"/>
    <w:rsid w:val="00336201"/>
    <w:rsid w:val="00360739"/>
    <w:rsid w:val="00377390"/>
    <w:rsid w:val="003956FA"/>
    <w:rsid w:val="003B4AB5"/>
    <w:rsid w:val="003C4A1A"/>
    <w:rsid w:val="003F0952"/>
    <w:rsid w:val="003F30D2"/>
    <w:rsid w:val="00431CCD"/>
    <w:rsid w:val="00487AC6"/>
    <w:rsid w:val="004A2B76"/>
    <w:rsid w:val="00515109"/>
    <w:rsid w:val="005271BE"/>
    <w:rsid w:val="005B5EB2"/>
    <w:rsid w:val="005C7C64"/>
    <w:rsid w:val="00612FC5"/>
    <w:rsid w:val="00646C68"/>
    <w:rsid w:val="00667E41"/>
    <w:rsid w:val="006A5832"/>
    <w:rsid w:val="006A75A1"/>
    <w:rsid w:val="006D4B27"/>
    <w:rsid w:val="006E5C0F"/>
    <w:rsid w:val="00716CF4"/>
    <w:rsid w:val="00723991"/>
    <w:rsid w:val="0077057F"/>
    <w:rsid w:val="007822C0"/>
    <w:rsid w:val="00786D9F"/>
    <w:rsid w:val="007A50C1"/>
    <w:rsid w:val="007B12F0"/>
    <w:rsid w:val="007C3335"/>
    <w:rsid w:val="00801A65"/>
    <w:rsid w:val="00821C6D"/>
    <w:rsid w:val="00835AC8"/>
    <w:rsid w:val="00843F36"/>
    <w:rsid w:val="00882D9C"/>
    <w:rsid w:val="008A0D68"/>
    <w:rsid w:val="008A51B2"/>
    <w:rsid w:val="008D3622"/>
    <w:rsid w:val="008D751D"/>
    <w:rsid w:val="008E32C1"/>
    <w:rsid w:val="00914C46"/>
    <w:rsid w:val="009444CD"/>
    <w:rsid w:val="0094752F"/>
    <w:rsid w:val="0099476B"/>
    <w:rsid w:val="009A1BA1"/>
    <w:rsid w:val="009E459C"/>
    <w:rsid w:val="00A23246"/>
    <w:rsid w:val="00A35436"/>
    <w:rsid w:val="00A45DBA"/>
    <w:rsid w:val="00A82174"/>
    <w:rsid w:val="00A83AA4"/>
    <w:rsid w:val="00A96D95"/>
    <w:rsid w:val="00AA1D8D"/>
    <w:rsid w:val="00AB271E"/>
    <w:rsid w:val="00AB4C29"/>
    <w:rsid w:val="00AC0267"/>
    <w:rsid w:val="00AC0D18"/>
    <w:rsid w:val="00AD3ED0"/>
    <w:rsid w:val="00AD40C6"/>
    <w:rsid w:val="00AD7069"/>
    <w:rsid w:val="00B02325"/>
    <w:rsid w:val="00B20EB7"/>
    <w:rsid w:val="00B34FDB"/>
    <w:rsid w:val="00B457E5"/>
    <w:rsid w:val="00B47730"/>
    <w:rsid w:val="00B51E39"/>
    <w:rsid w:val="00B61235"/>
    <w:rsid w:val="00B7076B"/>
    <w:rsid w:val="00BA2EC4"/>
    <w:rsid w:val="00BB30D0"/>
    <w:rsid w:val="00BB6DF5"/>
    <w:rsid w:val="00BF1414"/>
    <w:rsid w:val="00C11BDD"/>
    <w:rsid w:val="00C14F97"/>
    <w:rsid w:val="00C15666"/>
    <w:rsid w:val="00C20997"/>
    <w:rsid w:val="00C3082F"/>
    <w:rsid w:val="00C46DB0"/>
    <w:rsid w:val="00C9461A"/>
    <w:rsid w:val="00CB0664"/>
    <w:rsid w:val="00CF30DB"/>
    <w:rsid w:val="00CF4085"/>
    <w:rsid w:val="00D1773A"/>
    <w:rsid w:val="00D24DC3"/>
    <w:rsid w:val="00D334E0"/>
    <w:rsid w:val="00D406A2"/>
    <w:rsid w:val="00D64AB4"/>
    <w:rsid w:val="00D7784F"/>
    <w:rsid w:val="00D85D45"/>
    <w:rsid w:val="00D91C2B"/>
    <w:rsid w:val="00DB4638"/>
    <w:rsid w:val="00DD494A"/>
    <w:rsid w:val="00DD725C"/>
    <w:rsid w:val="00DE6C03"/>
    <w:rsid w:val="00DF74F3"/>
    <w:rsid w:val="00E01B44"/>
    <w:rsid w:val="00E0417D"/>
    <w:rsid w:val="00E05A26"/>
    <w:rsid w:val="00E3426D"/>
    <w:rsid w:val="00E45772"/>
    <w:rsid w:val="00E46061"/>
    <w:rsid w:val="00E5014F"/>
    <w:rsid w:val="00E53999"/>
    <w:rsid w:val="00E82BFF"/>
    <w:rsid w:val="00ED2188"/>
    <w:rsid w:val="00EE2F87"/>
    <w:rsid w:val="00F0029B"/>
    <w:rsid w:val="00F06876"/>
    <w:rsid w:val="00F2249A"/>
    <w:rsid w:val="00F27F0A"/>
    <w:rsid w:val="00F43E85"/>
    <w:rsid w:val="00F51F8B"/>
    <w:rsid w:val="00F52BB1"/>
    <w:rsid w:val="00F575D5"/>
    <w:rsid w:val="00F95AEB"/>
    <w:rsid w:val="00FB5318"/>
    <w:rsid w:val="00FC1D01"/>
    <w:rsid w:val="00FC693F"/>
    <w:rsid w:val="00FE1708"/>
    <w:rsid w:val="00FE5F99"/>
    <w:rsid w:val="00FF6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1ABFE"/>
  <w14:defaultImageDpi w14:val="300"/>
  <w15:docId w15:val="{D9BA4A86-E4C8-456A-A393-B27C5C5C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C1E"/>
    <w:pPr>
      <w:spacing w:line="240" w:lineRule="auto" w:after="60"/>
      <w:jc w:val="both"/>
    </w:pPr>
    <w:rPr>
      <w:rFonts w:ascii="Times New Roman" w:hAnsi="Times New Roman" w:eastAsia="Times New Roman"/>
      <w:color w:val="000000" w:themeColor="text1"/>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jc w:val="both"/>
    </w:pPr>
    <w:rPr>
      <w:rFonts w:ascii="Times New Roman" w:hAnsi="Times New Roman" w:eastAsia="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271BD"/>
    <w:pPr>
      <w:keepNext/>
      <w:spacing w:before="60" w:after="60" w:line="240" w:lineRule="auto"/>
      <w:jc w:val="both"/>
    </w:pPr>
    <w:rPr>
      <w:rFonts w:ascii="Times New Roman" w:hAnsi="Times New Roman" w:eastAsia="Times New Roman"/>
      <w:bCs/>
      <w:i w:val="0"/>
      <w:color w:val="auto"/>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Note">
    <w:name w:val="Supplement Note"/>
    <w:pPr>
      <w:spacing w:after="120"/>
    </w:pPr>
    <w:rPr>
      <w:rFonts w:ascii="Arial" w:hAnsi="Arial"/>
      <w:i/>
      <w:color w:val="505050"/>
      <w:sz w:val="17"/>
    </w:rPr>
  </w:style>
  <w:style w:type="character" w:styleId="Hyperlink">
    <w:name w:val="Hyperlink"/>
    <w:basedOn w:val="DefaultParagraphFont"/>
    <w:uiPriority w:val="99"/>
    <w:unhideWhenUsed/>
    <w:rsid w:val="00A23246"/>
    <w:rPr>
      <w:color w:val="0000FF" w:themeColor="hyperlink"/>
      <w:u w:val="single"/>
    </w:rPr>
  </w:style>
  <w:style w:type="table" w:styleId="PlainTable2">
    <w:name w:val="Plain Table 2"/>
    <w:basedOn w:val="TableNormal"/>
    <w:uiPriority w:val="99"/>
    <w:rsid w:val="00801A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pplementaryReference">
    <w:name w:val="Supplementary Reference"/>
    <w:pPr>
      <w:spacing w:after="40"/>
      <w:ind w:left="259" w:hanging="259"/>
    </w:pPr>
    <w:rPr>
      <w:rFonts w:ascii="Times New Roman" w:hAnsi="Times New Roman" w:eastAsia="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oi.net/en/file/local/1095206/1930_1401096604_kantaga-report-2014-final-english-22052014-001.pdf" TargetMode="External"/><Relationship Id="rId18" Type="http://schemas.openxmlformats.org/officeDocument/2006/relationships/hyperlink" Target="https://www.hbvl.be/regio/limburg/ik-ben-al-drie-keer-op-de-loop-moeten-gaan/31994038.html" TargetMode="External"/><Relationship Id="rId26" Type="http://schemas.openxmlformats.org/officeDocument/2006/relationships/hyperlink" Target="https://www.radiookapi.net/actualite/2012/08/05/katanga-12-miliciens-de-mitwaba-se-rendent-aux-autorites-provinciales" TargetMode="External"/><Relationship Id="rId39" Type="http://schemas.openxmlformats.org/officeDocument/2006/relationships/fontTable" Target="fontTable.xml"/><Relationship Id="rId21" Type="http://schemas.openxmlformats.org/officeDocument/2006/relationships/hyperlink" Target="https://www.npr.org/2024/11/12/nx-s1-5110010-e1/a-rainforest-in-africa-aims-to-reverse-damage-after-years-of-conflict-and-neglect" TargetMode="External"/><Relationship Id="rId34" Type="http://schemas.openxmlformats.org/officeDocument/2006/relationships/hyperlink" Target="https://www.radiookapi.net/2024/05/15/actualite/societe/rdc-le-parc-national-dupemba-celebre-ses-85-ans-sous-le-signe-de"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thenewhumanitarian.org/report/58122/drc-peculiar-terror-northern-katanga" TargetMode="External"/><Relationship Id="rId25" Type="http://schemas.openxmlformats.org/officeDocument/2006/relationships/hyperlink" Target="https://www.radiookapi.net/actualite/2010/11/27/katanga-les-fardc-ripostent-a-une-attaque-des-mai-mai-a-luena-5-morts" TargetMode="External"/><Relationship Id="rId33" Type="http://schemas.openxmlformats.org/officeDocument/2006/relationships/hyperlink" Target="https://www.radiookapi.net/2021/10/11/actualite/societe/construction-dun-barrage-dans-le-parc-upemba-185-ong-saisissent-felix"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news.mongabay.com/2012/09/conflict-and-perseverance-rehabilitating-a-forgotten-park-in-the-congo/" TargetMode="External"/><Relationship Id="rId20" Type="http://schemas.openxmlformats.org/officeDocument/2006/relationships/hyperlink" Target="https://ipisresearch.be/publication/mapping-interests-conflict-areas-katanga/" TargetMode="External"/><Relationship Id="rId29" Type="http://schemas.openxmlformats.org/officeDocument/2006/relationships/hyperlink" Target="https://www.radiookapi.net/environnement/2014/03/14/parc-upemba-liccn-denonce-le-braconnage-des-habitants-dun-village-disper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kanyundu.jouwweb.be/realisations" TargetMode="External"/><Relationship Id="rId32" Type="http://schemas.openxmlformats.org/officeDocument/2006/relationships/hyperlink" Target="https://www.radiookapi.net/environnement/2014/11/12/katanga-les-fardc-se-deploient-dans-le-parc-de-lupemba-pour-traquer-des-miliciens" TargetMode="External"/><Relationship Id="rId37" Type="http://schemas.openxmlformats.org/officeDocument/2006/relationships/hyperlink" Target="https://www.iucn.nl/en/story/underprivileged-youth-become-proud-park-rangers/"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ews.mongabay.com/2012/07/gang-raids-remote-national-park-in-the-democratic-republic-of-the-congo/" TargetMode="External"/><Relationship Id="rId23" Type="http://schemas.openxmlformats.org/officeDocument/2006/relationships/hyperlink" Target="https://www.unocha.org/publications/report/democratic-republic-congo/dr-congo%E2%80%99s-neglected-%E2%80%9Ctriangle-death%E2%80%9D-challenges-protection" TargetMode="External"/><Relationship Id="rId28" Type="http://schemas.openxmlformats.org/officeDocument/2006/relationships/hyperlink" Target="https://www.radiookapi.net/actualite/2013/04/22/parc-upemba-liccn-veut-refouler-des-elephants-rapatrier-2-gardes-retenus-en-otage-par-des-mai-mai" TargetMode="External"/><Relationship Id="rId36" Type="http://schemas.openxmlformats.org/officeDocument/2006/relationships/hyperlink" Target="https://doi.org/10.3917/polaf.084.0103" TargetMode="External"/><Relationship Id="rId10" Type="http://schemas.openxmlformats.org/officeDocument/2006/relationships/endnotes" Target="endnotes.xml"/><Relationship Id="rId19" Type="http://schemas.openxmlformats.org/officeDocument/2006/relationships/hyperlink" Target="https://www.hrw.org/fr/news/2006/07/21/rd-congo-les-elections-approchent-limpunite-perdure-au-katanga" TargetMode="External"/><Relationship Id="rId31" Type="http://schemas.openxmlformats.org/officeDocument/2006/relationships/hyperlink" Target="https://www.radiookapi.net/actualite/2014/11/05/katanga-les-fardc-delogent-les-mai-mai-bakata-katanga-de-musumar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heguardian.com/environment/article/2024/aug/20/drc-wildlife-reserve-upemba" TargetMode="External"/><Relationship Id="rId22" Type="http://schemas.openxmlformats.org/officeDocument/2006/relationships/hyperlink" Target="https://monusco.unmissions.org/en/news/monusco-welcomes-separation-82-children-mayi-mayi-bakata-katanga-0" TargetMode="External"/><Relationship Id="rId27" Type="http://schemas.openxmlformats.org/officeDocument/2006/relationships/hyperlink" Target="https://www.radiookapi.net/environnement/2012/12/18/mitwaba-des-hommes-armes-tuent-le-conservateur-du-parc-de-lupemba" TargetMode="External"/><Relationship Id="rId30" Type="http://schemas.openxmlformats.org/officeDocument/2006/relationships/hyperlink" Target="https://www.radiookapi.net/regions/katanga/2014/11/04/deux-attaques-des-miliciens-bakata-katanga-enregistrees-mitwaba" TargetMode="External"/><Relationship Id="rId35" Type="http://schemas.openxmlformats.org/officeDocument/2006/relationships/hyperlink" Target="https://www.upemba.org/post/the-high-cost-of-conservation-in-the-drc" TargetMode="External"/><Relationship Id="rId8" Type="http://schemas.openxmlformats.org/officeDocument/2006/relationships/webSettings" Target="webSettings.xml"/><Relationship Id="rId3" Type="http://schemas.openxmlformats.org/officeDocument/2006/relationships/customXml" Target="../customXml/item3.xml"/><Relationship Id="rId41" Type="http://schemas.openxmlformats.org/officeDocument/2006/relationships/image" Target="media/image2.png"/><Relationship Id="rId42" Type="http://schemas.openxmlformats.org/officeDocument/2006/relationships/image" Target="media/image3.png"/><Relationship Id="rId4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D1282D1D65395498BFDC10766BA048B" ma:contentTypeVersion="11" ma:contentTypeDescription="Create a new document." ma:contentTypeScope="" ma:versionID="57c20495b6ef69bfd9793ebc648d82d8">
  <xsd:schema xmlns:xsd="http://www.w3.org/2001/XMLSchema" xmlns:xs="http://www.w3.org/2001/XMLSchema" xmlns:p="http://schemas.microsoft.com/office/2006/metadata/properties" xmlns:ns2="407ba6af-89b5-4291-81d0-1afa5a3b8325" xmlns:ns3="135140ae-a164-4bee-af04-3373c0c7da45" targetNamespace="http://schemas.microsoft.com/office/2006/metadata/properties" ma:root="true" ma:fieldsID="4bb3000479e89b14b2ac0a0fd0a43e9b" ns2:_="" ns3:_="">
    <xsd:import namespace="407ba6af-89b5-4291-81d0-1afa5a3b8325"/>
    <xsd:import namespace="135140ae-a164-4bee-af04-3373c0c7da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ba6af-89b5-4291-81d0-1afa5a3b8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5140ae-a164-4bee-af04-3373c0c7da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ff7cc8-0d00-4c75-a364-2caef57c4614}" ma:internalName="TaxCatchAll" ma:showField="CatchAllData" ma:web="135140ae-a164-4bee-af04-3373c0c7da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07ba6af-89b5-4291-81d0-1afa5a3b8325">
      <Terms xmlns="http://schemas.microsoft.com/office/infopath/2007/PartnerControls"/>
    </lcf76f155ced4ddcb4097134ff3c332f>
    <TaxCatchAll xmlns="135140ae-a164-4bee-af04-3373c0c7da4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4991B1-71EB-45FD-BD02-D460CD1CD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ba6af-89b5-4291-81d0-1afa5a3b8325"/>
    <ds:schemaRef ds:uri="135140ae-a164-4bee-af04-3373c0c7d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B3532-24AB-4FBC-BB03-F8D31DAD9967}">
  <ds:schemaRefs>
    <ds:schemaRef ds:uri="http://schemas.microsoft.com/sharepoint/v3/contenttype/forms"/>
  </ds:schemaRefs>
</ds:datastoreItem>
</file>

<file path=customXml/itemProps4.xml><?xml version="1.0" encoding="utf-8"?>
<ds:datastoreItem xmlns:ds="http://schemas.openxmlformats.org/officeDocument/2006/customXml" ds:itemID="{BA71E479-18A4-4F13-BCC4-CD6EB42E3EFC}">
  <ds:schemaRefs>
    <ds:schemaRef ds:uri="http://schemas.microsoft.com/office/2006/metadata/properties"/>
    <ds:schemaRef ds:uri="http://schemas.microsoft.com/office/infopath/2007/PartnerControls"/>
    <ds:schemaRef ds:uri="407ba6af-89b5-4291-81d0-1afa5a3b8325"/>
    <ds:schemaRef ds:uri="135140ae-a164-4bee-af04-3373c0c7da45"/>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6470</Words>
  <Characters>36884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Separating environmental outcomes from conservation attribution under changing territorial control</dc:title>
  <dc:subject>Supplementary material for Biological Conservation</dc:subject>
  <dc:creator/>
  <cp:keywords/>
  <dc:description/>
  <cp:lastModifiedBy/>
  <cp:revision>127</cp:revision>
  <dcterms:created xsi:type="dcterms:W3CDTF">2013-12-23T23:15:00Z</dcterms:created>
  <dcterms:modified xsi:type="dcterms:W3CDTF">2026-07-18T16:25:00Z</dcterms:modified>
  <cp:category/>
</cp:coreProperties>
</file>