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60CA5C" w14:textId="66FF0D7F" w:rsidR="0083356E" w:rsidRDefault="0010660A" w:rsidP="0083356E">
      <w:pPr>
        <w:pStyle w:val="Title"/>
      </w:pPr>
      <w:r>
        <w:t>A protected-area boundary separates tree-cover loss but not fire under fragmented territorial control</w:t>
      </w:r>
    </w:p>
    <w:p w14:paraId="00A49821" w14:textId="39AE4E74" w:rsidR="002F4157" w:rsidRDefault="002F4157" w:rsidP="00FF4A3F">
      <w:pPr>
        <w:pStyle w:val="Heading1"/>
      </w:pPr>
      <w:r>
        <w:t>Abstract</w:t>
      </w:r>
    </w:p>
    <w:p w14:paraId="726C86ED" w14:textId="363E5DA1" w:rsidR="00352442" w:rsidRPr="0086046F" w:rsidRDefault="008613EE" w:rsidP="00352442">
      <w:r w:rsidRPr="008613EE">
        <w:t xml:space="preserve">In conflict-affected protected areas, conservation outcomes are often </w:t>
      </w:r>
      <w:r w:rsidR="005C7A42">
        <w:t>unknown</w:t>
      </w:r>
      <w:r w:rsidRPr="008613EE">
        <w:t xml:space="preserve"> because insecurity and politically selective </w:t>
      </w:r>
      <w:r w:rsidR="00D76B39">
        <w:t>self-</w:t>
      </w:r>
      <w:r w:rsidRPr="008613EE">
        <w:t xml:space="preserve">reporting limit independent evaluation. </w:t>
      </w:r>
      <w:r w:rsidR="006C00FC" w:rsidRPr="006C00FC">
        <w:t xml:space="preserve">We ask whether openly available remote-sensing data can </w:t>
      </w:r>
      <w:r w:rsidR="00EB6D7E">
        <w:t>reveal</w:t>
      </w:r>
      <w:r w:rsidR="006C00FC" w:rsidRPr="006C00FC">
        <w:t xml:space="preserve"> interpretable signals of governance-linked territorial </w:t>
      </w:r>
      <w:r w:rsidR="00EB6D7E">
        <w:t>control</w:t>
      </w:r>
      <w:r w:rsidR="006C00FC" w:rsidRPr="006C00FC">
        <w:t xml:space="preserve"> across a protected-area boundary</w:t>
      </w:r>
      <w:r w:rsidRPr="008613EE">
        <w:t>. Using Upemba National Park</w:t>
      </w:r>
      <w:r w:rsidR="00EB6D7E">
        <w:t xml:space="preserve"> in</w:t>
      </w:r>
      <w:r w:rsidRPr="008613EE">
        <w:t xml:space="preserve"> Democratic Republic of Congo, </w:t>
      </w:r>
      <w:r w:rsidR="0009394B" w:rsidRPr="0009394B">
        <w:t>we estimate annual differences in deforestation, agricultural expansion, and dry-season fire inside versus outside the park after stratifying the landscape by exposure to disturbance</w:t>
      </w:r>
      <w:r w:rsidRPr="008613EE">
        <w:t xml:space="preserve">. </w:t>
      </w:r>
      <w:r w:rsidR="0078542B" w:rsidRPr="0078542B">
        <w:t xml:space="preserve">We relate these </w:t>
      </w:r>
      <w:r w:rsidR="00EB4558">
        <w:t>differences</w:t>
      </w:r>
      <w:r w:rsidR="0078542B" w:rsidRPr="0078542B">
        <w:t xml:space="preserve"> to three governance </w:t>
      </w:r>
      <w:r w:rsidR="00EB4558">
        <w:t>profiles</w:t>
      </w:r>
      <w:r w:rsidR="0078542B" w:rsidRPr="0078542B">
        <w:t xml:space="preserve"> reconstructed from the historical archive: </w:t>
      </w:r>
      <w:r w:rsidR="00C53E96" w:rsidRPr="00C53E96">
        <w:t xml:space="preserve">a </w:t>
      </w:r>
      <w:r w:rsidR="002E6E32">
        <w:t>profile</w:t>
      </w:r>
      <w:r w:rsidR="00C53E96" w:rsidRPr="00C53E96">
        <w:t xml:space="preserve"> with </w:t>
      </w:r>
      <w:r w:rsidR="00FA4100">
        <w:t xml:space="preserve">both </w:t>
      </w:r>
      <w:r w:rsidR="00C53E96" w:rsidRPr="00C53E96">
        <w:t xml:space="preserve">weak </w:t>
      </w:r>
      <w:r w:rsidR="00FA7C31">
        <w:t>p</w:t>
      </w:r>
      <w:r w:rsidR="00C53E96" w:rsidRPr="00C53E96">
        <w:t>ark</w:t>
      </w:r>
      <w:r w:rsidR="00FA4100">
        <w:t xml:space="preserve"> authority</w:t>
      </w:r>
      <w:r w:rsidR="00C53E96" w:rsidRPr="00C53E96">
        <w:t xml:space="preserve"> and weak militia presence, a militia-dominant </w:t>
      </w:r>
      <w:r w:rsidR="002E6E32">
        <w:t>profile</w:t>
      </w:r>
      <w:r w:rsidR="00C53E96" w:rsidRPr="00C53E96">
        <w:t xml:space="preserve">, and a </w:t>
      </w:r>
      <w:r w:rsidR="00FA7C31">
        <w:t>p</w:t>
      </w:r>
      <w:r w:rsidR="00C53E96" w:rsidRPr="00C53E96">
        <w:t xml:space="preserve">ark-dominant </w:t>
      </w:r>
      <w:r w:rsidR="003F35F1">
        <w:t>profile</w:t>
      </w:r>
      <w:r w:rsidR="00807687" w:rsidRPr="00807687">
        <w:t>.</w:t>
      </w:r>
      <w:r w:rsidRPr="008613EE">
        <w:t xml:space="preserve"> </w:t>
      </w:r>
      <w:r w:rsidR="005C5EF3">
        <w:t>We found that u</w:t>
      </w:r>
      <w:r w:rsidR="00091AAA" w:rsidRPr="00091AAA">
        <w:t xml:space="preserve">nder the </w:t>
      </w:r>
      <w:r w:rsidR="00317CFA">
        <w:t>p</w:t>
      </w:r>
      <w:r w:rsidR="00091AAA" w:rsidRPr="00091AAA">
        <w:t xml:space="preserve">ark-dominant </w:t>
      </w:r>
      <w:r w:rsidR="005C5EF3">
        <w:t>profile</w:t>
      </w:r>
      <w:r w:rsidR="00091AAA" w:rsidRPr="00091AAA">
        <w:t xml:space="preserve">, </w:t>
      </w:r>
      <w:r w:rsidR="00D23627" w:rsidRPr="00D23627">
        <w:t>both deforestation and agricultural expansion are lower inside the park than outside</w:t>
      </w:r>
      <w:r w:rsidR="00D24F9C" w:rsidRPr="00D24F9C">
        <w:t>.</w:t>
      </w:r>
      <w:r w:rsidR="003171A4">
        <w:t xml:space="preserve"> </w:t>
      </w:r>
      <w:r w:rsidR="00AC3FC8">
        <w:t>The same pattern was observed under the militia-dominant profile</w:t>
      </w:r>
      <w:r w:rsidR="008826E6">
        <w:t>, yet the decrease in agricultural expansion was less robust</w:t>
      </w:r>
      <w:r w:rsidR="00495F76">
        <w:t xml:space="preserve">. Dry season fires were consistently </w:t>
      </w:r>
      <w:r w:rsidR="00A12C30">
        <w:t>more frequent inside the park than outside, under all three governance profiles</w:t>
      </w:r>
      <w:r w:rsidR="0037439D" w:rsidRPr="0037439D">
        <w:t>.</w:t>
      </w:r>
      <w:r w:rsidR="0037439D">
        <w:t xml:space="preserve"> </w:t>
      </w:r>
      <w:r w:rsidR="0066738B" w:rsidRPr="0066738B">
        <w:t>Placebo models with randomized inside–outside labels do not reproduce these patterns, indicating that the observed relationships depend on the</w:t>
      </w:r>
      <w:r w:rsidR="008A028D">
        <w:t xml:space="preserve"> </w:t>
      </w:r>
      <w:r w:rsidR="0066738B" w:rsidRPr="0066738B">
        <w:t>park boundary.</w:t>
      </w:r>
      <w:r w:rsidRPr="008613EE">
        <w:t xml:space="preserve"> </w:t>
      </w:r>
      <w:commentRangeStart w:id="0"/>
      <w:r w:rsidR="00352442" w:rsidRPr="008613EE">
        <w:t>Open remote sensing</w:t>
      </w:r>
      <w:r w:rsidR="00352442">
        <w:t xml:space="preserve"> data</w:t>
      </w:r>
      <w:r w:rsidR="00352442" w:rsidRPr="008613EE">
        <w:t xml:space="preserve"> can </w:t>
      </w:r>
      <w:r w:rsidR="00562DB8">
        <w:t>thus reveal</w:t>
      </w:r>
      <w:r w:rsidR="00352442" w:rsidRPr="008613EE">
        <w:t xml:space="preserve"> meaningful </w:t>
      </w:r>
      <w:commentRangeEnd w:id="0"/>
      <w:r w:rsidR="00352442" w:rsidRPr="00806FE2">
        <w:rPr>
          <w:rStyle w:val="CommentReference"/>
          <w:sz w:val="24"/>
          <w:szCs w:val="22"/>
        </w:rPr>
        <w:commentReference w:id="0"/>
      </w:r>
      <w:r w:rsidR="001C5A93" w:rsidRPr="00806FE2">
        <w:t>governance-linked territorial control signals</w:t>
      </w:r>
      <w:r w:rsidR="00352442" w:rsidRPr="008613EE">
        <w:t xml:space="preserve">. </w:t>
      </w:r>
      <w:r w:rsidR="004D0D29">
        <w:t>Reduced anthropogenic activities</w:t>
      </w:r>
      <w:commentRangeStart w:id="1"/>
      <w:r w:rsidR="00352442" w:rsidRPr="008613EE">
        <w:t xml:space="preserve">, however, are </w:t>
      </w:r>
      <w:r w:rsidR="00A40AC9">
        <w:t>highly context dependent</w:t>
      </w:r>
      <w:r w:rsidR="00352442" w:rsidRPr="008613EE">
        <w:t xml:space="preserve"> and cannot be read straightforwardly as evidence of legitimate conservation success</w:t>
      </w:r>
      <w:r w:rsidR="00352442" w:rsidRPr="0086046F">
        <w:t>.</w:t>
      </w:r>
      <w:commentRangeEnd w:id="1"/>
      <w:r w:rsidR="00352442" w:rsidRPr="0086046F">
        <w:rPr>
          <w:rStyle w:val="CommentReference"/>
          <w:sz w:val="24"/>
          <w:szCs w:val="22"/>
        </w:rPr>
        <w:commentReference w:id="1"/>
      </w:r>
    </w:p>
    <w:p w14:paraId="022EC1EB" w14:textId="223910CF" w:rsidR="00FF4A3F" w:rsidRDefault="00DC21EE" w:rsidP="00FF4A3F">
      <w:pPr>
        <w:pStyle w:val="Heading1"/>
      </w:pPr>
      <w:r>
        <w:t xml:space="preserve">1. </w:t>
      </w:r>
      <w:r w:rsidR="00FF4A3F">
        <w:t>Introduction</w:t>
      </w:r>
    </w:p>
    <w:p w14:paraId="179A5879" w14:textId="3B637A9B" w:rsidR="00462281" w:rsidRPr="00A959EA" w:rsidRDefault="00462281" w:rsidP="00462281">
      <w:pPr>
        <w:spacing w:after="160" w:line="278" w:lineRule="auto"/>
      </w:pPr>
      <w:r w:rsidRPr="00A959EA">
        <w:t>Conservation outcomes are particularly difficult to assess in conflict-affected protected areas, where insecurity, weak monitoring systems, restricted field access, and politically sensitive reporting often obscure what is happening on the ground (de Merode et al., 2007; Galliers et al., 2022). In such settings, claims about management effectiveness are frequently based on sparse, non-public, or self-reported evidence, while incentives linked to funding, reputation, and crisis response can encourage selective narration of success, failure, or urgency (Leverington et al., 2010; Coad et al., 2015; Bia</w:t>
      </w:r>
      <w:r w:rsidR="00644A8D">
        <w:t>l</w:t>
      </w:r>
      <w:r w:rsidRPr="00A959EA">
        <w:t xml:space="preserve">owolski et al., 2023). </w:t>
      </w:r>
      <w:r w:rsidR="004D659B" w:rsidRPr="004D659B">
        <w:t>The methodological problem is therefore not only limited data but also limited independent verification, especially under shifting access and unstable authority</w:t>
      </w:r>
      <w:r w:rsidRPr="00A959EA">
        <w:t xml:space="preserve">. </w:t>
      </w:r>
      <w:r w:rsidR="00637DAB" w:rsidRPr="00637DAB">
        <w:t xml:space="preserve">Under these conditions, it becomes difficult to determine whether observed ecological change reflects effective protection, institutional weakness, coercive control, </w:t>
      </w:r>
      <w:r w:rsidR="00637DAB" w:rsidRPr="00637DAB">
        <w:lastRenderedPageBreak/>
        <w:t xml:space="preserve">displacement, or simply the opacity of the setting </w:t>
      </w:r>
      <w:r w:rsidRPr="00A959EA">
        <w:t>(</w:t>
      </w:r>
      <w:r w:rsidR="00A772EC" w:rsidRPr="00A772EC">
        <w:t>Fromont et al.</w:t>
      </w:r>
      <w:r w:rsidR="00A772EC">
        <w:t xml:space="preserve">, </w:t>
      </w:r>
      <w:r w:rsidR="00A772EC" w:rsidRPr="00A772EC">
        <w:t>2024; Leverington et al.</w:t>
      </w:r>
      <w:r w:rsidR="00A772EC">
        <w:t xml:space="preserve">, </w:t>
      </w:r>
      <w:r w:rsidR="00A772EC" w:rsidRPr="00A772EC">
        <w:t>2010; Coad et al.</w:t>
      </w:r>
      <w:r w:rsidR="00A772EC">
        <w:t xml:space="preserve">, </w:t>
      </w:r>
      <w:r w:rsidR="00A772EC" w:rsidRPr="00A772EC">
        <w:t>2015</w:t>
      </w:r>
      <w:r w:rsidRPr="00A959EA">
        <w:t>).</w:t>
      </w:r>
    </w:p>
    <w:p w14:paraId="1740D454" w14:textId="7AED451B" w:rsidR="00462281" w:rsidRPr="00A959EA" w:rsidRDefault="00462281" w:rsidP="00462281">
      <w:pPr>
        <w:spacing w:after="160" w:line="278" w:lineRule="auto"/>
      </w:pPr>
      <w:r w:rsidRPr="00A959EA">
        <w:t>Remote sensing offers one way to reduce that opacity because it can detect many forms of anthropogenic landscape disturbance independently of park reporting, including</w:t>
      </w:r>
      <w:r w:rsidR="00A06447" w:rsidRPr="00A06447">
        <w:t xml:space="preserve"> </w:t>
      </w:r>
      <w:r w:rsidR="00A06447" w:rsidRPr="00A959EA">
        <w:t>fire</w:t>
      </w:r>
      <w:r w:rsidR="00A06447">
        <w:t xml:space="preserve"> (Chuvieco et al., 2018)</w:t>
      </w:r>
      <w:r w:rsidR="00A06447" w:rsidRPr="00A959EA">
        <w:t>,</w:t>
      </w:r>
      <w:r w:rsidR="00A06447">
        <w:t xml:space="preserve"> </w:t>
      </w:r>
      <w:r w:rsidRPr="00A959EA">
        <w:t>deforestation</w:t>
      </w:r>
      <w:r w:rsidR="00A06447">
        <w:t xml:space="preserve"> (Hansen et al., 2013)</w:t>
      </w:r>
      <w:r w:rsidRPr="00A959EA">
        <w:t xml:space="preserve">, </w:t>
      </w:r>
      <w:r w:rsidR="00A06447">
        <w:t xml:space="preserve">and </w:t>
      </w:r>
      <w:r w:rsidRPr="00A959EA">
        <w:t>agricultural expansion</w:t>
      </w:r>
      <w:r w:rsidR="00A06447">
        <w:t xml:space="preserve"> (Lou et al., 2025)</w:t>
      </w:r>
      <w:r w:rsidRPr="00A959EA">
        <w:t>, all of which are relevant to conservation evaluation (Hogue and Breon, 2022</w:t>
      </w:r>
      <w:r w:rsidR="568BE656">
        <w:t>; Kelly et al., 2020</w:t>
      </w:r>
      <w:r>
        <w:t>).</w:t>
      </w:r>
      <w:r w:rsidRPr="00A959EA">
        <w:t xml:space="preserve"> This makes </w:t>
      </w:r>
      <w:r w:rsidR="00930693">
        <w:t>remote sensing</w:t>
      </w:r>
      <w:r w:rsidRPr="00A959EA">
        <w:t xml:space="preserve"> valuable where conservation monitoring is constrained</w:t>
      </w:r>
      <w:r w:rsidR="00813F57">
        <w:t xml:space="preserve"> </w:t>
      </w:r>
      <w:r w:rsidR="00813F57" w:rsidRPr="00A959EA">
        <w:t>(Blankespoor et al., 2017; Gohr et al., 2022; McNicol et al., 2023)</w:t>
      </w:r>
      <w:r w:rsidRPr="00A959EA">
        <w:t xml:space="preserve">. </w:t>
      </w:r>
      <w:r w:rsidR="0000574F" w:rsidRPr="0000574F">
        <w:t xml:space="preserve">Yet remotely sensed outcomes are not self-explanatory. </w:t>
      </w:r>
      <w:r w:rsidR="004D233E">
        <w:t>Less anthropogenic activities</w:t>
      </w:r>
      <w:r w:rsidR="0000574F" w:rsidRPr="0000574F">
        <w:t xml:space="preserve"> inside a protected</w:t>
      </w:r>
      <w:r w:rsidR="008A340A">
        <w:t xml:space="preserve"> </w:t>
      </w:r>
      <w:r w:rsidR="0000574F" w:rsidRPr="0000574F">
        <w:t xml:space="preserve">area may indicate effective stewardship, but it may also reflect inaccessibility, coercive exclusion, or displaced pressure elsewhere. </w:t>
      </w:r>
      <w:r w:rsidR="00133539" w:rsidRPr="00133539">
        <w:t>Remote sensing can establish whether protection is associated with measurable changes in land-surface pressures, but not by itself what forms of power, enforcement, or exclusion produced those changes. Nor can it show how completely those effects are registered by the disturbance metric used</w:t>
      </w:r>
      <w:r w:rsidR="00813F57">
        <w:t xml:space="preserve">. </w:t>
      </w:r>
      <w:r w:rsidR="00E426B7">
        <w:t>A</w:t>
      </w:r>
      <w:r w:rsidR="00E8602D" w:rsidRPr="00E8602D">
        <w:t xml:space="preserve"> challenge is therefore whether conservation-relevant outcomes detected by remote sensing can recover historically interpretable signals of governance-linked territorial </w:t>
      </w:r>
      <w:commentRangeStart w:id="2"/>
      <w:r w:rsidR="00E92AE9">
        <w:t>control</w:t>
      </w:r>
      <w:r w:rsidR="00E8602D" w:rsidRPr="00E8602D">
        <w:t>.</w:t>
      </w:r>
      <w:commentRangeEnd w:id="2"/>
      <w:r w:rsidR="00252F9C" w:rsidRPr="00A959EA">
        <w:rPr>
          <w:rStyle w:val="CommentReference"/>
          <w:sz w:val="24"/>
          <w:szCs w:val="22"/>
        </w:rPr>
        <w:commentReference w:id="2"/>
      </w:r>
    </w:p>
    <w:p w14:paraId="2D1E6119" w14:textId="7B6D46DC" w:rsidR="00462281" w:rsidRPr="00A959EA" w:rsidRDefault="00462281" w:rsidP="00462281">
      <w:pPr>
        <w:spacing w:after="160" w:line="278" w:lineRule="auto"/>
      </w:pPr>
      <w:r w:rsidRPr="00A959EA">
        <w:t>This paper addresses that problem by focusing on governance-linked territorial control</w:t>
      </w:r>
      <w:r w:rsidR="005C0CD8">
        <w:t>, i.e.,</w:t>
      </w:r>
      <w:r w:rsidRPr="00A959EA">
        <w:t xml:space="preserve"> the practical capacity of different actors to shape who can enter, extract, cultivate, settle, or burn across a protected-area boundary. </w:t>
      </w:r>
      <w:r w:rsidR="008273E1" w:rsidRPr="008273E1">
        <w:t>Such control may be exercised by formal conservation authorities, non-state armed groups, local power holders, or shifting combinations of coercive actors whose institutional status, legitimacy, and conservation intent differ markedly</w:t>
      </w:r>
      <w:r w:rsidRPr="00A959EA">
        <w:t xml:space="preserve"> (de Merode et al., 2007; Marijnen and Verweijen, 2016; Duffy et al., 2019). </w:t>
      </w:r>
      <w:r w:rsidR="008C1D5F" w:rsidRPr="008C1D5F">
        <w:t xml:space="preserve">If these actors materially shape human use, their influence should appear in changing differences between </w:t>
      </w:r>
      <w:r w:rsidR="00562660">
        <w:t>the sides</w:t>
      </w:r>
      <w:r w:rsidR="008C1D5F" w:rsidRPr="008C1D5F">
        <w:t xml:space="preserve"> of the protected</w:t>
      </w:r>
      <w:r w:rsidR="00562660">
        <w:t xml:space="preserve"> </w:t>
      </w:r>
      <w:r w:rsidR="008C1D5F" w:rsidRPr="008C1D5F">
        <w:t>area boundary after conditioning on baseline exposure to disturbance</w:t>
      </w:r>
      <w:r w:rsidRPr="00A959EA">
        <w:t xml:space="preserve">. </w:t>
      </w:r>
      <w:r w:rsidR="001241D2" w:rsidRPr="001241D2">
        <w:t xml:space="preserve">We ask whether freely available remote-sensing data can recover such patterns as interpretable signals of governance-linked territorial </w:t>
      </w:r>
      <w:r w:rsidR="0052008F">
        <w:t>control</w:t>
      </w:r>
      <w:r w:rsidR="001241D2" w:rsidRPr="001241D2">
        <w:t xml:space="preserve"> across a protected-area boundary, and whether governance </w:t>
      </w:r>
      <w:r w:rsidR="00EF3C41">
        <w:t>profiles</w:t>
      </w:r>
      <w:r w:rsidR="001241D2" w:rsidRPr="001241D2">
        <w:t xml:space="preserve"> reconstructed from the historical archive coincide with </w:t>
      </w:r>
      <w:r w:rsidR="00EF3C41">
        <w:t>these</w:t>
      </w:r>
      <w:r w:rsidR="001241D2" w:rsidRPr="001241D2">
        <w:t xml:space="preserve"> patterns.</w:t>
      </w:r>
    </w:p>
    <w:p w14:paraId="017FD9F9" w14:textId="7CCC027C" w:rsidR="00462281" w:rsidRPr="00A959EA" w:rsidRDefault="00BC23BA" w:rsidP="00462281">
      <w:pPr>
        <w:spacing w:after="160" w:line="278" w:lineRule="auto"/>
      </w:pPr>
      <w:r w:rsidRPr="00BC23BA">
        <w:t xml:space="preserve">Upemba National Park in the Democratic Republic of Congo provides a suitable test case because territorial control has shifted repeatedly </w:t>
      </w:r>
      <w:r w:rsidR="003E3427">
        <w:t>over the last quarter century, i.e. the period for which remote sensing data is</w:t>
      </w:r>
      <w:r w:rsidR="003F1A66">
        <w:t xml:space="preserve"> readily</w:t>
      </w:r>
      <w:r w:rsidR="003E3427">
        <w:t xml:space="preserve"> available</w:t>
      </w:r>
      <w:commentRangeStart w:id="3"/>
      <w:r w:rsidR="00462281" w:rsidRPr="00A959EA">
        <w:t xml:space="preserve">. </w:t>
      </w:r>
      <w:commentRangeEnd w:id="3"/>
      <w:r>
        <w:rPr>
          <w:rStyle w:val="CommentReference"/>
          <w:sz w:val="24"/>
          <w:szCs w:val="22"/>
        </w:rPr>
        <w:commentReference w:id="3"/>
      </w:r>
      <w:r w:rsidR="008306C7">
        <w:t>Upemba</w:t>
      </w:r>
      <w:r w:rsidR="00462281" w:rsidRPr="00A959EA">
        <w:t xml:space="preserve"> </w:t>
      </w:r>
      <w:r w:rsidR="002E40B8">
        <w:t>has been, since its proclamation in 1939, a</w:t>
      </w:r>
      <w:r w:rsidR="00462281" w:rsidRPr="00A959EA">
        <w:t xml:space="preserve"> contested project in which effective</w:t>
      </w:r>
      <w:r w:rsidR="0020783B">
        <w:t xml:space="preserve"> park</w:t>
      </w:r>
      <w:r w:rsidR="00462281" w:rsidRPr="00A959EA">
        <w:t xml:space="preserve"> governance and legitimacy</w:t>
      </w:r>
      <w:r w:rsidR="0020783B">
        <w:t xml:space="preserve"> never reached the level of l</w:t>
      </w:r>
      <w:r w:rsidR="0020783B" w:rsidRPr="00A959EA">
        <w:t xml:space="preserve">egal protection </w:t>
      </w:r>
      <w:r w:rsidR="00462281" w:rsidRPr="00A959EA">
        <w:t xml:space="preserve">(Hasson, 2015). </w:t>
      </w:r>
      <w:r w:rsidR="00D848A1" w:rsidRPr="00D848A1">
        <w:t xml:space="preserve">Its recent conservation history has been marked by major shifts in authority: routine enforcement collapsed after the May 2004 attack on the park headquarters; subsequent years saw coexistence with </w:t>
      </w:r>
      <w:r w:rsidR="00047642">
        <w:t>militia</w:t>
      </w:r>
      <w:r w:rsidR="00D848A1" w:rsidRPr="00D848A1">
        <w:t xml:space="preserve"> and </w:t>
      </w:r>
      <w:r w:rsidR="00FF195C">
        <w:t>limited</w:t>
      </w:r>
      <w:r w:rsidR="00D848A1" w:rsidRPr="00D848A1">
        <w:t xml:space="preserve"> external technical support; militia activity intensified again after 2011; and from 2017 onward a public-private </w:t>
      </w:r>
      <w:r w:rsidR="00FF195C">
        <w:t>partnership</w:t>
      </w:r>
      <w:r w:rsidR="009D3F34">
        <w:t xml:space="preserve"> led to </w:t>
      </w:r>
      <w:r w:rsidR="00D848A1" w:rsidRPr="00D848A1">
        <w:t xml:space="preserve">expanded patrol reach </w:t>
      </w:r>
      <w:r w:rsidR="00462281" w:rsidRPr="00A959EA">
        <w:t>(Van Leeuwe et al., 2009; Hasson, 2015; Brugière</w:t>
      </w:r>
      <w:r w:rsidR="00AC3999">
        <w:t>, 2020</w:t>
      </w:r>
      <w:r w:rsidR="00F60EA9">
        <w:t xml:space="preserve">; </w:t>
      </w:r>
      <w:r w:rsidR="00F60EA9" w:rsidRPr="003273EC">
        <w:rPr>
          <w:b/>
          <w:bCs/>
        </w:rPr>
        <w:t>Appendix</w:t>
      </w:r>
      <w:r w:rsidR="002D487A" w:rsidRPr="003273EC">
        <w:rPr>
          <w:b/>
          <w:bCs/>
        </w:rPr>
        <w:t xml:space="preserve"> 6.2</w:t>
      </w:r>
      <w:r w:rsidR="00462281" w:rsidRPr="00A959EA">
        <w:t xml:space="preserve">). </w:t>
      </w:r>
      <w:r w:rsidR="00122EA5" w:rsidRPr="00122EA5">
        <w:t xml:space="preserve">These oscillations make Upemba analytically valuable </w:t>
      </w:r>
      <w:r w:rsidR="00E562E7">
        <w:t xml:space="preserve">because they </w:t>
      </w:r>
      <w:r w:rsidR="00122EA5" w:rsidRPr="00122EA5">
        <w:t>provide</w:t>
      </w:r>
      <w:r w:rsidR="00E562E7">
        <w:t xml:space="preserve"> </w:t>
      </w:r>
      <w:r w:rsidR="00122EA5" w:rsidRPr="00122EA5">
        <w:t xml:space="preserve">a suitable test of whether </w:t>
      </w:r>
      <w:r w:rsidR="00523FA2">
        <w:t xml:space="preserve">remote sensing can </w:t>
      </w:r>
      <w:r w:rsidR="00122EA5" w:rsidRPr="00122EA5">
        <w:t xml:space="preserve">recover interpretable </w:t>
      </w:r>
      <w:r w:rsidR="00523FA2" w:rsidRPr="00806FE2">
        <w:t>governance-linked territorial control signals</w:t>
      </w:r>
      <w:r w:rsidR="00523FA2" w:rsidRPr="00122EA5">
        <w:t xml:space="preserve"> </w:t>
      </w:r>
      <w:r w:rsidR="00122EA5" w:rsidRPr="00122EA5">
        <w:t>rather than merely static spatial differences.</w:t>
      </w:r>
    </w:p>
    <w:p w14:paraId="1A73CC48" w14:textId="268D533C" w:rsidR="00FF4A3F" w:rsidRDefault="00DC21EE" w:rsidP="00FF4A3F">
      <w:pPr>
        <w:pStyle w:val="Heading1"/>
      </w:pPr>
      <w:r>
        <w:lastRenderedPageBreak/>
        <w:t xml:space="preserve">2. </w:t>
      </w:r>
      <w:commentRangeStart w:id="4"/>
      <w:commentRangeStart w:id="5"/>
      <w:commentRangeStart w:id="6"/>
      <w:r w:rsidR="00FF4A3F">
        <w:t>Methods</w:t>
      </w:r>
      <w:commentRangeEnd w:id="6"/>
      <w:r w:rsidR="005A540E">
        <w:rPr>
          <w:rStyle w:val="CommentReference"/>
          <w:sz w:val="40"/>
          <w:szCs w:val="40"/>
        </w:rPr>
        <w:commentReference w:id="6"/>
      </w:r>
      <w:commentRangeEnd w:id="5"/>
      <w:r w:rsidR="00D12252">
        <w:rPr>
          <w:rStyle w:val="CommentReference"/>
          <w:sz w:val="40"/>
          <w:szCs w:val="40"/>
        </w:rPr>
        <w:commentReference w:id="5"/>
      </w:r>
      <w:commentRangeEnd w:id="4"/>
      <w:r w:rsidR="002A3624">
        <w:rPr>
          <w:rStyle w:val="CommentReference"/>
          <w:sz w:val="40"/>
          <w:szCs w:val="40"/>
        </w:rPr>
        <w:commentReference w:id="4"/>
      </w:r>
    </w:p>
    <w:p w14:paraId="67273209" w14:textId="46FE30D7" w:rsidR="00100E63" w:rsidRPr="00100E63" w:rsidRDefault="00100E63" w:rsidP="00100E63">
      <w:pPr>
        <w:keepNext/>
        <w:rPr>
          <w:noProof/>
          <w:lang w:val="en-NL"/>
        </w:rPr>
      </w:pPr>
      <w:r w:rsidRPr="00100E63">
        <w:rPr>
          <w:noProof/>
          <w:lang w:val="en-NL"/>
        </w:rPr>
        <w:drawing>
          <wp:inline distT="0" distB="0" distL="0" distR="0" wp14:anchorId="259BDAD7" wp14:editId="2AC79CE1">
            <wp:extent cx="5943600" cy="3157220"/>
            <wp:effectExtent l="0" t="0" r="0" b="5080"/>
            <wp:docPr id="114301943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43600" cy="3157220"/>
                    </a:xfrm>
                    <a:prstGeom prst="rect">
                      <a:avLst/>
                    </a:prstGeom>
                    <a:noFill/>
                    <a:ln>
                      <a:noFill/>
                    </a:ln>
                  </pic:spPr>
                </pic:pic>
              </a:graphicData>
            </a:graphic>
          </wp:inline>
        </w:drawing>
      </w:r>
    </w:p>
    <w:p w14:paraId="74A31858" w14:textId="391A05F0" w:rsidR="00D762E6" w:rsidRPr="00D762E6" w:rsidRDefault="00D762E6" w:rsidP="00D762E6">
      <w:pPr>
        <w:pStyle w:val="Caption"/>
        <w:rPr>
          <w:b w:val="0"/>
        </w:rPr>
      </w:pPr>
      <w:commentRangeStart w:id="7"/>
      <w:commentRangeStart w:id="8"/>
      <w:r>
        <w:t xml:space="preserve">Figure </w:t>
      </w:r>
      <w:r>
        <w:fldChar w:fldCharType="begin"/>
      </w:r>
      <w:r>
        <w:instrText xml:space="preserve"> SEQ Figure \* ARABIC </w:instrText>
      </w:r>
      <w:r>
        <w:fldChar w:fldCharType="separate"/>
      </w:r>
      <w:r w:rsidR="008C7295">
        <w:rPr>
          <w:noProof/>
        </w:rPr>
        <w:t>1</w:t>
      </w:r>
      <w:r>
        <w:fldChar w:fldCharType="end"/>
      </w:r>
      <w:r w:rsidR="00FC27FF">
        <w:t>:</w:t>
      </w:r>
      <w:commentRangeEnd w:id="7"/>
      <w:r w:rsidR="003874C8">
        <w:rPr>
          <w:rStyle w:val="CommentReference"/>
          <w:sz w:val="18"/>
          <w:szCs w:val="18"/>
        </w:rPr>
        <w:commentReference w:id="7"/>
      </w:r>
      <w:commentRangeEnd w:id="8"/>
      <w:r w:rsidR="004759F0">
        <w:rPr>
          <w:rStyle w:val="CommentReference"/>
          <w:sz w:val="18"/>
          <w:szCs w:val="18"/>
        </w:rPr>
        <w:commentReference w:id="8"/>
      </w:r>
      <w:r w:rsidR="00FC27FF">
        <w:t xml:space="preserve"> </w:t>
      </w:r>
      <w:r w:rsidR="00FC27FF" w:rsidRPr="00FC27FF">
        <w:t>Analytical workflow from remote-sensing and governance</w:t>
      </w:r>
      <w:r w:rsidR="00173526">
        <w:t xml:space="preserve"> profiles</w:t>
      </w:r>
      <w:r w:rsidR="00FC27FF" w:rsidRPr="00FC27FF">
        <w:t xml:space="preserve"> to SESU-stratified boundary-permeability models. </w:t>
      </w:r>
      <w:r w:rsidR="00FC27FF" w:rsidRPr="00FC27FF">
        <w:rPr>
          <w:b w:val="0"/>
          <w:bCs w:val="0"/>
        </w:rPr>
        <w:t xml:space="preserve">Baseline covariates were aligned to a common 500 m grid over the </w:t>
      </w:r>
      <w:r w:rsidR="7003E5FD">
        <w:rPr>
          <w:b w:val="0"/>
          <w:bCs w:val="0"/>
        </w:rPr>
        <w:t>Upemba landscape</w:t>
      </w:r>
      <w:r w:rsidR="00FC27FF" w:rsidRPr="00FC27FF">
        <w:rPr>
          <w:b w:val="0"/>
          <w:bCs w:val="0"/>
        </w:rPr>
        <w:t xml:space="preserve"> and used to derive socio-ecological system units (SESUs) by clustering cells with comparable baseline disturbance context. Annual disturbance indicators for fire</w:t>
      </w:r>
      <w:r w:rsidR="00651C2A">
        <w:rPr>
          <w:b w:val="0"/>
          <w:bCs w:val="0"/>
        </w:rPr>
        <w:t>s</w:t>
      </w:r>
      <w:r w:rsidR="00FC27FF" w:rsidRPr="00FC27FF">
        <w:rPr>
          <w:b w:val="0"/>
          <w:bCs w:val="0"/>
        </w:rPr>
        <w:t xml:space="preserve">, </w:t>
      </w:r>
      <w:r w:rsidR="00651C2A">
        <w:rPr>
          <w:b w:val="0"/>
          <w:bCs w:val="0"/>
        </w:rPr>
        <w:t>deforestation</w:t>
      </w:r>
      <w:r w:rsidR="00FC27FF" w:rsidRPr="00FC27FF">
        <w:rPr>
          <w:b w:val="0"/>
          <w:bCs w:val="0"/>
        </w:rPr>
        <w:t xml:space="preserve">, and </w:t>
      </w:r>
      <w:r w:rsidR="00651C2A">
        <w:rPr>
          <w:b w:val="0"/>
          <w:bCs w:val="0"/>
        </w:rPr>
        <w:t>agricultural</w:t>
      </w:r>
      <w:r w:rsidR="00FC27FF" w:rsidRPr="00FC27FF">
        <w:rPr>
          <w:b w:val="0"/>
          <w:bCs w:val="0"/>
        </w:rPr>
        <w:t xml:space="preserve"> expansion were then transformed into thresholded </w:t>
      </w:r>
      <w:r w:rsidR="003273EC">
        <w:rPr>
          <w:b w:val="0"/>
          <w:bCs w:val="0"/>
        </w:rPr>
        <w:t>events</w:t>
      </w:r>
      <w:r w:rsidR="00FC27FF" w:rsidRPr="00FC27FF">
        <w:rPr>
          <w:b w:val="0"/>
          <w:bCs w:val="0"/>
        </w:rPr>
        <w:t xml:space="preserve"> and aggregated to SESU × year × side, where side denotes inside versus outside the Upemba National Park boundary</w:t>
      </w:r>
      <w:r w:rsidR="00FC27FF">
        <w:rPr>
          <w:b w:val="0"/>
          <w:bCs w:val="0"/>
        </w:rPr>
        <w:t>.</w:t>
      </w:r>
      <w:r w:rsidR="00FC27FF" w:rsidRPr="00FC27FF">
        <w:rPr>
          <w:b w:val="0"/>
          <w:bCs w:val="0"/>
        </w:rPr>
        <w:t xml:space="preserve"> Boundary permeability was estimated with beta-binomial regressions of disturbed pixel-years out of pixel-years at risk, including SESU × year fixed effects and inside interactions </w:t>
      </w:r>
      <w:r w:rsidR="00AA31E4">
        <w:rPr>
          <w:b w:val="0"/>
          <w:bCs w:val="0"/>
        </w:rPr>
        <w:t>for the governance profiles</w:t>
      </w:r>
      <w:r w:rsidR="00FC27FF" w:rsidRPr="00FC27FF">
        <w:rPr>
          <w:b w:val="0"/>
          <w:bCs w:val="0"/>
        </w:rPr>
        <w:t>. The estima</w:t>
      </w:r>
      <w:r w:rsidR="0044624A">
        <w:rPr>
          <w:b w:val="0"/>
          <w:bCs w:val="0"/>
        </w:rPr>
        <w:t>te</w:t>
      </w:r>
      <w:r w:rsidR="00FC27FF" w:rsidRPr="00FC27FF">
        <w:rPr>
          <w:b w:val="0"/>
          <w:bCs w:val="0"/>
        </w:rPr>
        <w:t xml:space="preserve"> of interest is the within-SESU, within-year </w:t>
      </w:r>
      <w:r w:rsidR="00CF6296">
        <w:rPr>
          <w:b w:val="0"/>
          <w:bCs w:val="0"/>
        </w:rPr>
        <w:t>boundary</w:t>
      </w:r>
      <w:r w:rsidR="00FC27FF" w:rsidRPr="00FC27FF">
        <w:rPr>
          <w:b w:val="0"/>
          <w:bCs w:val="0"/>
        </w:rPr>
        <w:t xml:space="preserve"> contrast in disturbance risk; uncertainty and model robustness were evaluated using descriptive time-series inspection, random-side placebo tests, and year-block bootstrap resampling. See </w:t>
      </w:r>
      <w:r w:rsidR="00FC27FF" w:rsidRPr="00B763DA">
        <w:t>Table 1</w:t>
      </w:r>
      <w:r w:rsidR="00FC27FF" w:rsidRPr="00FC27FF">
        <w:rPr>
          <w:b w:val="0"/>
          <w:bCs w:val="0"/>
        </w:rPr>
        <w:t xml:space="preserve"> for product details and citations.</w:t>
      </w:r>
    </w:p>
    <w:p w14:paraId="4FD4B139" w14:textId="59223127" w:rsidR="003210E2" w:rsidRPr="00037E2F" w:rsidRDefault="003E3F2D" w:rsidP="003210E2">
      <w:pPr>
        <w:pStyle w:val="Heading2"/>
      </w:pPr>
      <w:r>
        <w:t xml:space="preserve">2.1. </w:t>
      </w:r>
      <w:commentRangeStart w:id="9"/>
      <w:commentRangeStart w:id="10"/>
      <w:r w:rsidR="003210E2" w:rsidRPr="00037E2F">
        <w:t>Study area</w:t>
      </w:r>
      <w:commentRangeEnd w:id="10"/>
      <w:r w:rsidR="003210E2" w:rsidRPr="00037E2F">
        <w:rPr>
          <w:rStyle w:val="CommentReference"/>
          <w:sz w:val="32"/>
          <w:szCs w:val="32"/>
        </w:rPr>
        <w:commentReference w:id="10"/>
      </w:r>
      <w:commentRangeEnd w:id="9"/>
      <w:r w:rsidR="00B33217" w:rsidRPr="00037E2F">
        <w:rPr>
          <w:rStyle w:val="CommentReference"/>
          <w:sz w:val="32"/>
          <w:szCs w:val="32"/>
        </w:rPr>
        <w:commentReference w:id="9"/>
      </w:r>
    </w:p>
    <w:p w14:paraId="7EC82884" w14:textId="18B09F84" w:rsidR="00C01B45" w:rsidRDefault="008A413A" w:rsidP="00ED6496">
      <w:r w:rsidRPr="008A413A">
        <w:t>The study focuses on Upemba National Park in southeastern Democratic Republic of the Congo, a protected area of approximately 10,000 km² comprising the Kibara and Manika plateaus and a western sector extending into the Kamalondo (Upemba) Depression wetland complex</w:t>
      </w:r>
      <w:r w:rsidR="00C30115" w:rsidRPr="00C30115">
        <w:t xml:space="preserve"> (</w:t>
      </w:r>
      <w:r w:rsidR="00C30115" w:rsidRPr="005C6BB9">
        <w:rPr>
          <w:b/>
          <w:bCs/>
        </w:rPr>
        <w:t xml:space="preserve">Fig. </w:t>
      </w:r>
      <w:r w:rsidR="00E91C7C" w:rsidRPr="005C6BB9">
        <w:rPr>
          <w:b/>
          <w:bCs/>
        </w:rPr>
        <w:t>2</w:t>
      </w:r>
      <w:r w:rsidR="00C30115" w:rsidRPr="00CB28AD">
        <w:t>).</w:t>
      </w:r>
      <w:r w:rsidR="005B7FDC">
        <w:t xml:space="preserve"> </w:t>
      </w:r>
      <w:r w:rsidR="00C85079" w:rsidRPr="00C85079">
        <w:t>We assembled covariates over a broader rectangular landscape extent covering Upemba National Park, the Kamalondo Depression, and adjacent hunting reserves, while excluding the Copperbelt mining districts and the Kundelungu Plateau to avoid introducing strongly different land-use systems into the clustering space</w:t>
      </w:r>
      <w:r w:rsidR="00C01B45" w:rsidRPr="00C01B45">
        <w:t xml:space="preserve">. </w:t>
      </w:r>
      <w:r w:rsidR="00F233BA" w:rsidRPr="00F233BA">
        <w:t>This landscape extent, hereafter the “Upemba landscape”, spans 25.48–27.50°E and 10.4–7.8°S</w:t>
      </w:r>
      <w:r w:rsidR="00C01B45" w:rsidRPr="00C01B45">
        <w:t xml:space="preserve">. </w:t>
      </w:r>
      <w:r w:rsidR="000544BF" w:rsidRPr="000544BF">
        <w:t>The analytical domain for inference was the Upemba National Park boundary, because adjacent protected areas in the surrounding landscape have not experienced sustained management or enforcement since 2000 and therefore do not provide an interpretable protected-versus-unprotected comparison</w:t>
      </w:r>
      <w:r w:rsidR="00C01B45" w:rsidRPr="00C01B45">
        <w:t>.</w:t>
      </w:r>
      <w:r w:rsidR="0023707C">
        <w:t xml:space="preserve"> The </w:t>
      </w:r>
      <w:r w:rsidR="49C8668D">
        <w:t>Upemba landscape</w:t>
      </w:r>
      <w:r w:rsidR="0023707C" w:rsidRPr="0023707C">
        <w:t xml:space="preserve"> supported an estimated 2.6 million people in 2023 based on Google Open Buildings data combined with an assumed mean household size of 5.3 (Sirko et al., 2024; MPSMRM et al., 2014).</w:t>
      </w:r>
    </w:p>
    <w:p w14:paraId="108A93F3" w14:textId="65788D02" w:rsidR="00651C00" w:rsidRDefault="009E2459" w:rsidP="0052521F">
      <w:pPr>
        <w:pStyle w:val="Heading2"/>
      </w:pPr>
      <w:r w:rsidRPr="009E2459">
        <w:lastRenderedPageBreak/>
        <w:t>2.2 Data sources and preprocessing</w:t>
      </w:r>
    </w:p>
    <w:p w14:paraId="45894255" w14:textId="44DADF3A" w:rsidR="008F2A72" w:rsidRDefault="00C550AB" w:rsidP="00C550AB">
      <w:pPr>
        <w:pStyle w:val="Heading3"/>
      </w:pPr>
      <w:r w:rsidRPr="00C550AB">
        <w:t>2.2.1 Remote-sensing disturbance indicators</w:t>
      </w:r>
    </w:p>
    <w:p w14:paraId="078C2BCF" w14:textId="755B2810" w:rsidR="00056914" w:rsidRDefault="002B6AF3" w:rsidP="00056914">
      <w:r w:rsidRPr="002B6AF3">
        <w:t>In the Upemba landscape, extraction pressure is commonly expressed first through hunting and bushmeat supply chains (Van Velden et al., 2018; Tshikung et al., 2019), then through fuelwood and charcoal production (Feurer et al., 2025; Megevand, 2013), and finally through the expansion of cultivation before pressure shifts to new areas (Megevand, 2013).</w:t>
      </w:r>
      <w:r>
        <w:t xml:space="preserve"> </w:t>
      </w:r>
      <w:r w:rsidR="00056914" w:rsidRPr="00774AA3">
        <w:t>To operationalize</w:t>
      </w:r>
      <w:r w:rsidR="00056914">
        <w:t xml:space="preserve"> these</w:t>
      </w:r>
      <w:r w:rsidR="00056914" w:rsidRPr="00774AA3">
        <w:t xml:space="preserve"> </w:t>
      </w:r>
      <w:r w:rsidR="00D87A3B">
        <w:t>“</w:t>
      </w:r>
      <w:r w:rsidR="00056914" w:rsidRPr="00774AA3">
        <w:t>waves of degradation</w:t>
      </w:r>
      <w:r w:rsidR="00D87A3B">
        <w:t>”</w:t>
      </w:r>
      <w:r w:rsidR="00665B27">
        <w:t xml:space="preserve"> (</w:t>
      </w:r>
      <w:r w:rsidR="00EE6D85">
        <w:t>Ahrends et al., 2010)</w:t>
      </w:r>
      <w:r w:rsidR="00056914" w:rsidRPr="00774AA3">
        <w:t>, we treated deforestation and agricultural expansion as directly observable land-cover transitions</w:t>
      </w:r>
      <w:r w:rsidR="000901B1">
        <w:t xml:space="preserve"> (Hansen et al., 2013; Lou et al., 2025)</w:t>
      </w:r>
      <w:r w:rsidR="00056914" w:rsidRPr="00774AA3">
        <w:t xml:space="preserve">. In the Upemba landscape, fire is historically documented and supported by contemporary local accounts as a hunting technique used to flush game, extract burrowing rodents, and attract herbivores to palatable post-burn regrowth, thereby increasing encounter rates and huntability (Delvaux, 1950; Van Leeuwe et al., 2009; Amoako and Gambiza, 2022). </w:t>
      </w:r>
      <w:r w:rsidR="00101E4E" w:rsidRPr="00101E4E">
        <w:t xml:space="preserve">This interpretation is reinforced by three features of the park interior during the study period: cropland is highly localized and negligible at park scale in the remote-sensing record (Lou et al., 2025); dry-season burning appears as numerous spatially discrete ignitions rather than broad </w:t>
      </w:r>
      <w:r w:rsidR="007504A6">
        <w:t>fire</w:t>
      </w:r>
      <w:r w:rsidR="00101E4E" w:rsidRPr="00101E4E">
        <w:t xml:space="preserve"> fronts (Chuvieco et al., 2018); and gallery-forest corridors along watercourses frequently interrupt fire spread</w:t>
      </w:r>
      <w:r w:rsidR="00F428C7">
        <w:t xml:space="preserve"> (pers. obs.)</w:t>
      </w:r>
      <w:r w:rsidR="00056914" w:rsidRPr="00774AA3">
        <w:t xml:space="preserve">. </w:t>
      </w:r>
      <w:r w:rsidR="006C44D8" w:rsidRPr="006C44D8">
        <w:t>We therefore interpret repeated dry-season ignitions inside the park as a disturbance signal closely associated with poaching</w:t>
      </w:r>
      <w:r w:rsidR="00056914">
        <w:t>.</w:t>
      </w:r>
      <w:r w:rsidR="00056914" w:rsidRPr="00774AA3">
        <w:t xml:space="preserve"> </w:t>
      </w:r>
      <w:r w:rsidR="00FB0DD5" w:rsidRPr="00FB0DD5">
        <w:t>We restricted the fire analysis to detections during the main burning season (Julian days 100–300; mid-April to late October) to target the fire regime most plausibly associated with anthropogenic ignitions and to minimize inclusion of wet-season lightning-associated burns</w:t>
      </w:r>
      <w:r w:rsidR="00056914" w:rsidRPr="00774AA3">
        <w:t xml:space="preserve">. </w:t>
      </w:r>
      <w:r w:rsidR="00570534" w:rsidRPr="00570534">
        <w:t>We limited the study period to 2001–2022, the longest interval for which all datasets could be aligned without temporal gaps (</w:t>
      </w:r>
      <w:r w:rsidR="00570534" w:rsidRPr="00E077D3">
        <w:rPr>
          <w:b/>
          <w:bCs/>
        </w:rPr>
        <w:t>Table</w:t>
      </w:r>
      <w:r w:rsidR="000C741F" w:rsidRPr="00E077D3">
        <w:rPr>
          <w:b/>
          <w:bCs/>
        </w:rPr>
        <w:t xml:space="preserve"> 1</w:t>
      </w:r>
      <w:r w:rsidR="00570534" w:rsidRPr="00570534">
        <w:t>).</w:t>
      </w:r>
    </w:p>
    <w:p w14:paraId="3E270E09" w14:textId="1721C84D" w:rsidR="00E6485E" w:rsidRDefault="00E6485E" w:rsidP="00E6485E">
      <w:pPr>
        <w:pStyle w:val="Caption"/>
        <w:keepNext/>
      </w:pPr>
      <w:r>
        <w:t>Table 1</w:t>
      </w:r>
      <w:r w:rsidRPr="001F77A4">
        <w:t>.</w:t>
      </w:r>
      <w:r w:rsidRPr="003C4A4F">
        <w:rPr>
          <w:b w:val="0"/>
          <w:bCs w:val="0"/>
        </w:rPr>
        <w:t xml:space="preserve"> Remote-sensing disturbance products used in annual event construction and boundary-permeability modeling</w:t>
      </w:r>
      <w:r w:rsidRPr="001F77A4">
        <w:rPr>
          <w:b w:val="0"/>
          <w:bCs w:val="0"/>
        </w:rPr>
        <w:t>.</w:t>
      </w:r>
    </w:p>
    <w:tbl>
      <w:tblPr>
        <w:tblW w:w="9576" w:type="dxa"/>
        <w:tblBorders>
          <w:insideH w:val="single" w:sz="4" w:space="0" w:color="auto"/>
        </w:tblBorders>
        <w:tblLayout w:type="fixed"/>
        <w:tblLook w:val="04A0" w:firstRow="1" w:lastRow="0" w:firstColumn="1" w:lastColumn="0" w:noHBand="0" w:noVBand="1"/>
      </w:tblPr>
      <w:tblGrid>
        <w:gridCol w:w="2394"/>
        <w:gridCol w:w="2394"/>
        <w:gridCol w:w="2394"/>
        <w:gridCol w:w="2394"/>
      </w:tblGrid>
      <w:tr w:rsidR="00E6485E" w14:paraId="370D4732" w14:textId="77777777" w:rsidTr="002720F1">
        <w:tc>
          <w:tcPr>
            <w:tcW w:w="2394" w:type="dxa"/>
          </w:tcPr>
          <w:p w14:paraId="7B524AE7" w14:textId="77777777" w:rsidR="00E6485E" w:rsidRDefault="00E6485E" w:rsidP="002720F1">
            <w:r>
              <w:rPr>
                <w:b/>
              </w:rPr>
              <w:t>Product</w:t>
            </w:r>
          </w:p>
        </w:tc>
        <w:tc>
          <w:tcPr>
            <w:tcW w:w="2394" w:type="dxa"/>
          </w:tcPr>
          <w:p w14:paraId="1F1085BE" w14:textId="77777777" w:rsidR="00E6485E" w:rsidRDefault="00E6485E" w:rsidP="002720F1">
            <w:r>
              <w:rPr>
                <w:b/>
              </w:rPr>
              <w:t>Details</w:t>
            </w:r>
          </w:p>
        </w:tc>
        <w:tc>
          <w:tcPr>
            <w:tcW w:w="2394" w:type="dxa"/>
          </w:tcPr>
          <w:p w14:paraId="57E78D62" w14:textId="77777777" w:rsidR="00E6485E" w:rsidRDefault="00E6485E" w:rsidP="002720F1">
            <w:r>
              <w:rPr>
                <w:b/>
              </w:rPr>
              <w:t>Resolution</w:t>
            </w:r>
          </w:p>
        </w:tc>
        <w:tc>
          <w:tcPr>
            <w:tcW w:w="2394" w:type="dxa"/>
          </w:tcPr>
          <w:p w14:paraId="6927CDC1" w14:textId="77777777" w:rsidR="00E6485E" w:rsidRDefault="00E6485E" w:rsidP="002720F1">
            <w:r>
              <w:rPr>
                <w:b/>
              </w:rPr>
              <w:t>Outputs</w:t>
            </w:r>
          </w:p>
        </w:tc>
      </w:tr>
      <w:tr w:rsidR="00E6485E" w14:paraId="337FDE63" w14:textId="77777777" w:rsidTr="002720F1">
        <w:tc>
          <w:tcPr>
            <w:tcW w:w="2394" w:type="dxa"/>
          </w:tcPr>
          <w:p w14:paraId="13711A17" w14:textId="77777777" w:rsidR="00E6485E" w:rsidRDefault="00E6485E" w:rsidP="002720F1">
            <w:r>
              <w:t>ESA FireCCI v5.1 burned area (Chuvieco et al., 2018)</w:t>
            </w:r>
          </w:p>
          <w:p w14:paraId="75029E6C" w14:textId="77777777" w:rsidR="00E6485E" w:rsidRDefault="00E6485E" w:rsidP="002720F1">
            <w:r>
              <w:t>(ESA/CCI/FireCCI/5_1)</w:t>
            </w:r>
          </w:p>
        </w:tc>
        <w:tc>
          <w:tcPr>
            <w:tcW w:w="2394" w:type="dxa"/>
          </w:tcPr>
          <w:p w14:paraId="00848CAD" w14:textId="77777777" w:rsidR="00E6485E" w:rsidRDefault="00E6485E" w:rsidP="002720F1">
            <w:r>
              <w:t>BurnDate (day-of-year). For each year: min positive DOY; retain DOY 100-300 seasonal window to exclude rainy-season burns that could be of natural origin</w:t>
            </w:r>
          </w:p>
        </w:tc>
        <w:tc>
          <w:tcPr>
            <w:tcW w:w="2394" w:type="dxa"/>
          </w:tcPr>
          <w:p w14:paraId="78156AA3" w14:textId="77777777" w:rsidR="00E6485E" w:rsidRDefault="00E6485E" w:rsidP="002720F1">
            <w:r>
              <w:t>Approximately 250 m (native); aggregated to 500 m</w:t>
            </w:r>
          </w:p>
        </w:tc>
        <w:tc>
          <w:tcPr>
            <w:tcW w:w="2394" w:type="dxa"/>
          </w:tcPr>
          <w:p w14:paraId="68A8EC58" w14:textId="77777777" w:rsidR="00E6485E" w:rsidRDefault="00E6485E" w:rsidP="002720F1">
            <w:r>
              <w:t>Annual dry season burned area (burned fraction in 500 m cell ≥ 0.25)</w:t>
            </w:r>
          </w:p>
        </w:tc>
      </w:tr>
      <w:tr w:rsidR="00E6485E" w14:paraId="6F26BC1F" w14:textId="77777777" w:rsidTr="002720F1">
        <w:tc>
          <w:tcPr>
            <w:tcW w:w="2394" w:type="dxa"/>
          </w:tcPr>
          <w:p w14:paraId="4B833D74" w14:textId="77777777" w:rsidR="00E6485E" w:rsidRDefault="00E6485E" w:rsidP="002720F1">
            <w:r>
              <w:t>Hansen Global Forest Change (Hansen et al., 2013)</w:t>
            </w:r>
          </w:p>
          <w:p w14:paraId="04D95B8B" w14:textId="77777777" w:rsidR="00E6485E" w:rsidRDefault="00E6485E" w:rsidP="002720F1">
            <w:r>
              <w:lastRenderedPageBreak/>
              <w:t>(UMD/hansen/global_forest_change_2024_v1_12)</w:t>
            </w:r>
          </w:p>
        </w:tc>
        <w:tc>
          <w:tcPr>
            <w:tcW w:w="2394" w:type="dxa"/>
          </w:tcPr>
          <w:p w14:paraId="21999327" w14:textId="77777777" w:rsidR="00E6485E" w:rsidRDefault="00E6485E" w:rsidP="002720F1">
            <w:r>
              <w:lastRenderedPageBreak/>
              <w:t>Forest loss year 2001-2022</w:t>
            </w:r>
          </w:p>
        </w:tc>
        <w:tc>
          <w:tcPr>
            <w:tcW w:w="2394" w:type="dxa"/>
          </w:tcPr>
          <w:p w14:paraId="1BAF06BA" w14:textId="77777777" w:rsidR="00E6485E" w:rsidRDefault="00E6485E" w:rsidP="002720F1">
            <w:r>
              <w:t>30 m (native); aggregated to 500 m</w:t>
            </w:r>
          </w:p>
        </w:tc>
        <w:tc>
          <w:tcPr>
            <w:tcW w:w="2394" w:type="dxa"/>
          </w:tcPr>
          <w:p w14:paraId="24A1D2F5" w14:textId="77777777" w:rsidR="00E6485E" w:rsidRDefault="00E6485E" w:rsidP="002720F1">
            <w:r>
              <w:t xml:space="preserve">Deforestation timing: earliest year where cumulative loss </w:t>
            </w:r>
            <w:r>
              <w:lastRenderedPageBreak/>
              <w:t>fraction within 500 m cell ≥ 0.25</w:t>
            </w:r>
          </w:p>
        </w:tc>
      </w:tr>
      <w:tr w:rsidR="00E6485E" w14:paraId="70140754" w14:textId="77777777" w:rsidTr="002720F1">
        <w:tc>
          <w:tcPr>
            <w:tcW w:w="2394" w:type="dxa"/>
          </w:tcPr>
          <w:p w14:paraId="3C0BD72A" w14:textId="77777777" w:rsidR="00E6485E" w:rsidRDefault="00E6485E" w:rsidP="002720F1">
            <w:r>
              <w:lastRenderedPageBreak/>
              <w:t>Annual cropland extent dataset for Africa (Lou et al., 2025)</w:t>
            </w:r>
          </w:p>
        </w:tc>
        <w:tc>
          <w:tcPr>
            <w:tcW w:w="2394" w:type="dxa"/>
          </w:tcPr>
          <w:p w14:paraId="2D4A414C" w14:textId="77777777" w:rsidR="00E6485E" w:rsidRDefault="00E6485E" w:rsidP="002720F1">
            <w:r>
              <w:t>Annual cropland extent, 2001-2022</w:t>
            </w:r>
          </w:p>
        </w:tc>
        <w:tc>
          <w:tcPr>
            <w:tcW w:w="2394" w:type="dxa"/>
          </w:tcPr>
          <w:p w14:paraId="14B7CEB0" w14:textId="77777777" w:rsidR="00E6485E" w:rsidRDefault="00E6485E" w:rsidP="002720F1">
            <w:r>
              <w:t>30 m (native); aggregated to 500 m</w:t>
            </w:r>
          </w:p>
        </w:tc>
        <w:tc>
          <w:tcPr>
            <w:tcW w:w="2394" w:type="dxa"/>
          </w:tcPr>
          <w:p w14:paraId="6A80F3C0" w14:textId="77777777" w:rsidR="00E6485E" w:rsidRDefault="00E6485E" w:rsidP="002720F1">
            <w:r>
              <w:t>Agricultural expansion timing: earliest year where cumulative cropland fraction in 500 m cell ≥ 0.25</w:t>
            </w:r>
          </w:p>
        </w:tc>
      </w:tr>
    </w:tbl>
    <w:p w14:paraId="035D9A36" w14:textId="0A2B3258" w:rsidR="005C7205" w:rsidRPr="00FB2F9C" w:rsidRDefault="005C7205" w:rsidP="005C7205">
      <w:pPr>
        <w:pStyle w:val="Caption"/>
        <w:keepNext/>
        <w:rPr>
          <w:b w:val="0"/>
          <w:bCs w:val="0"/>
        </w:rPr>
      </w:pPr>
      <w:commentRangeStart w:id="11"/>
      <w:commentRangeStart w:id="12"/>
      <w:commentRangeStart w:id="13"/>
      <w:commentRangeStart w:id="14"/>
      <w:r>
        <w:t xml:space="preserve">Table </w:t>
      </w:r>
      <w:r w:rsidR="00E6485E">
        <w:t>2</w:t>
      </w:r>
      <w:commentRangeEnd w:id="11"/>
      <w:r w:rsidR="009D1BCD" w:rsidRPr="009A280A">
        <w:rPr>
          <w:rStyle w:val="CommentReference"/>
          <w:sz w:val="18"/>
          <w:szCs w:val="18"/>
        </w:rPr>
        <w:commentReference w:id="11"/>
      </w:r>
      <w:commentRangeEnd w:id="12"/>
      <w:r w:rsidRPr="009A280A">
        <w:rPr>
          <w:rStyle w:val="CommentReference"/>
          <w:sz w:val="18"/>
          <w:szCs w:val="18"/>
        </w:rPr>
        <w:commentReference w:id="12"/>
      </w:r>
      <w:commentRangeEnd w:id="13"/>
      <w:r w:rsidR="006F1B99" w:rsidRPr="009A280A">
        <w:rPr>
          <w:rStyle w:val="CommentReference"/>
          <w:sz w:val="18"/>
          <w:szCs w:val="18"/>
        </w:rPr>
        <w:commentReference w:id="13"/>
      </w:r>
      <w:commentRangeEnd w:id="14"/>
      <w:r w:rsidR="00525512" w:rsidRPr="009A280A">
        <w:rPr>
          <w:rStyle w:val="CommentReference"/>
          <w:sz w:val="18"/>
          <w:szCs w:val="18"/>
        </w:rPr>
        <w:commentReference w:id="14"/>
      </w:r>
      <w:r w:rsidR="009A280A" w:rsidRPr="009A280A">
        <w:t xml:space="preserve">. </w:t>
      </w:r>
      <w:r w:rsidR="009A280A" w:rsidRPr="001F77A4">
        <w:rPr>
          <w:b w:val="0"/>
          <w:bCs w:val="0"/>
        </w:rPr>
        <w:t>Baseline covariates used in SESU derivation</w:t>
      </w:r>
      <w:r w:rsidR="00722011">
        <w:rPr>
          <w:b w:val="0"/>
          <w:bCs w:val="0"/>
        </w:rPr>
        <w:t xml:space="preserve">. </w:t>
      </w:r>
      <w:r w:rsidR="00A66215" w:rsidRPr="00A66215">
        <w:rPr>
          <w:b w:val="0"/>
          <w:bCs w:val="0"/>
        </w:rPr>
        <w:t xml:space="preserve">Baseline precipitation was derived from CHIRPS, </w:t>
      </w:r>
      <w:r w:rsidR="00A66215">
        <w:rPr>
          <w:b w:val="0"/>
          <w:bCs w:val="0"/>
        </w:rPr>
        <w:t>a</w:t>
      </w:r>
      <w:r w:rsidR="00A66215" w:rsidRPr="00A66215">
        <w:rPr>
          <w:b w:val="0"/>
          <w:bCs w:val="0"/>
        </w:rPr>
        <w:t xml:space="preserve"> dedicated daily precipitation product</w:t>
      </w:r>
      <w:r w:rsidR="00A66215">
        <w:rPr>
          <w:b w:val="0"/>
          <w:bCs w:val="0"/>
        </w:rPr>
        <w:t xml:space="preserve"> (Funk et al., 2015)</w:t>
      </w:r>
      <w:r w:rsidR="00A66215" w:rsidRPr="00A66215">
        <w:rPr>
          <w:b w:val="0"/>
          <w:bCs w:val="0"/>
        </w:rPr>
        <w:t>, whereas TerraClimate was used for PET and AET. This choice assigns each hydrological component to the product most directly designed for it and avoids relying on TerraClimate for both rainfall and evaporative-demand terms.</w:t>
      </w:r>
    </w:p>
    <w:tbl>
      <w:tblPr>
        <w:tblW w:w="9576" w:type="dxa"/>
        <w:tblBorders>
          <w:insideH w:val="single" w:sz="4" w:space="0" w:color="auto"/>
        </w:tblBorders>
        <w:tblLayout w:type="fixed"/>
        <w:tblLook w:val="04A0" w:firstRow="1" w:lastRow="0" w:firstColumn="1" w:lastColumn="0" w:noHBand="0" w:noVBand="1"/>
      </w:tblPr>
      <w:tblGrid>
        <w:gridCol w:w="2394"/>
        <w:gridCol w:w="2394"/>
        <w:gridCol w:w="2394"/>
        <w:gridCol w:w="2394"/>
      </w:tblGrid>
      <w:tr w:rsidR="005C7205" w14:paraId="0307E4A4" w14:textId="77777777" w:rsidTr="007F2B8A">
        <w:tc>
          <w:tcPr>
            <w:tcW w:w="2394" w:type="dxa"/>
          </w:tcPr>
          <w:p w14:paraId="38F1AC4F" w14:textId="77777777" w:rsidR="005C7205" w:rsidRDefault="005C7205" w:rsidP="007F2B8A">
            <w:r>
              <w:rPr>
                <w:b/>
              </w:rPr>
              <w:t>Product</w:t>
            </w:r>
          </w:p>
        </w:tc>
        <w:tc>
          <w:tcPr>
            <w:tcW w:w="2394" w:type="dxa"/>
          </w:tcPr>
          <w:p w14:paraId="2A6C305C" w14:textId="77777777" w:rsidR="005C7205" w:rsidRDefault="005C7205" w:rsidP="007F2B8A">
            <w:r>
              <w:rPr>
                <w:b/>
              </w:rPr>
              <w:t>Details</w:t>
            </w:r>
          </w:p>
        </w:tc>
        <w:tc>
          <w:tcPr>
            <w:tcW w:w="2394" w:type="dxa"/>
          </w:tcPr>
          <w:p w14:paraId="13881536" w14:textId="77777777" w:rsidR="005C7205" w:rsidRDefault="005C7205" w:rsidP="007F2B8A">
            <w:r>
              <w:rPr>
                <w:b/>
              </w:rPr>
              <w:t>Resolution</w:t>
            </w:r>
          </w:p>
        </w:tc>
        <w:tc>
          <w:tcPr>
            <w:tcW w:w="2394" w:type="dxa"/>
          </w:tcPr>
          <w:p w14:paraId="66A27FA6" w14:textId="77777777" w:rsidR="005C7205" w:rsidRDefault="005C7205" w:rsidP="007F2B8A">
            <w:r>
              <w:rPr>
                <w:b/>
              </w:rPr>
              <w:t>Outputs</w:t>
            </w:r>
          </w:p>
        </w:tc>
      </w:tr>
      <w:tr w:rsidR="005C7205" w14:paraId="2C5D10C1" w14:textId="77777777" w:rsidTr="007F2B8A">
        <w:tc>
          <w:tcPr>
            <w:tcW w:w="2394" w:type="dxa"/>
          </w:tcPr>
          <w:p w14:paraId="5567E09A" w14:textId="77777777" w:rsidR="005C7205" w:rsidRDefault="005C7205" w:rsidP="007F2B8A">
            <w:r>
              <w:t>Hansen Global Forest Change (Hansen et al., 2013)</w:t>
            </w:r>
          </w:p>
          <w:p w14:paraId="0D20561B" w14:textId="77777777" w:rsidR="005C7205" w:rsidRDefault="005C7205" w:rsidP="007F2B8A">
            <w:r>
              <w:t>(UMD/hansen/global_forest_change_2024_v1_12)</w:t>
            </w:r>
          </w:p>
        </w:tc>
        <w:tc>
          <w:tcPr>
            <w:tcW w:w="2394" w:type="dxa"/>
          </w:tcPr>
          <w:p w14:paraId="2C93FB56" w14:textId="77777777" w:rsidR="005C7205" w:rsidRDefault="005C7205" w:rsidP="007F2B8A">
            <w:r>
              <w:t>Mean baseline tree cover in 2000; baseline forest mask threshold ≥30% mean tree cover</w:t>
            </w:r>
          </w:p>
        </w:tc>
        <w:tc>
          <w:tcPr>
            <w:tcW w:w="2394" w:type="dxa"/>
          </w:tcPr>
          <w:p w14:paraId="441DEE8E" w14:textId="77777777" w:rsidR="005C7205" w:rsidRDefault="005C7205" w:rsidP="007F2B8A">
            <w:r>
              <w:t>30 m (native); aggregated to 500 m mean</w:t>
            </w:r>
          </w:p>
        </w:tc>
        <w:tc>
          <w:tcPr>
            <w:tcW w:w="2394" w:type="dxa"/>
          </w:tcPr>
          <w:p w14:paraId="4B558F08" w14:textId="2ABB5C1B" w:rsidR="005C7205" w:rsidRDefault="005C7205" w:rsidP="007F2B8A">
            <w:r>
              <w:t>500 m baseline tree cover surface; baseline-forest mask; deforestation timing restricted to baseline forest</w:t>
            </w:r>
          </w:p>
        </w:tc>
      </w:tr>
      <w:tr w:rsidR="005C7205" w14:paraId="465494F6" w14:textId="77777777" w:rsidTr="007F2B8A">
        <w:tc>
          <w:tcPr>
            <w:tcW w:w="2394" w:type="dxa"/>
          </w:tcPr>
          <w:p w14:paraId="095896B5" w14:textId="4034476F" w:rsidR="005C7205" w:rsidRDefault="005C7205" w:rsidP="007F2B8A">
            <w:r>
              <w:t>JRC Global Surface Water v1.4 (Pekel et al., 201</w:t>
            </w:r>
            <w:r w:rsidR="00CA024F">
              <w:t>6</w:t>
            </w:r>
            <w:r>
              <w:t>)</w:t>
            </w:r>
          </w:p>
          <w:p w14:paraId="269A4205" w14:textId="77777777" w:rsidR="005C7205" w:rsidRDefault="005C7205" w:rsidP="007F2B8A">
            <w:r>
              <w:t>(JRC/GSW1_4/GlobalSurfaceWater)</w:t>
            </w:r>
          </w:p>
        </w:tc>
        <w:tc>
          <w:tcPr>
            <w:tcW w:w="2394" w:type="dxa"/>
          </w:tcPr>
          <w:p w14:paraId="06E3905D" w14:textId="77777777" w:rsidR="005C7205" w:rsidRDefault="005C7205" w:rsidP="007F2B8A">
            <w:r>
              <w:t>Permanent water: perennial (12 months) OR occurrence ≥90%</w:t>
            </w:r>
          </w:p>
        </w:tc>
        <w:tc>
          <w:tcPr>
            <w:tcW w:w="2394" w:type="dxa"/>
          </w:tcPr>
          <w:p w14:paraId="6325EB64" w14:textId="77777777" w:rsidR="005C7205" w:rsidRDefault="005C7205" w:rsidP="007F2B8A">
            <w:r>
              <w:t>30 m (native); aggregated to 500 m</w:t>
            </w:r>
          </w:p>
        </w:tc>
        <w:tc>
          <w:tcPr>
            <w:tcW w:w="2394" w:type="dxa"/>
          </w:tcPr>
          <w:p w14:paraId="40C45097" w14:textId="3B523E33" w:rsidR="005C7205" w:rsidRDefault="005C7205" w:rsidP="007F2B8A">
            <w:r>
              <w:t>Permanent-water mask; Euclidean distance to permanent water</w:t>
            </w:r>
          </w:p>
        </w:tc>
      </w:tr>
      <w:tr w:rsidR="005C7205" w14:paraId="6DA072AD" w14:textId="77777777" w:rsidTr="007F2B8A">
        <w:tc>
          <w:tcPr>
            <w:tcW w:w="2394" w:type="dxa"/>
          </w:tcPr>
          <w:p w14:paraId="35E36E9F" w14:textId="77777777" w:rsidR="005C7205" w:rsidRDefault="005C7205" w:rsidP="007F2B8A">
            <w:r>
              <w:t>CHIRPS daily precipitation (Funk et al., 2015)</w:t>
            </w:r>
          </w:p>
          <w:p w14:paraId="711787A6" w14:textId="77777777" w:rsidR="005C7205" w:rsidRDefault="005C7205" w:rsidP="007F2B8A">
            <w:r>
              <w:t>(UCSB-CHG/CHIRPS/DAILY)</w:t>
            </w:r>
          </w:p>
        </w:tc>
        <w:tc>
          <w:tcPr>
            <w:tcW w:w="2394" w:type="dxa"/>
          </w:tcPr>
          <w:p w14:paraId="2EBBECDB" w14:textId="77777777" w:rsidR="005C7205" w:rsidRDefault="005C7205" w:rsidP="007F2B8A">
            <w:r>
              <w:t>Daily precipitation aggregated to annual totals; baseline window 1981-2010</w:t>
            </w:r>
          </w:p>
        </w:tc>
        <w:tc>
          <w:tcPr>
            <w:tcW w:w="2394" w:type="dxa"/>
          </w:tcPr>
          <w:p w14:paraId="7A7A69A4" w14:textId="77777777" w:rsidR="005C7205" w:rsidRDefault="005C7205" w:rsidP="007F2B8A">
            <w:r>
              <w:t>0.05° (5-6 km) (native); resampled to 500 m grid for harmonization</w:t>
            </w:r>
          </w:p>
        </w:tc>
        <w:tc>
          <w:tcPr>
            <w:tcW w:w="2394" w:type="dxa"/>
          </w:tcPr>
          <w:p w14:paraId="4533C1D9" w14:textId="08A7E6B0" w:rsidR="005C7205" w:rsidRDefault="005C7205" w:rsidP="007F2B8A">
            <w:r>
              <w:t>Baseline mean annual precipitation (1981-2010)</w:t>
            </w:r>
          </w:p>
        </w:tc>
      </w:tr>
      <w:tr w:rsidR="005C7205" w14:paraId="70DE783E" w14:textId="77777777" w:rsidTr="007F2B8A">
        <w:tc>
          <w:tcPr>
            <w:tcW w:w="2394" w:type="dxa"/>
          </w:tcPr>
          <w:p w14:paraId="3F5C56AD" w14:textId="77777777" w:rsidR="005C7205" w:rsidRPr="00753696" w:rsidRDefault="005C7205" w:rsidP="007F2B8A">
            <w:pPr>
              <w:rPr>
                <w:lang w:val="fr-FR"/>
              </w:rPr>
            </w:pPr>
            <w:commentRangeStart w:id="15"/>
            <w:r w:rsidRPr="00753696">
              <w:rPr>
                <w:lang w:val="fr-FR"/>
              </w:rPr>
              <w:t>TerraClimate (Abatzoglou et al., 2018)</w:t>
            </w:r>
          </w:p>
          <w:p w14:paraId="54760031" w14:textId="77777777" w:rsidR="005C7205" w:rsidRPr="00753696" w:rsidRDefault="005C7205" w:rsidP="007F2B8A">
            <w:pPr>
              <w:rPr>
                <w:lang w:val="fr-FR"/>
              </w:rPr>
            </w:pPr>
            <w:r w:rsidRPr="00753696">
              <w:rPr>
                <w:lang w:val="fr-FR"/>
              </w:rPr>
              <w:lastRenderedPageBreak/>
              <w:t>(IDAHO_EPSCOR/TERRACLIMATE)</w:t>
            </w:r>
            <w:commentRangeEnd w:id="15"/>
            <w:r w:rsidR="00A04C81" w:rsidRPr="00753696">
              <w:rPr>
                <w:rStyle w:val="CommentReference"/>
                <w:sz w:val="24"/>
                <w:szCs w:val="22"/>
                <w:lang w:val="fr-FR"/>
              </w:rPr>
              <w:commentReference w:id="15"/>
            </w:r>
          </w:p>
        </w:tc>
        <w:tc>
          <w:tcPr>
            <w:tcW w:w="2394" w:type="dxa"/>
          </w:tcPr>
          <w:p w14:paraId="4DF22D5E" w14:textId="77777777" w:rsidR="005C7205" w:rsidRDefault="005C7205" w:rsidP="007F2B8A">
            <w:r>
              <w:lastRenderedPageBreak/>
              <w:t>Monthly PET and AET summed to annual totals; baseline window 1981-2010</w:t>
            </w:r>
          </w:p>
        </w:tc>
        <w:tc>
          <w:tcPr>
            <w:tcW w:w="2394" w:type="dxa"/>
          </w:tcPr>
          <w:p w14:paraId="5EC3599F" w14:textId="77777777" w:rsidR="005C7205" w:rsidRDefault="005C7205" w:rsidP="007F2B8A">
            <w:r>
              <w:t>1/24° (approximately 4 km) (native); resampled to 500 m grid for harmonization</w:t>
            </w:r>
          </w:p>
        </w:tc>
        <w:tc>
          <w:tcPr>
            <w:tcW w:w="2394" w:type="dxa"/>
          </w:tcPr>
          <w:p w14:paraId="075206E0" w14:textId="2F845890" w:rsidR="005C7205" w:rsidRDefault="005C7205" w:rsidP="007F2B8A">
            <w:r>
              <w:t xml:space="preserve">Baseline mean annual PET and AET; derived water balance </w:t>
            </w:r>
            <w:r>
              <w:lastRenderedPageBreak/>
              <w:t xml:space="preserve">(P </w:t>
            </w:r>
            <w:r w:rsidR="00CB7A4C">
              <w:t>-</w:t>
            </w:r>
            <w:r>
              <w:t xml:space="preserve"> PET); aridity index P/(PET</w:t>
            </w:r>
            <w:r w:rsidR="00CB7A4C">
              <w:t xml:space="preserve"> </w:t>
            </w:r>
            <w:r>
              <w:t>+</w:t>
            </w:r>
            <w:r w:rsidR="00CB7A4C">
              <w:t xml:space="preserve"> </w:t>
            </w:r>
            <w:r>
              <w:t>1)</w:t>
            </w:r>
          </w:p>
        </w:tc>
      </w:tr>
      <w:tr w:rsidR="005C7205" w14:paraId="7D371964" w14:textId="77777777" w:rsidTr="007F2B8A">
        <w:tc>
          <w:tcPr>
            <w:tcW w:w="2394" w:type="dxa"/>
          </w:tcPr>
          <w:p w14:paraId="21B7DD8F" w14:textId="77777777" w:rsidR="005C7205" w:rsidRDefault="005C7205" w:rsidP="007F2B8A">
            <w:r>
              <w:lastRenderedPageBreak/>
              <w:t>SoilGrids (ISRIC) mean layers (Poggio et al., 2021)</w:t>
            </w:r>
          </w:p>
          <w:p w14:paraId="25BB7451" w14:textId="77777777" w:rsidR="005C7205" w:rsidRDefault="005C7205" w:rsidP="007F2B8A">
            <w:r>
              <w:t>(</w:t>
            </w:r>
            <w:r w:rsidRPr="00EC09FE">
              <w:t>projects/soilgrids</w:t>
            </w:r>
            <w:r>
              <w:t>-</w:t>
            </w:r>
            <w:r w:rsidRPr="00EC09FE">
              <w:t>isric/</w:t>
            </w:r>
            <w:r>
              <w:t>*)</w:t>
            </w:r>
          </w:p>
        </w:tc>
        <w:tc>
          <w:tcPr>
            <w:tcW w:w="2394" w:type="dxa"/>
          </w:tcPr>
          <w:p w14:paraId="236A1833" w14:textId="77777777" w:rsidR="005C7205" w:rsidRDefault="005C7205" w:rsidP="007F2B8A">
            <w:r>
              <w:t>0-30 cm depth-weighted means (0-5, 5-15, 15-30 cm weighted by thickness) for SOC, pH (H2O), clay, sand</w:t>
            </w:r>
          </w:p>
        </w:tc>
        <w:tc>
          <w:tcPr>
            <w:tcW w:w="2394" w:type="dxa"/>
          </w:tcPr>
          <w:p w14:paraId="382F2F06" w14:textId="77777777" w:rsidR="005C7205" w:rsidRDefault="005C7205" w:rsidP="007F2B8A">
            <w:r>
              <w:t>SoilGrids native approximately 250 m; harmonized to 500 m mean</w:t>
            </w:r>
          </w:p>
        </w:tc>
        <w:tc>
          <w:tcPr>
            <w:tcW w:w="2394" w:type="dxa"/>
          </w:tcPr>
          <w:p w14:paraId="052BD280" w14:textId="03466721" w:rsidR="005C7205" w:rsidRDefault="005C7205" w:rsidP="007F2B8A">
            <w:r>
              <w:t>SOC, pH, clay, sand (0-30 cm)</w:t>
            </w:r>
          </w:p>
        </w:tc>
      </w:tr>
      <w:tr w:rsidR="005C7205" w14:paraId="1BFAFC18" w14:textId="77777777" w:rsidTr="007F2B8A">
        <w:tc>
          <w:tcPr>
            <w:tcW w:w="2394" w:type="dxa"/>
          </w:tcPr>
          <w:p w14:paraId="45D60791" w14:textId="77777777" w:rsidR="005C7205" w:rsidRDefault="005C7205" w:rsidP="007F2B8A">
            <w:r>
              <w:t>GHSL built-up surface (</w:t>
            </w:r>
            <w:r w:rsidRPr="0049653F">
              <w:t xml:space="preserve">Pesaresi </w:t>
            </w:r>
            <w:r>
              <w:t>et al., 2024)</w:t>
            </w:r>
          </w:p>
          <w:p w14:paraId="3EED116E" w14:textId="77777777" w:rsidR="005C7205" w:rsidRDefault="005C7205" w:rsidP="007F2B8A">
            <w:r>
              <w:t>(JRC/GHSL/P2023A/GHS_BUILT_S)</w:t>
            </w:r>
          </w:p>
        </w:tc>
        <w:tc>
          <w:tcPr>
            <w:tcW w:w="2394" w:type="dxa"/>
          </w:tcPr>
          <w:p w14:paraId="27C274F1" w14:textId="27F0B2F5" w:rsidR="005C7205" w:rsidRDefault="005C7205" w:rsidP="007F2B8A">
            <w:r>
              <w:t xml:space="preserve">Baseline </w:t>
            </w:r>
            <w:r w:rsidR="00827B93">
              <w:t>built-up</w:t>
            </w:r>
            <w:r>
              <w:t xml:space="preserve"> mask: urbanization timing 2000 or earlier; 8-neighborhood patches; drop patches smaller than 4 cells; distance normalized by √(patch area); retain per-cell minimum</w:t>
            </w:r>
          </w:p>
        </w:tc>
        <w:tc>
          <w:tcPr>
            <w:tcW w:w="2394" w:type="dxa"/>
          </w:tcPr>
          <w:p w14:paraId="6A0CFC11" w14:textId="77777777" w:rsidR="005C7205" w:rsidRDefault="005C7205" w:rsidP="007F2B8A">
            <w:r>
              <w:t>500 m (derived)</w:t>
            </w:r>
          </w:p>
        </w:tc>
        <w:tc>
          <w:tcPr>
            <w:tcW w:w="2394" w:type="dxa"/>
          </w:tcPr>
          <w:p w14:paraId="0F2F1310" w14:textId="05CD7EC9" w:rsidR="005C7205" w:rsidRDefault="00AC52B7" w:rsidP="007F2B8A">
            <w:r>
              <w:t>Distance to settlements, weighed by settlement size</w:t>
            </w:r>
          </w:p>
        </w:tc>
      </w:tr>
      <w:tr w:rsidR="005C7205" w14:paraId="097D06B2" w14:textId="77777777" w:rsidTr="007F2B8A">
        <w:tc>
          <w:tcPr>
            <w:tcW w:w="2394" w:type="dxa"/>
          </w:tcPr>
          <w:p w14:paraId="06A5EFCD" w14:textId="77777777" w:rsidR="005C7205" w:rsidRDefault="005C7205" w:rsidP="007F2B8A">
            <w:r>
              <w:t>Accessibility to cities (Weiss et al., 2018)</w:t>
            </w:r>
          </w:p>
          <w:p w14:paraId="26ED3F1A" w14:textId="77777777" w:rsidR="005C7205" w:rsidRDefault="005C7205" w:rsidP="007F2B8A">
            <w:r>
              <w:t>(Oxford/MAP/accessibility_to_cities_2015_v1_0)</w:t>
            </w:r>
          </w:p>
        </w:tc>
        <w:tc>
          <w:tcPr>
            <w:tcW w:w="2394" w:type="dxa"/>
          </w:tcPr>
          <w:p w14:paraId="769A81B0" w14:textId="77777777" w:rsidR="005C7205" w:rsidRDefault="005C7205" w:rsidP="007F2B8A">
            <w:r>
              <w:t>Travel time to nearest city (minutes), nominal year 2015</w:t>
            </w:r>
          </w:p>
        </w:tc>
        <w:tc>
          <w:tcPr>
            <w:tcW w:w="2394" w:type="dxa"/>
          </w:tcPr>
          <w:p w14:paraId="206E3473" w14:textId="77777777" w:rsidR="005C7205" w:rsidRDefault="005C7205" w:rsidP="007F2B8A">
            <w:r>
              <w:t>Approximately 1 km (native); aggregated to 500 m</w:t>
            </w:r>
          </w:p>
        </w:tc>
        <w:tc>
          <w:tcPr>
            <w:tcW w:w="2394" w:type="dxa"/>
          </w:tcPr>
          <w:p w14:paraId="3EDEEED4" w14:textId="1891B055" w:rsidR="005C7205" w:rsidRDefault="005C7205" w:rsidP="007F2B8A">
            <w:r>
              <w:t>Accessibility</w:t>
            </w:r>
          </w:p>
        </w:tc>
      </w:tr>
      <w:tr w:rsidR="005C7205" w14:paraId="35712471" w14:textId="77777777" w:rsidTr="007F2B8A">
        <w:tc>
          <w:tcPr>
            <w:tcW w:w="2394" w:type="dxa"/>
          </w:tcPr>
          <w:p w14:paraId="1C769FAD" w14:textId="77777777" w:rsidR="005C7205" w:rsidRDefault="005C7205" w:rsidP="007F2B8A">
            <w:r w:rsidRPr="00995B5C">
              <w:t>Copernicus DEM GLO</w:t>
            </w:r>
            <w:r>
              <w:t>-</w:t>
            </w:r>
            <w:r w:rsidRPr="00995B5C">
              <w:t>30 (European Space Agency (ESA</w:t>
            </w:r>
            <w:r>
              <w:t>), 2023)</w:t>
            </w:r>
          </w:p>
          <w:p w14:paraId="0DD86E7E" w14:textId="77777777" w:rsidR="005C7205" w:rsidRPr="00995B5C" w:rsidRDefault="005C7205" w:rsidP="007F2B8A">
            <w:r w:rsidRPr="00995B5C">
              <w:t>(COPERNICUS/DEM/GLO30)</w:t>
            </w:r>
          </w:p>
        </w:tc>
        <w:tc>
          <w:tcPr>
            <w:tcW w:w="2394" w:type="dxa"/>
          </w:tcPr>
          <w:p w14:paraId="4313858E" w14:textId="77777777" w:rsidR="005C7205" w:rsidRDefault="005C7205" w:rsidP="007F2B8A">
            <w:r>
              <w:t>Elevation; slope derived using terra on the projected DEM using terra (Hijmans et al., 2026) in R (R Core Team, 2026)</w:t>
            </w:r>
          </w:p>
        </w:tc>
        <w:tc>
          <w:tcPr>
            <w:tcW w:w="2394" w:type="dxa"/>
          </w:tcPr>
          <w:p w14:paraId="5EF771C0" w14:textId="77777777" w:rsidR="005C7205" w:rsidRDefault="005C7205" w:rsidP="007F2B8A">
            <w:r>
              <w:t>30 m (native); resampled to 500 m grid</w:t>
            </w:r>
          </w:p>
        </w:tc>
        <w:tc>
          <w:tcPr>
            <w:tcW w:w="2394" w:type="dxa"/>
          </w:tcPr>
          <w:p w14:paraId="55D3B26F" w14:textId="030AE90F" w:rsidR="005C7205" w:rsidRDefault="005C7205" w:rsidP="007F2B8A">
            <w:r>
              <w:t>500 m mean elevation (m); slope (degrees)</w:t>
            </w:r>
          </w:p>
        </w:tc>
      </w:tr>
    </w:tbl>
    <w:p w14:paraId="6BDA399E" w14:textId="77777777" w:rsidR="008F2A72" w:rsidRDefault="008F2A72" w:rsidP="008F2A72">
      <w:pPr>
        <w:pStyle w:val="Heading3"/>
      </w:pPr>
      <w:r w:rsidRPr="008F2A72">
        <w:t>2.2.2 Baseline covariates and SESU derivation</w:t>
      </w:r>
    </w:p>
    <w:p w14:paraId="131CFAF5" w14:textId="2B464634" w:rsidR="003210E2" w:rsidRDefault="00945CB3" w:rsidP="003210E2">
      <w:r w:rsidRPr="00945CB3">
        <w:t>We derived socio-ecological system units (SESUs) to control for baseline differences in disturbance opportunity before assessing boundary differences.</w:t>
      </w:r>
      <w:r>
        <w:t xml:space="preserve"> </w:t>
      </w:r>
      <w:r w:rsidR="006313FB" w:rsidRPr="006313FB">
        <w:t xml:space="preserve">Protected areas are often located in less accessible landscapes, so a raw </w:t>
      </w:r>
      <w:r w:rsidR="00AB627D">
        <w:t>boundary</w:t>
      </w:r>
      <w:r w:rsidR="006313FB" w:rsidRPr="006313FB">
        <w:t xml:space="preserve"> comparison risks confounding governance with pre-existing exposure to conversion. </w:t>
      </w:r>
      <w:r w:rsidR="000A3740" w:rsidRPr="000A3740">
        <w:t>SESUs therefore function as baseline exposure strata</w:t>
      </w:r>
      <w:r w:rsidR="00A233CE">
        <w:t>, where</w:t>
      </w:r>
      <w:r w:rsidR="000A3740" w:rsidRPr="000A3740">
        <w:t xml:space="preserve"> they group 500 m cells with similar combinations of terrain, hydrology, baseline vegetation, and </w:t>
      </w:r>
      <w:r w:rsidR="000A3740" w:rsidRPr="000A3740">
        <w:lastRenderedPageBreak/>
        <w:t xml:space="preserve">access conditions, so that </w:t>
      </w:r>
      <w:r w:rsidR="00A233CE">
        <w:t>the</w:t>
      </w:r>
      <w:r w:rsidR="000A3740" w:rsidRPr="000A3740">
        <w:t xml:space="preserve"> differences </w:t>
      </w:r>
      <w:r w:rsidR="000C741F">
        <w:t xml:space="preserve">across the park boundary </w:t>
      </w:r>
      <w:r w:rsidR="000A3740" w:rsidRPr="000A3740">
        <w:t>are evaluated among cells with broadly comparable biophysical and infrastructural settings.</w:t>
      </w:r>
      <w:r w:rsidR="006313FB" w:rsidRPr="006313FB">
        <w:t xml:space="preserve"> We retain the term socio-ecological because the variables jointly capture ecological constraints on land use and the access conditions that structure human presence, settlement, and resource use (Ostrom, 2009; Cumming and Allen, 2017).</w:t>
      </w:r>
    </w:p>
    <w:p w14:paraId="5D822091" w14:textId="5FB82072" w:rsidR="0095784F" w:rsidRDefault="0095784F" w:rsidP="003210E2">
      <w:r w:rsidRPr="0095784F">
        <w:t>To delineate SESUs, we assembled the baseline covariate</w:t>
      </w:r>
      <w:r w:rsidR="00F66429" w:rsidRPr="003E2DD9">
        <w:t xml:space="preserve"> </w:t>
      </w:r>
      <w:commentRangeStart w:id="16"/>
      <w:commentRangeEnd w:id="16"/>
      <w:r w:rsidR="00F66429" w:rsidRPr="0095784F">
        <w:rPr>
          <w:rStyle w:val="CommentReference"/>
          <w:sz w:val="24"/>
          <w:szCs w:val="22"/>
        </w:rPr>
        <w:commentReference w:id="16"/>
      </w:r>
      <w:r w:rsidRPr="0095784F">
        <w:t xml:space="preserve">layers in Google Earth Engine on a </w:t>
      </w:r>
      <w:r w:rsidRPr="003E2DD9">
        <w:t xml:space="preserve">common </w:t>
      </w:r>
      <w:commentRangeStart w:id="17"/>
      <w:r w:rsidRPr="003E2DD9">
        <w:t>500 m</w:t>
      </w:r>
      <w:commentRangeEnd w:id="17"/>
      <w:r>
        <w:rPr>
          <w:rStyle w:val="CommentReference"/>
          <w:sz w:val="24"/>
          <w:szCs w:val="22"/>
        </w:rPr>
        <w:commentReference w:id="17"/>
      </w:r>
      <w:r>
        <w:t xml:space="preserve"> resolution</w:t>
      </w:r>
      <w:r w:rsidRPr="003E2DD9">
        <w:t xml:space="preserve"> </w:t>
      </w:r>
      <w:r w:rsidRPr="0095784F">
        <w:t xml:space="preserve">grid (EPSG:32735) and exported them for clustering and downstream analysis in </w:t>
      </w:r>
      <w:commentRangeStart w:id="18"/>
      <w:r w:rsidR="00F66429" w:rsidRPr="003E2DD9">
        <w:t>R</w:t>
      </w:r>
      <w:commentRangeEnd w:id="18"/>
      <w:r w:rsidR="00F66429">
        <w:rPr>
          <w:rStyle w:val="CommentReference"/>
          <w:sz w:val="24"/>
          <w:szCs w:val="22"/>
        </w:rPr>
        <w:commentReference w:id="18"/>
      </w:r>
      <w:r w:rsidR="00F66429">
        <w:t xml:space="preserve"> </w:t>
      </w:r>
      <w:r w:rsidRPr="0095784F">
        <w:t xml:space="preserve">version 4.5.1 (Gorelick et al., 2017; R Core Team, 2026). </w:t>
      </w:r>
      <w:r w:rsidR="00DE017D" w:rsidRPr="00DE017D">
        <w:t>We</w:t>
      </w:r>
      <w:r w:rsidR="00952E39">
        <w:t xml:space="preserve"> log-</w:t>
      </w:r>
      <w:r w:rsidR="00DE017D" w:rsidRPr="00DE017D">
        <w:t>transformed accessibility, distance-to-settlement, and distance-to-water variables to reduce right-skew</w:t>
      </w:r>
      <w:r w:rsidR="003F47CE">
        <w:t xml:space="preserve"> </w:t>
      </w:r>
      <w:r w:rsidR="00DE017D" w:rsidRPr="00DE017D">
        <w:t>and the influence of extreme values on the k-means partition</w:t>
      </w:r>
      <w:r w:rsidR="00DB7E5B" w:rsidRPr="00DB7E5B">
        <w:t>. We then standardized all features so that no single variable dominated the solution because of scale</w:t>
      </w:r>
      <w:r w:rsidRPr="0095784F">
        <w:t>. We fi</w:t>
      </w:r>
      <w:r w:rsidR="00952E39">
        <w:t>t</w:t>
      </w:r>
      <w:r w:rsidRPr="0095784F">
        <w:t>t</w:t>
      </w:r>
      <w:r w:rsidR="00952E39">
        <w:t>ed</w:t>
      </w:r>
      <w:r w:rsidRPr="0095784F">
        <w:t xml:space="preserve"> k-means for k = 2</w:t>
      </w:r>
      <w:r w:rsidR="00507DA5">
        <w:t>-</w:t>
      </w:r>
      <w:r w:rsidRPr="0095784F">
        <w:t>10 and selected the final partition using the mean silhouette profile evaluated on a random sample of 20,000 cells (</w:t>
      </w:r>
      <w:r w:rsidR="00DB5E80" w:rsidRPr="00DB5E80">
        <w:rPr>
          <w:b/>
          <w:bCs/>
        </w:rPr>
        <w:t>Appendix 6.1</w:t>
      </w:r>
      <w:r w:rsidRPr="0095784F">
        <w:t xml:space="preserve">). Cluster labels were then rasterized back to the 500 m grid. </w:t>
      </w:r>
      <w:r w:rsidR="00556618" w:rsidRPr="00556618">
        <w:t xml:space="preserve">Because k-means does not enforce spatial contiguity, we applied a local de-speckling rule in which cells whose assigned label matched at most one of their eight neighbors were reassigned to the </w:t>
      </w:r>
      <w:r w:rsidR="00C01A5E">
        <w:t>most common label across</w:t>
      </w:r>
      <w:r w:rsidR="00556618" w:rsidRPr="00556618">
        <w:t xml:space="preserve"> their 8-cell neighborhood</w:t>
      </w:r>
      <w:r w:rsidRPr="0095784F">
        <w:t xml:space="preserve">. </w:t>
      </w:r>
      <w:r w:rsidR="00B47877" w:rsidRPr="00B47877">
        <w:t xml:space="preserve">For boundary analyses, we retained only SESUs with sufficient cell counts on both sides of the </w:t>
      </w:r>
      <w:r w:rsidR="00250898">
        <w:t>p</w:t>
      </w:r>
      <w:r w:rsidR="00B47877" w:rsidRPr="00B47877">
        <w:t>ark boundary to support stable binomial aggregation, namely SESU1 and SESU3</w:t>
      </w:r>
      <w:r w:rsidR="00737D38">
        <w:t>, while excluding SESU2</w:t>
      </w:r>
      <w:r w:rsidR="00B47877" w:rsidRPr="00B47877">
        <w:t xml:space="preserve"> </w:t>
      </w:r>
      <w:r w:rsidR="00F55E2A">
        <w:t>(</w:t>
      </w:r>
      <w:r w:rsidR="004E0DE1">
        <w:rPr>
          <w:b/>
          <w:bCs/>
        </w:rPr>
        <w:t xml:space="preserve">Fig. 2; </w:t>
      </w:r>
      <w:r w:rsidR="004E0DE1" w:rsidRPr="00DB5E80">
        <w:rPr>
          <w:b/>
          <w:bCs/>
        </w:rPr>
        <w:t>Appendix 6.1</w:t>
      </w:r>
      <w:r w:rsidR="00626809">
        <w:t>)</w:t>
      </w:r>
      <w:r w:rsidRPr="0095784F">
        <w:t>.</w:t>
      </w:r>
    </w:p>
    <w:p w14:paraId="24372DE7" w14:textId="08AD529D" w:rsidR="00D84C58" w:rsidRPr="004259C0" w:rsidRDefault="004259C0" w:rsidP="00D84C58">
      <w:pPr>
        <w:keepNext/>
        <w:rPr>
          <w:noProof/>
          <w:lang w:val="en-NL"/>
        </w:rPr>
      </w:pPr>
      <w:r w:rsidRPr="004259C0">
        <w:rPr>
          <w:noProof/>
          <w:lang w:val="en-NL"/>
        </w:rPr>
        <w:lastRenderedPageBreak/>
        <w:drawing>
          <wp:inline distT="0" distB="0" distL="0" distR="0" wp14:anchorId="1B798751" wp14:editId="7C471405">
            <wp:extent cx="5943600" cy="7611745"/>
            <wp:effectExtent l="0" t="0" r="0" b="8255"/>
            <wp:docPr id="165939424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943600" cy="7611745"/>
                    </a:xfrm>
                    <a:prstGeom prst="rect">
                      <a:avLst/>
                    </a:prstGeom>
                    <a:noFill/>
                    <a:ln>
                      <a:noFill/>
                    </a:ln>
                  </pic:spPr>
                </pic:pic>
              </a:graphicData>
            </a:graphic>
          </wp:inline>
        </w:drawing>
      </w:r>
    </w:p>
    <w:p w14:paraId="0E1BD365" w14:textId="79B7288E" w:rsidR="00D84C58" w:rsidRPr="00D84C58" w:rsidRDefault="00D84C58" w:rsidP="00D84C58">
      <w:pPr>
        <w:pStyle w:val="Caption"/>
        <w:rPr>
          <w:b w:val="0"/>
          <w:bCs w:val="0"/>
        </w:rPr>
      </w:pPr>
      <w:bookmarkStart w:id="19" w:name="_Ref228183525"/>
      <w:commentRangeStart w:id="20"/>
      <w:commentRangeStart w:id="21"/>
      <w:r>
        <w:t xml:space="preserve">Figure </w:t>
      </w:r>
      <w:r>
        <w:fldChar w:fldCharType="begin"/>
      </w:r>
      <w:r>
        <w:instrText xml:space="preserve"> SEQ Figure \* ARABIC </w:instrText>
      </w:r>
      <w:r>
        <w:fldChar w:fldCharType="separate"/>
      </w:r>
      <w:r w:rsidR="008C7295">
        <w:rPr>
          <w:noProof/>
        </w:rPr>
        <w:t>2</w:t>
      </w:r>
      <w:r>
        <w:fldChar w:fldCharType="end"/>
      </w:r>
      <w:bookmarkEnd w:id="19"/>
      <w:r>
        <w:t>:</w:t>
      </w:r>
      <w:commentRangeEnd w:id="20"/>
      <w:r w:rsidR="009E29B7">
        <w:rPr>
          <w:rStyle w:val="CommentReference"/>
          <w:sz w:val="18"/>
          <w:szCs w:val="18"/>
        </w:rPr>
        <w:commentReference w:id="20"/>
      </w:r>
      <w:commentRangeEnd w:id="21"/>
      <w:r w:rsidR="00451CBB">
        <w:rPr>
          <w:rStyle w:val="CommentReference"/>
          <w:sz w:val="18"/>
          <w:szCs w:val="18"/>
        </w:rPr>
        <w:commentReference w:id="21"/>
      </w:r>
      <w:r>
        <w:t xml:space="preserve"> </w:t>
      </w:r>
      <w:r w:rsidRPr="005F2D4C">
        <w:t>Socio-ecological system units (SESUs) derived by unsupervised clustering</w:t>
      </w:r>
      <w:r w:rsidRPr="006D0F3A">
        <w:rPr>
          <w:b w:val="0"/>
          <w:bCs w:val="0"/>
        </w:rPr>
        <w:t xml:space="preserve">. Map of the </w:t>
      </w:r>
      <w:r w:rsidR="00241328">
        <w:rPr>
          <w:b w:val="0"/>
          <w:bCs w:val="0"/>
        </w:rPr>
        <w:t>study area</w:t>
      </w:r>
      <w:r w:rsidRPr="006D0F3A">
        <w:rPr>
          <w:b w:val="0"/>
          <w:bCs w:val="0"/>
        </w:rPr>
        <w:t xml:space="preserve"> showing the three SESU classes (k=3) assigned by k-means clustering (see </w:t>
      </w:r>
      <w:r w:rsidRPr="001B2AC7">
        <w:t>Table 1</w:t>
      </w:r>
      <w:r w:rsidRPr="006D0F3A">
        <w:rPr>
          <w:b w:val="0"/>
          <w:bCs w:val="0"/>
        </w:rPr>
        <w:t xml:space="preserve"> for inputs). SESUs are used as fixed spatial strata for all </w:t>
      </w:r>
      <w:r w:rsidRPr="006D0F3A">
        <w:rPr>
          <w:b w:val="0"/>
          <w:bCs w:val="0"/>
        </w:rPr>
        <w:lastRenderedPageBreak/>
        <w:t>subsequent boundary-permeability modeling. The map’s extent corresponds</w:t>
      </w:r>
      <w:r w:rsidRPr="00E6169B">
        <w:rPr>
          <w:b w:val="0"/>
          <w:bCs w:val="0"/>
        </w:rPr>
        <w:t xml:space="preserve"> to </w:t>
      </w:r>
      <w:commentRangeStart w:id="22"/>
      <w:r w:rsidRPr="00E6169B">
        <w:rPr>
          <w:b w:val="0"/>
          <w:bCs w:val="0"/>
        </w:rPr>
        <w:t>the study area</w:t>
      </w:r>
      <w:r w:rsidR="0F9D200E">
        <w:rPr>
          <w:b w:val="0"/>
          <w:bCs w:val="0"/>
        </w:rPr>
        <w:t>, what we call the</w:t>
      </w:r>
      <w:r>
        <w:rPr>
          <w:b w:val="0"/>
          <w:bCs w:val="0"/>
        </w:rPr>
        <w:t xml:space="preserve"> </w:t>
      </w:r>
      <w:r w:rsidR="181816DE">
        <w:rPr>
          <w:b w:val="0"/>
          <w:bCs w:val="0"/>
        </w:rPr>
        <w:t>Upemba landscape</w:t>
      </w:r>
      <w:r w:rsidRPr="00E6169B">
        <w:rPr>
          <w:b w:val="0"/>
          <w:bCs w:val="0"/>
        </w:rPr>
        <w:t xml:space="preserve"> (64,100 km²; 25.48</w:t>
      </w:r>
      <w:r w:rsidR="00507DA5">
        <w:rPr>
          <w:b w:val="0"/>
          <w:bCs w:val="0"/>
        </w:rPr>
        <w:t>-</w:t>
      </w:r>
      <w:r w:rsidRPr="00E6169B">
        <w:rPr>
          <w:b w:val="0"/>
          <w:bCs w:val="0"/>
        </w:rPr>
        <w:t>27.50°E, 10.4 to 7.8°</w:t>
      </w:r>
      <w:r w:rsidR="00416845">
        <w:rPr>
          <w:b w:val="0"/>
          <w:bCs w:val="0"/>
        </w:rPr>
        <w:t>S</w:t>
      </w:r>
      <w:commentRangeEnd w:id="22"/>
      <w:r>
        <w:rPr>
          <w:rStyle w:val="CommentReference"/>
          <w:b w:val="0"/>
          <w:bCs w:val="0"/>
          <w:sz w:val="18"/>
          <w:szCs w:val="18"/>
        </w:rPr>
        <w:commentReference w:id="22"/>
      </w:r>
      <w:r>
        <w:rPr>
          <w:b w:val="0"/>
          <w:bCs w:val="0"/>
        </w:rPr>
        <w:t>).</w:t>
      </w:r>
    </w:p>
    <w:p w14:paraId="595736D6" w14:textId="722FD2FA" w:rsidR="00C550AB" w:rsidRDefault="00C550AB" w:rsidP="00C550AB">
      <w:pPr>
        <w:pStyle w:val="Heading3"/>
      </w:pPr>
      <w:r w:rsidRPr="00C550AB">
        <w:t>2.2.3 Disturbance-event construction</w:t>
      </w:r>
    </w:p>
    <w:p w14:paraId="25EE28D3" w14:textId="0FF84211" w:rsidR="004803D7" w:rsidRPr="004803D7" w:rsidRDefault="004803D7" w:rsidP="004803D7">
      <w:r w:rsidRPr="004803D7">
        <w:t>We converted the SESU raster, the Upemba National Park boundary</w:t>
      </w:r>
      <w:r w:rsidR="00147F32">
        <w:t xml:space="preserve"> (digitized from </w:t>
      </w:r>
      <w:r w:rsidR="00A72702">
        <w:t xml:space="preserve">the official delimitation text </w:t>
      </w:r>
      <w:r w:rsidR="00147F32">
        <w:t>Ordonnance 75-241 du 22 juillet 1975)</w:t>
      </w:r>
      <w:r w:rsidRPr="004803D7">
        <w:t>, and the fire, deforestation, and agricultural expansion</w:t>
      </w:r>
      <w:r w:rsidR="005F6C5A">
        <w:t xml:space="preserve"> rasters</w:t>
      </w:r>
      <w:r w:rsidRPr="004803D7">
        <w:t xml:space="preserve"> </w:t>
      </w:r>
      <w:r w:rsidR="000C464B" w:rsidRPr="004803D7">
        <w:t xml:space="preserve">into model-ready event tables on the common 500 m grid. </w:t>
      </w:r>
      <w:r w:rsidR="00B5764E" w:rsidRPr="00B5764E">
        <w:t xml:space="preserve">Products available at finer native resolution were aggregated to 500 m. For fire, we computed the fraction of each 500 m cell burned and the earliest burn day-of-year </w:t>
      </w:r>
      <w:r w:rsidR="0086632E">
        <w:t>in each pixel</w:t>
      </w:r>
      <w:r w:rsidR="00B5764E" w:rsidRPr="00B5764E">
        <w:t xml:space="preserve">. For deforestation and agricultural expansion, we computed the cumulative </w:t>
      </w:r>
      <w:r w:rsidR="008D223A">
        <w:t>converted</w:t>
      </w:r>
      <w:r w:rsidR="00B5764E" w:rsidRPr="00B5764E">
        <w:t xml:space="preserve"> fraction within each 500 m cell</w:t>
      </w:r>
      <w:r w:rsidRPr="004803D7">
        <w:t xml:space="preserve">. </w:t>
      </w:r>
      <w:r w:rsidR="00887E9D" w:rsidRPr="00887E9D">
        <w:t xml:space="preserve">For each outcome, each 500 m cell </w:t>
      </w:r>
      <w:r w:rsidR="001F5602">
        <w:t xml:space="preserve">was transformed </w:t>
      </w:r>
      <w:r w:rsidR="00887E9D" w:rsidRPr="00887E9D">
        <w:t xml:space="preserve">into a sequence of annual observations (“pixel-years”) contributing to the discrete-time risk set until an event occurred, then aggregated these contributions to SESU × year × </w:t>
      </w:r>
      <w:commentRangeStart w:id="23"/>
      <w:r w:rsidRPr="004803D7">
        <w:t xml:space="preserve">National Park side strata. </w:t>
      </w:r>
      <w:commentRangeEnd w:id="23"/>
      <w:r w:rsidR="003C41DD" w:rsidRPr="004803D7">
        <w:rPr>
          <w:rStyle w:val="CommentReference"/>
          <w:sz w:val="24"/>
          <w:szCs w:val="22"/>
        </w:rPr>
        <w:commentReference w:id="23"/>
      </w:r>
      <w:r w:rsidRPr="004803D7">
        <w:t>Deforestation and agricultural expansion were treated as first-transition outcomes at 500 m</w:t>
      </w:r>
      <w:r w:rsidR="004115D0">
        <w:t>, where</w:t>
      </w:r>
      <w:r w:rsidRPr="004803D7">
        <w:t xml:space="preserve"> for each cell, we assigned the earliest year in which the cumulative disturbed fraction reached </w:t>
      </w:r>
      <w:commentRangeStart w:id="24"/>
      <w:r w:rsidRPr="004803D7">
        <w:t>at least 25%</w:t>
      </w:r>
      <w:commentRangeEnd w:id="24"/>
      <w:r w:rsidR="003C41DD" w:rsidRPr="004803D7">
        <w:rPr>
          <w:rStyle w:val="CommentReference"/>
          <w:sz w:val="24"/>
          <w:szCs w:val="22"/>
        </w:rPr>
        <w:commentReference w:id="24"/>
      </w:r>
      <w:r w:rsidRPr="004803D7">
        <w:t xml:space="preserve"> of cell area</w:t>
      </w:r>
      <w:r w:rsidR="003C41DD">
        <w:t xml:space="preserve"> (justified below)</w:t>
      </w:r>
      <w:r w:rsidRPr="004803D7">
        <w:t>, counted that year as the event, and removed the cell from the risk set thereafter for that outcome. Fire was treated as a recurrent annual outcome</w:t>
      </w:r>
      <w:r w:rsidR="006A3DED">
        <w:t>, where for</w:t>
      </w:r>
      <w:r w:rsidRPr="004803D7">
        <w:t xml:space="preserve"> each pixel-year, we coded </w:t>
      </w:r>
      <w:r w:rsidR="00BE05D1">
        <w:t>a fire event</w:t>
      </w:r>
      <w:r w:rsidRPr="004803D7">
        <w:t xml:space="preserve"> if the 500 m FireCCI-derived burn date was nonzero and fell within Julian days 100</w:t>
      </w:r>
      <w:r w:rsidR="00507DA5">
        <w:t>-</w:t>
      </w:r>
      <w:r w:rsidRPr="004803D7">
        <w:t xml:space="preserve">300; burned cells remained in the risk set in subsequent years. </w:t>
      </w:r>
      <w:r w:rsidR="007E2CDD" w:rsidRPr="007E2CDD">
        <w:t xml:space="preserve">Aggregation over cells within each SESU × year × side stratum </w:t>
      </w:r>
      <w:r w:rsidR="00466452">
        <w:t>produced</w:t>
      </w:r>
      <w:r w:rsidR="007E2CDD" w:rsidRPr="007E2CDD">
        <w:t xml:space="preserve"> paired binomial counts, namely the number of disturbed pixel-years and the number of pixel-years at risk, which served as the response inputs to the downstream beta-binomial boundary-permeability models</w:t>
      </w:r>
      <w:r w:rsidRPr="004803D7">
        <w:t>.</w:t>
      </w:r>
    </w:p>
    <w:p w14:paraId="3CA0E9CA" w14:textId="2830671F" w:rsidR="004803D7" w:rsidRPr="004803D7" w:rsidRDefault="76F2F063" w:rsidP="004803D7">
      <w:commentRangeStart w:id="25"/>
      <w:r>
        <w:t xml:space="preserve">We used a 25% threshold </w:t>
      </w:r>
      <w:commentRangeEnd w:id="25"/>
      <w:r w:rsidR="003C41DD">
        <w:rPr>
          <w:rStyle w:val="CommentReference"/>
          <w:sz w:val="24"/>
          <w:szCs w:val="22"/>
        </w:rPr>
        <w:commentReference w:id="25"/>
      </w:r>
      <w:r>
        <w:t xml:space="preserve">because </w:t>
      </w:r>
      <w:r w:rsidR="006F1702" w:rsidRPr="006F1702">
        <w:t>all disturbance products were aggregated to a common 500 m grid and this value corresponds to the minimum event fraction compatible with the coarsest product, FireCCI, for which one 250 m burned subpixel occupies one-quarter of a 500 m cell.</w:t>
      </w:r>
      <w:r w:rsidR="006F1702">
        <w:t xml:space="preserve"> </w:t>
      </w:r>
      <w:r>
        <w:t xml:space="preserve">Applying the same threshold to deforestation and agricultural expansion ensured that all three outcomes were converted into events using a consistent area rule. </w:t>
      </w:r>
      <w:r w:rsidR="00D463E8">
        <w:t>This</w:t>
      </w:r>
      <w:r>
        <w:t xml:space="preserve"> is appropriate because w</w:t>
      </w:r>
      <w:r w:rsidR="004803D7">
        <w:t>e</w:t>
      </w:r>
      <w:r w:rsidR="004803D7" w:rsidRPr="004803D7">
        <w:t xml:space="preserve"> do not interpret the disturbance products as estimates of true annual area change</w:t>
      </w:r>
      <w:r w:rsidR="00D62496">
        <w:t xml:space="preserve">, but we are analyzing </w:t>
      </w:r>
      <w:r w:rsidR="00F6791A">
        <w:t>differences inside vs. outside the park,</w:t>
      </w:r>
      <w:r w:rsidR="00BA04A9" w:rsidRPr="00BA04A9">
        <w:t xml:space="preserve"> computed within the same SESU and year</w:t>
      </w:r>
      <w:r w:rsidR="004803D7" w:rsidRPr="004803D7">
        <w:t xml:space="preserve">. </w:t>
      </w:r>
      <w:r w:rsidR="005810DA" w:rsidRPr="005810DA">
        <w:t>This design reduces sensitivity to product-specific level bias and classification disagreement in the underlying remote-sensing layers</w:t>
      </w:r>
      <w:r w:rsidR="004803D7" w:rsidRPr="004803D7">
        <w:t xml:space="preserve"> (Olofsson et al., 2014; Archibald et al., 2010; Kerner et al., 2024).</w:t>
      </w:r>
    </w:p>
    <w:p w14:paraId="79C16169" w14:textId="11EB37EF" w:rsidR="009B4C32" w:rsidRDefault="009B4C32" w:rsidP="009B4C32">
      <w:pPr>
        <w:pStyle w:val="Heading2"/>
      </w:pPr>
      <w:r w:rsidRPr="009B4C32">
        <w:t>2.3 Governance</w:t>
      </w:r>
      <w:r w:rsidR="00562DE2">
        <w:t xml:space="preserve"> profile</w:t>
      </w:r>
      <w:r w:rsidR="002C72AB">
        <w:t>s</w:t>
      </w:r>
    </w:p>
    <w:p w14:paraId="1EA7032D" w14:textId="79A60015" w:rsidR="00BC6F6A" w:rsidRPr="00BC6F6A" w:rsidRDefault="00BC6F6A" w:rsidP="00BC6F6A">
      <w:r w:rsidRPr="00BC6F6A">
        <w:t xml:space="preserve">For each of the two retained SESUs, we assembled a year-by-year governance timeline for 2001–2022 by compiling dated evidence on actors with coercive or regulatory capacity relevant to resource access within the Upemba landscape. The evidence base comprises archival and technical reports, park and NGO documentation, </w:t>
      </w:r>
      <w:r w:rsidR="00FD198D">
        <w:t xml:space="preserve">and </w:t>
      </w:r>
      <w:r w:rsidRPr="00BC6F6A">
        <w:t xml:space="preserve">media reporting. The timeline focuses on two power structures that plausibly shape </w:t>
      </w:r>
      <w:r w:rsidR="00671573">
        <w:t>resource access in the park</w:t>
      </w:r>
      <w:r w:rsidRPr="00BC6F6A">
        <w:t xml:space="preserve">: Upemba National Park as an institution, including ranger presence, patrol capacity, infrastructure and support, and practical </w:t>
      </w:r>
      <w:r w:rsidRPr="00BC6F6A">
        <w:lastRenderedPageBreak/>
        <w:t>ability to regulate access and extraction; and armed groups commonly referred to as Mai-Mai</w:t>
      </w:r>
      <w:r w:rsidR="009F3D0B">
        <w:t>, who use Upemba as refuge</w:t>
      </w:r>
      <w:r w:rsidRPr="00BC6F6A">
        <w:t>.</w:t>
      </w:r>
    </w:p>
    <w:p w14:paraId="138B8977" w14:textId="22C0E7E2" w:rsidR="001D1572" w:rsidRDefault="00BC6F6A" w:rsidP="00BC6F6A">
      <w:r w:rsidRPr="00BC6F6A">
        <w:t xml:space="preserve">We assigned each SESU-year to one of three governance </w:t>
      </w:r>
      <w:r w:rsidR="00C411EA">
        <w:t>profiles</w:t>
      </w:r>
      <w:r w:rsidRPr="00BC6F6A">
        <w:t xml:space="preserve"> defined as recurrent governance configurations </w:t>
      </w:r>
      <w:r w:rsidR="000A3565">
        <w:t xml:space="preserve">(i.e., one governance profile can occur </w:t>
      </w:r>
      <w:r w:rsidR="0043132F">
        <w:t>during two temporally disjunct periods)</w:t>
      </w:r>
      <w:r w:rsidRPr="00BC6F6A">
        <w:t>.</w:t>
      </w:r>
      <w:r w:rsidR="005C58D6">
        <w:t xml:space="preserve"> </w:t>
      </w:r>
      <w:r w:rsidR="0043132F" w:rsidRPr="001D1572">
        <w:rPr>
          <w:b/>
          <w:bCs/>
        </w:rPr>
        <w:t>Profile</w:t>
      </w:r>
      <w:r w:rsidRPr="001D1572">
        <w:rPr>
          <w:b/>
          <w:bCs/>
        </w:rPr>
        <w:t xml:space="preserve"> A</w:t>
      </w:r>
      <w:r w:rsidR="001D1572" w:rsidRPr="001D1572">
        <w:rPr>
          <w:b/>
          <w:bCs/>
        </w:rPr>
        <w:t>: Park and militia weak</w:t>
      </w:r>
      <w:r w:rsidRPr="00BC6F6A">
        <w:t xml:space="preserve"> denotes a </w:t>
      </w:r>
      <w:r w:rsidR="00662089">
        <w:t>situation</w:t>
      </w:r>
      <w:r w:rsidRPr="00BC6F6A">
        <w:t xml:space="preserve"> in which </w:t>
      </w:r>
      <w:r w:rsidR="00E71405">
        <w:t>p</w:t>
      </w:r>
      <w:r w:rsidRPr="00BC6F6A">
        <w:t>ark authority is weak, spatially limited, or episodic</w:t>
      </w:r>
      <w:r w:rsidR="00C5648F">
        <w:t xml:space="preserve">, and militia </w:t>
      </w:r>
      <w:r w:rsidRPr="00BC6F6A">
        <w:t>presence is absent to moderate</w:t>
      </w:r>
      <w:r w:rsidR="00C5648F">
        <w:t>. Control over resource</w:t>
      </w:r>
      <w:r w:rsidRPr="00BC6F6A">
        <w:t xml:space="preserve"> access and extraction </w:t>
      </w:r>
      <w:r w:rsidR="00C5648F">
        <w:t xml:space="preserve">in the park </w:t>
      </w:r>
      <w:r w:rsidRPr="00BC6F6A">
        <w:t xml:space="preserve">is fragmented </w:t>
      </w:r>
      <w:r w:rsidR="00C5648F">
        <w:t>and not</w:t>
      </w:r>
      <w:r w:rsidRPr="00BC6F6A">
        <w:t xml:space="preserve"> centralized. </w:t>
      </w:r>
      <w:r w:rsidR="007E5D79" w:rsidRPr="001D1572">
        <w:rPr>
          <w:b/>
          <w:bCs/>
        </w:rPr>
        <w:t>Profile</w:t>
      </w:r>
      <w:r w:rsidRPr="001D1572">
        <w:rPr>
          <w:b/>
          <w:bCs/>
        </w:rPr>
        <w:t xml:space="preserve"> B</w:t>
      </w:r>
      <w:r w:rsidR="001D1572" w:rsidRPr="001D1572">
        <w:rPr>
          <w:b/>
          <w:bCs/>
        </w:rPr>
        <w:t>: Militia dominant</w:t>
      </w:r>
      <w:r w:rsidRPr="00BC6F6A">
        <w:t xml:space="preserve"> denotes </w:t>
      </w:r>
      <w:r w:rsidR="007E5D79">
        <w:t>militia</w:t>
      </w:r>
      <w:r w:rsidRPr="00BC6F6A">
        <w:t xml:space="preserve"> dominance associated with </w:t>
      </w:r>
      <w:r w:rsidR="008C66AC">
        <w:t>pa</w:t>
      </w:r>
      <w:r w:rsidRPr="00BC6F6A">
        <w:t xml:space="preserve">rk collapse, such that </w:t>
      </w:r>
      <w:r w:rsidR="008C66AC">
        <w:t>resource access</w:t>
      </w:r>
      <w:r w:rsidRPr="00BC6F6A">
        <w:t xml:space="preserve"> is shaped primarily by </w:t>
      </w:r>
      <w:r w:rsidR="008C66AC">
        <w:t>militia</w:t>
      </w:r>
      <w:r w:rsidRPr="00BC6F6A">
        <w:t xml:space="preserve"> and lawful enforcement </w:t>
      </w:r>
      <w:r w:rsidR="008C66AC">
        <w:t>is absent</w:t>
      </w:r>
      <w:r w:rsidRPr="00BC6F6A">
        <w:t xml:space="preserve">. </w:t>
      </w:r>
      <w:r w:rsidR="006E0FD2" w:rsidRPr="001D1572">
        <w:rPr>
          <w:b/>
          <w:bCs/>
        </w:rPr>
        <w:t>Profile</w:t>
      </w:r>
      <w:r w:rsidRPr="001D1572">
        <w:rPr>
          <w:b/>
          <w:bCs/>
        </w:rPr>
        <w:t xml:space="preserve"> C</w:t>
      </w:r>
      <w:r w:rsidR="001D1572" w:rsidRPr="001D1572">
        <w:rPr>
          <w:b/>
          <w:bCs/>
        </w:rPr>
        <w:t>: Park dominant</w:t>
      </w:r>
      <w:r w:rsidRPr="00BC6F6A">
        <w:t xml:space="preserve"> denotes </w:t>
      </w:r>
      <w:r w:rsidR="006E0FD2">
        <w:t>a situation in</w:t>
      </w:r>
      <w:r w:rsidRPr="00BC6F6A">
        <w:t xml:space="preserve"> which </w:t>
      </w:r>
      <w:r w:rsidR="006E0FD2">
        <w:t>p</w:t>
      </w:r>
      <w:r w:rsidRPr="00BC6F6A">
        <w:t xml:space="preserve">ark authority </w:t>
      </w:r>
      <w:r w:rsidR="006E0FD2">
        <w:t>is</w:t>
      </w:r>
      <w:r w:rsidRPr="00BC6F6A">
        <w:t xml:space="preserve"> the dominant practical governance actor through expanded operational reach, but insecurity </w:t>
      </w:r>
      <w:r w:rsidR="00196A4D">
        <w:t>remain</w:t>
      </w:r>
      <w:r w:rsidRPr="00BC6F6A">
        <w:t>s</w:t>
      </w:r>
      <w:r w:rsidR="005C58D6">
        <w:t xml:space="preserve"> </w:t>
      </w:r>
      <w:r w:rsidRPr="00BC6F6A">
        <w:t>(</w:t>
      </w:r>
      <w:r w:rsidR="00925C7A">
        <w:rPr>
          <w:b/>
          <w:bCs/>
        </w:rPr>
        <w:t xml:space="preserve">Fig. 3; </w:t>
      </w:r>
      <w:r w:rsidR="00FE44D0">
        <w:rPr>
          <w:b/>
          <w:bCs/>
        </w:rPr>
        <w:t>Appendix 6.2</w:t>
      </w:r>
      <w:r w:rsidRPr="00BC6F6A">
        <w:t>).</w:t>
      </w:r>
    </w:p>
    <w:p w14:paraId="60975E42" w14:textId="77C0D305" w:rsidR="00816A4B" w:rsidRPr="00816A4B" w:rsidRDefault="00816A4B" w:rsidP="00816A4B">
      <w:pPr>
        <w:keepNext/>
        <w:rPr>
          <w:lang w:val="en-NL"/>
        </w:rPr>
      </w:pPr>
      <w:r w:rsidRPr="00816A4B">
        <w:rPr>
          <w:noProof/>
          <w:lang w:val="en-NL"/>
        </w:rPr>
        <w:drawing>
          <wp:inline distT="0" distB="0" distL="0" distR="0" wp14:anchorId="0E68ABE6" wp14:editId="7E274654">
            <wp:extent cx="5943600" cy="5225415"/>
            <wp:effectExtent l="0" t="0" r="0" b="0"/>
            <wp:docPr id="455371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943600" cy="5225415"/>
                    </a:xfrm>
                    <a:prstGeom prst="rect">
                      <a:avLst/>
                    </a:prstGeom>
                    <a:noFill/>
                    <a:ln>
                      <a:noFill/>
                    </a:ln>
                  </pic:spPr>
                </pic:pic>
              </a:graphicData>
            </a:graphic>
          </wp:inline>
        </w:drawing>
      </w:r>
    </w:p>
    <w:p w14:paraId="55ADAE24" w14:textId="0B1602F0" w:rsidR="007C719D" w:rsidRPr="00DD70AD" w:rsidRDefault="008C7295" w:rsidP="008C7295">
      <w:pPr>
        <w:pStyle w:val="Caption"/>
        <w:rPr>
          <w:b w:val="0"/>
          <w:bCs w:val="0"/>
          <w:lang w:val="en-NL"/>
        </w:rPr>
      </w:pPr>
      <w:r>
        <w:t xml:space="preserve">Figure </w:t>
      </w:r>
      <w:r>
        <w:fldChar w:fldCharType="begin"/>
      </w:r>
      <w:r>
        <w:instrText xml:space="preserve"> SEQ Figure \* ARABIC </w:instrText>
      </w:r>
      <w:r>
        <w:fldChar w:fldCharType="separate"/>
      </w:r>
      <w:r>
        <w:rPr>
          <w:noProof/>
        </w:rPr>
        <w:t>3</w:t>
      </w:r>
      <w:r>
        <w:fldChar w:fldCharType="end"/>
      </w:r>
      <w:r w:rsidR="00200A72">
        <w:t>: Governance profile timeline.</w:t>
      </w:r>
      <w:r w:rsidR="00DD70AD">
        <w:t xml:space="preserve"> </w:t>
      </w:r>
      <w:r w:rsidR="00DD70AD">
        <w:rPr>
          <w:b w:val="0"/>
          <w:bCs w:val="0"/>
        </w:rPr>
        <w:t xml:space="preserve">More detail and sources are found in </w:t>
      </w:r>
      <w:r w:rsidR="00DD70AD">
        <w:t>Appendix 6.2</w:t>
      </w:r>
      <w:r w:rsidR="00DD70AD">
        <w:rPr>
          <w:b w:val="0"/>
          <w:bCs w:val="0"/>
        </w:rPr>
        <w:t>.</w:t>
      </w:r>
    </w:p>
    <w:p w14:paraId="717743DB" w14:textId="12563573" w:rsidR="00BC6F6A" w:rsidRPr="00BC6F6A" w:rsidRDefault="00BC6F6A" w:rsidP="00BC6F6A">
      <w:r w:rsidRPr="00BC6F6A">
        <w:lastRenderedPageBreak/>
        <w:t xml:space="preserve">The </w:t>
      </w:r>
      <w:r w:rsidR="00D72EBB">
        <w:t>governance profile</w:t>
      </w:r>
      <w:r w:rsidRPr="00BC6F6A">
        <w:t xml:space="preserve"> chronology differs between SESUs. In both SESUs, 2001–2003 and the post-collapse re-entry phase were assigned to </w:t>
      </w:r>
      <w:r w:rsidR="00F45C01">
        <w:t>Profile</w:t>
      </w:r>
      <w:r w:rsidRPr="00BC6F6A">
        <w:t xml:space="preserve"> A because </w:t>
      </w:r>
      <w:r w:rsidR="00F45C01">
        <w:t>p</w:t>
      </w:r>
      <w:r w:rsidRPr="00BC6F6A">
        <w:t xml:space="preserve">ark presence remained weak, </w:t>
      </w:r>
      <w:r w:rsidR="00F45C01">
        <w:t>militia</w:t>
      </w:r>
      <w:r w:rsidRPr="00BC6F6A">
        <w:t xml:space="preserve"> presence was non-dominant, and access control was fragmented and negotiated. The collapse phases were assigned to </w:t>
      </w:r>
      <w:r w:rsidR="00F45C01">
        <w:t>Profile</w:t>
      </w:r>
      <w:r w:rsidRPr="00BC6F6A">
        <w:t xml:space="preserve"> B because they shared the same operative configuration of militia dominance</w:t>
      </w:r>
      <w:r w:rsidR="00F45C01">
        <w:t xml:space="preserve"> and sharply reduced</w:t>
      </w:r>
      <w:r w:rsidRPr="00BC6F6A">
        <w:t xml:space="preserve"> lawful enforcement. </w:t>
      </w:r>
      <w:r w:rsidR="00F45C01">
        <w:t>Profile</w:t>
      </w:r>
      <w:r w:rsidRPr="00BC6F6A">
        <w:t xml:space="preserve"> C captures the later </w:t>
      </w:r>
      <w:r w:rsidR="00F45C01">
        <w:t>public-private partnership</w:t>
      </w:r>
      <w:r w:rsidRPr="00BC6F6A">
        <w:t xml:space="preserve"> phase, which occurs earlier on the Plateau than in the Depression because </w:t>
      </w:r>
      <w:r w:rsidR="00F45C01">
        <w:t>p</w:t>
      </w:r>
      <w:r w:rsidRPr="00BC6F6A">
        <w:t>ark operational reach recovered there sooner</w:t>
      </w:r>
      <w:r w:rsidR="008F5B65">
        <w:t xml:space="preserve"> (</w:t>
      </w:r>
      <w:r w:rsidR="008F5B65" w:rsidRPr="008F5B65">
        <w:rPr>
          <w:b/>
          <w:bCs/>
        </w:rPr>
        <w:t>Fig. 3</w:t>
      </w:r>
      <w:r w:rsidR="008F5B65">
        <w:t>)</w:t>
      </w:r>
      <w:r w:rsidRPr="00BC6F6A">
        <w:t>.</w:t>
      </w:r>
    </w:p>
    <w:p w14:paraId="06CDF151" w14:textId="3ECF1C11" w:rsidR="007C719D" w:rsidRDefault="00A17747" w:rsidP="00BC6F6A">
      <w:r>
        <w:t>The governance profiles</w:t>
      </w:r>
      <w:r w:rsidR="00BC6F6A" w:rsidRPr="00BC6F6A">
        <w:t xml:space="preserve"> enter the regression </w:t>
      </w:r>
      <w:r w:rsidR="00F45C01">
        <w:t xml:space="preserve">models </w:t>
      </w:r>
      <w:r w:rsidR="00BC6F6A" w:rsidRPr="00BC6F6A">
        <w:t xml:space="preserve">only through interactions with the inside indicator. Because the boundary-permeability models include SESU × year fixed effects, identification comes from within-SESU, within-year comparisons across inside and outside strata. The </w:t>
      </w:r>
      <w:r>
        <w:t>governance profile</w:t>
      </w:r>
      <w:r w:rsidR="00BC6F6A" w:rsidRPr="00BC6F6A">
        <w:t xml:space="preserve"> coefficients therefore describe how the inside–outside difference changes under militia-dominant and </w:t>
      </w:r>
      <w:r w:rsidR="00A37B8C">
        <w:t>p</w:t>
      </w:r>
      <w:r w:rsidR="00BC6F6A" w:rsidRPr="00BC6F6A">
        <w:t xml:space="preserve">ark-dominant </w:t>
      </w:r>
      <w:r w:rsidR="00A37B8C">
        <w:t xml:space="preserve">governance profiles </w:t>
      </w:r>
      <w:r w:rsidR="00BC6F6A" w:rsidRPr="00BC6F6A">
        <w:t>relative to the baseline</w:t>
      </w:r>
      <w:r w:rsidR="005E7B77">
        <w:t xml:space="preserve"> of Profile A</w:t>
      </w:r>
      <w:r w:rsidR="00BC6F6A" w:rsidRPr="00BC6F6A">
        <w:t>. They should not be interpreted as actor-specific causal effects or as direct measures of conservation legitimacy or success</w:t>
      </w:r>
      <w:r w:rsidR="00426693" w:rsidRPr="00426693">
        <w:t>.</w:t>
      </w:r>
    </w:p>
    <w:p w14:paraId="20285291" w14:textId="77777777" w:rsidR="009B4C32" w:rsidRDefault="009B4C32" w:rsidP="009B4C32">
      <w:pPr>
        <w:pStyle w:val="Heading2"/>
      </w:pPr>
      <w:r w:rsidRPr="009B4C32">
        <w:t>2.4 Boundary-permeability models and inference</w:t>
      </w:r>
    </w:p>
    <w:p w14:paraId="2E668508" w14:textId="4EF38079" w:rsidR="00E025FD" w:rsidRDefault="001E7B02" w:rsidP="003210E2">
      <w:r w:rsidRPr="001E7B02">
        <w:t xml:space="preserve">We </w:t>
      </w:r>
      <w:commentRangeStart w:id="26"/>
      <w:r w:rsidRPr="001E7B02">
        <w:t>summarize</w:t>
      </w:r>
      <w:r w:rsidR="00E36213">
        <w:t>d</w:t>
      </w:r>
      <w:r w:rsidRPr="001E7B02">
        <w:t xml:space="preserve"> </w:t>
      </w:r>
      <w:commentRangeEnd w:id="26"/>
      <w:r w:rsidR="009D067E" w:rsidRPr="001E7B02">
        <w:rPr>
          <w:rStyle w:val="CommentReference"/>
          <w:sz w:val="24"/>
          <w:szCs w:val="22"/>
        </w:rPr>
        <w:commentReference w:id="26"/>
      </w:r>
      <w:r w:rsidRPr="001E7B02">
        <w:t>and plot</w:t>
      </w:r>
      <w:r w:rsidR="00E36213">
        <w:t>ted</w:t>
      </w:r>
      <w:r w:rsidRPr="001E7B02">
        <w:t xml:space="preserve"> the observed disturbance probability for each SESU-year separately for inside and outside the </w:t>
      </w:r>
      <w:r w:rsidR="002B7B54">
        <w:t>park</w:t>
      </w:r>
      <w:r w:rsidRPr="001E7B02">
        <w:t>, with binomial proportion confidence intervals for each SESU × year × side stratum (Brown et al., 2001). We also plot</w:t>
      </w:r>
      <w:r w:rsidR="00B0763E">
        <w:t>ted</w:t>
      </w:r>
      <w:r w:rsidRPr="001E7B02">
        <w:t xml:space="preserve"> the logit-scale </w:t>
      </w:r>
      <w:r w:rsidR="00F64F19" w:rsidRPr="00F64F19">
        <w:t>inside–outside difference</w:t>
      </w:r>
      <w:r w:rsidRPr="001E7B02">
        <w:t xml:space="preserve"> with standard errors obtained by delta-method approximation for the logit-transformed proportions (Agresti, 2002). These plots are descriptive and are used for visualization and model checking onl</w:t>
      </w:r>
      <w:r w:rsidR="002C1E8F" w:rsidRPr="002F37FA">
        <w:t>y</w:t>
      </w:r>
      <w:commentRangeStart w:id="27"/>
      <w:r w:rsidR="003210E2" w:rsidRPr="002F37FA">
        <w:t>.</w:t>
      </w:r>
      <w:commentRangeEnd w:id="27"/>
      <w:r w:rsidR="005F38E4">
        <w:rPr>
          <w:rStyle w:val="CommentReference"/>
          <w:sz w:val="24"/>
          <w:szCs w:val="22"/>
        </w:rPr>
        <w:commentReference w:id="27"/>
      </w:r>
    </w:p>
    <w:p w14:paraId="5393F772" w14:textId="48D5AA94" w:rsidR="003210E2" w:rsidRDefault="003210E2" w:rsidP="003210E2">
      <w:r w:rsidRPr="00037E2F">
        <w:t>For each outcome, we model</w:t>
      </w:r>
      <w:r w:rsidR="0025465F">
        <w:t>ed</w:t>
      </w:r>
      <w:r w:rsidRPr="00037E2F">
        <w:t xml:space="preserve"> the aggregated SESU × year × side counts using a </w:t>
      </w:r>
      <w:commentRangeStart w:id="28"/>
      <w:commentRangeStart w:id="29"/>
      <w:r w:rsidRPr="00037E2F">
        <w:t>beta-binomial regression</w:t>
      </w:r>
      <w:commentRangeEnd w:id="29"/>
      <w:r w:rsidR="00A12425" w:rsidRPr="00037E2F">
        <w:rPr>
          <w:rStyle w:val="CommentReference"/>
          <w:sz w:val="24"/>
          <w:szCs w:val="22"/>
        </w:rPr>
        <w:commentReference w:id="29"/>
      </w:r>
      <w:r w:rsidRPr="00037E2F">
        <w:t xml:space="preserve"> with a logit link</w:t>
      </w:r>
      <w:commentRangeEnd w:id="28"/>
      <w:r w:rsidR="00A1577D" w:rsidRPr="00037E2F">
        <w:rPr>
          <w:rStyle w:val="CommentReference"/>
          <w:sz w:val="24"/>
          <w:szCs w:val="22"/>
        </w:rPr>
        <w:commentReference w:id="28"/>
      </w:r>
      <w:r w:rsidRPr="00037E2F">
        <w:t>, fit in glmmTMB (Brooks et al., 2017).</w:t>
      </w:r>
      <w:r w:rsidR="007954D6">
        <w:t xml:space="preserve"> </w:t>
      </w:r>
      <w:r w:rsidR="007954D6" w:rsidRPr="007954D6">
        <w:t>We used a beta-binomial likelihood because the aggregated counts are expected to be overdispersed relative to a simple binomial model</w:t>
      </w:r>
      <w:r w:rsidR="00F03817">
        <w:t>,</w:t>
      </w:r>
      <w:r w:rsidR="00532F92">
        <w:t xml:space="preserve"> as</w:t>
      </w:r>
      <w:r w:rsidR="00F03817">
        <w:t xml:space="preserve"> </w:t>
      </w:r>
      <w:r w:rsidR="007954D6" w:rsidRPr="007954D6">
        <w:t>pixel-years within the same SESU × year × side stratum are not independent, and the remote-sensing products retain residual classification noise after aggregation.</w:t>
      </w:r>
      <w:r>
        <w:t xml:space="preserve"> Let </w:t>
      </w:r>
      <m:oMath>
        <m:r>
          <w:rPr>
            <w:rFonts w:ascii="Cambria Math" w:hAnsi="Cambria Math"/>
          </w:rPr>
          <m:t>s</m:t>
        </m:r>
      </m:oMath>
      <w:r w:rsidRPr="00037E2F">
        <w:t xml:space="preserve"> </w:t>
      </w:r>
      <w:r>
        <w:t>index</w:t>
      </w:r>
      <w:r w:rsidRPr="00603F16">
        <w:t xml:space="preserve"> </w:t>
      </w:r>
      <w:r w:rsidRPr="004146A9">
        <w:t>SESU</w:t>
      </w:r>
      <w:r>
        <w:t>,</w:t>
      </w:r>
      <w:r w:rsidRPr="004146A9">
        <w:t xml:space="preserve"> </w:t>
      </w:r>
      <m:oMath>
        <m:r>
          <w:rPr>
            <w:rFonts w:ascii="Cambria Math" w:hAnsi="Cambria Math"/>
          </w:rPr>
          <m:t>t</m:t>
        </m:r>
      </m:oMath>
      <w:r>
        <w:t xml:space="preserve"> year, and</w:t>
      </w:r>
      <w:r w:rsidRPr="004146A9">
        <w:t xml:space="preserve"> </w:t>
      </w:r>
      <m:oMath>
        <m:r>
          <w:rPr>
            <w:rFonts w:ascii="Cambria Math" w:hAnsi="Cambria Math"/>
          </w:rPr>
          <m:t>k</m:t>
        </m:r>
        <m:r>
          <w:rPr>
            <w:rFonts w:ascii="Cambria Math" w:hAnsi="Cambria Math" w:cs="Cambria Math"/>
          </w:rPr>
          <m:t>∈</m:t>
        </m:r>
        <m:r>
          <w:rPr>
            <w:rFonts w:ascii="Cambria Math" w:hAnsi="Cambria Math"/>
          </w:rPr>
          <m:t>{0,1}</m:t>
        </m:r>
      </m:oMath>
      <w:r>
        <w:t xml:space="preserve"> </w:t>
      </w:r>
      <w:commentRangeStart w:id="30"/>
      <w:r>
        <w:t>National Park side</w:t>
      </w:r>
      <w:commentRangeEnd w:id="30"/>
      <w:r w:rsidR="00E10AB4">
        <w:rPr>
          <w:rStyle w:val="CommentReference"/>
          <w:sz w:val="24"/>
          <w:szCs w:val="22"/>
        </w:rPr>
        <w:commentReference w:id="30"/>
      </w:r>
      <w:r w:rsidR="001E5EC0">
        <w:t xml:space="preserve">, where </w:t>
      </w:r>
      <m:oMath>
        <m:r>
          <w:rPr>
            <w:rFonts w:ascii="Cambria Math" w:hAnsi="Cambria Math"/>
          </w:rPr>
          <m:t>k=0</m:t>
        </m:r>
      </m:oMath>
      <w:r>
        <w:t xml:space="preserve"> </w:t>
      </w:r>
      <w:r w:rsidR="00C2385E">
        <w:t xml:space="preserve">denotes outside and </w:t>
      </w:r>
      <m:oMath>
        <m:r>
          <w:rPr>
            <w:rFonts w:ascii="Cambria Math" w:hAnsi="Cambria Math"/>
          </w:rPr>
          <m:t>k</m:t>
        </m:r>
      </m:oMath>
      <w:r w:rsidR="00C2385E">
        <w:t xml:space="preserve">=1 inside the </w:t>
      </w:r>
      <w:r w:rsidR="00532F92">
        <w:t>park</w:t>
      </w:r>
      <w:r w:rsidR="00C2385E">
        <w:t>. For</w:t>
      </w:r>
      <w:r w:rsidRPr="00655AFC">
        <w:t xml:space="preserve"> each stratum</w:t>
      </w:r>
      <w:r w:rsidRPr="004146A9">
        <w:t xml:space="preserve"> </w:t>
      </w:r>
      <m:oMath>
        <m:r>
          <w:rPr>
            <w:rFonts w:ascii="Cambria Math" w:hAnsi="Cambria Math"/>
          </w:rPr>
          <m:t>(s,t,k)</m:t>
        </m:r>
      </m:oMath>
      <w:r>
        <w:t xml:space="preserve">, let </w:t>
      </w:r>
      <m:oMath>
        <m:sSub>
          <m:sSubPr>
            <m:ctrlPr>
              <w:rPr>
                <w:rFonts w:ascii="Cambria Math" w:hAnsi="Cambria Math"/>
                <w:i/>
              </w:rPr>
            </m:ctrlPr>
          </m:sSubPr>
          <m:e>
            <m:r>
              <w:rPr>
                <w:rFonts w:ascii="Cambria Math" w:hAnsi="Cambria Math"/>
              </w:rPr>
              <m:t>y</m:t>
            </m:r>
          </m:e>
          <m:sub>
            <m:r>
              <w:rPr>
                <w:rFonts w:ascii="Cambria Math" w:hAnsi="Cambria Math"/>
              </w:rPr>
              <m:t xml:space="preserve">stk </m:t>
            </m:r>
          </m:sub>
        </m:sSub>
      </m:oMath>
      <w:r w:rsidRPr="00655AFC">
        <w:t>be the number of disturbed pixel-years and</w:t>
      </w:r>
      <w:r>
        <w:t xml:space="preserve"> </w:t>
      </w:r>
      <m:oMath>
        <m:sSub>
          <m:sSubPr>
            <m:ctrlPr>
              <w:rPr>
                <w:rFonts w:ascii="Cambria Math" w:hAnsi="Cambria Math"/>
                <w:i/>
              </w:rPr>
            </m:ctrlPr>
          </m:sSubPr>
          <m:e>
            <m:r>
              <w:rPr>
                <w:rFonts w:ascii="Cambria Math" w:hAnsi="Cambria Math"/>
              </w:rPr>
              <m:t>n</m:t>
            </m:r>
          </m:e>
          <m:sub>
            <m:r>
              <w:rPr>
                <w:rFonts w:ascii="Cambria Math" w:hAnsi="Cambria Math"/>
              </w:rPr>
              <m:t xml:space="preserve">stk </m:t>
            </m:r>
          </m:sub>
        </m:sSub>
      </m:oMath>
      <w:r w:rsidRPr="00655AFC">
        <w:t>the number of pixel-years at risk. We assume:</w:t>
      </w:r>
    </w:p>
    <w:p w14:paraId="6E88BC02" w14:textId="77777777" w:rsidR="003210E2" w:rsidRPr="00655AFC" w:rsidRDefault="00B94C9E" w:rsidP="003210E2">
      <m:oMathPara>
        <m:oMath>
          <m:sSub>
            <m:sSubPr>
              <m:ctrlPr>
                <w:rPr>
                  <w:rFonts w:ascii="Cambria Math" w:hAnsi="Cambria Math"/>
                  <w:i/>
                </w:rPr>
              </m:ctrlPr>
            </m:sSubPr>
            <m:e>
              <m:r>
                <w:rPr>
                  <w:rFonts w:ascii="Cambria Math" w:hAnsi="Cambria Math"/>
                </w:rPr>
                <m:t>y</m:t>
              </m:r>
            </m:e>
            <m:sub>
              <m:r>
                <w:rPr>
                  <w:rFonts w:ascii="Cambria Math" w:hAnsi="Cambria Math"/>
                </w:rPr>
                <m:t>stk</m:t>
              </m:r>
              <m:r>
                <w:rPr>
                  <w:rFonts w:ascii="Cambria Math" w:hAnsi="Cambria Math"/>
                </w:rPr>
                <m:t xml:space="preserve"> </m:t>
              </m:r>
            </m:sub>
          </m:sSub>
          <m:r>
            <w:rPr>
              <w:rFonts w:ascii="Cambria Math" w:hAnsi="Cambria Math"/>
            </w:rPr>
            <m:t xml:space="preserve">~ </m:t>
          </m:r>
          <m:r>
            <w:rPr>
              <w:rFonts w:ascii="Cambria Math" w:hAnsi="Cambria Math"/>
            </w:rPr>
            <m:t>BetaBinomial</m:t>
          </m:r>
          <m:d>
            <m:dPr>
              <m:ctrlPr>
                <w:rPr>
                  <w:rFonts w:ascii="Cambria Math" w:hAnsi="Cambria Math"/>
                  <w:i/>
                </w:rPr>
              </m:ctrlPr>
            </m:dPr>
            <m:e>
              <m:sSub>
                <m:sSubPr>
                  <m:ctrlPr>
                    <w:rPr>
                      <w:rFonts w:ascii="Cambria Math" w:hAnsi="Cambria Math"/>
                      <w:i/>
                    </w:rPr>
                  </m:ctrlPr>
                </m:sSubPr>
                <m:e>
                  <m:r>
                    <w:rPr>
                      <w:rFonts w:ascii="Cambria Math" w:hAnsi="Cambria Math"/>
                    </w:rPr>
                    <m:t>n</m:t>
                  </m:r>
                </m:e>
                <m:sub>
                  <m:r>
                    <w:rPr>
                      <w:rFonts w:ascii="Cambria Math" w:hAnsi="Cambria Math"/>
                    </w:rPr>
                    <m:t>stk</m:t>
                  </m:r>
                  <m:r>
                    <w:rPr>
                      <w:rFonts w:ascii="Cambria Math" w:hAnsi="Cambria Math"/>
                    </w:rPr>
                    <m:t xml:space="preserve"> </m:t>
                  </m:r>
                </m:sub>
              </m:sSub>
              <m:r>
                <w:rPr>
                  <w:rFonts w:ascii="Cambria Math" w:hAnsi="Cambria Math"/>
                </w:rPr>
                <m:t xml:space="preserve">, </m:t>
              </m:r>
              <m:sSub>
                <m:sSubPr>
                  <m:ctrlPr>
                    <w:rPr>
                      <w:rFonts w:ascii="Cambria Math" w:hAnsi="Cambria Math"/>
                      <w:i/>
                    </w:rPr>
                  </m:ctrlPr>
                </m:sSubPr>
                <m:e>
                  <m:r>
                    <w:rPr>
                      <w:rFonts w:ascii="Cambria Math" w:hAnsi="Cambria Math"/>
                    </w:rPr>
                    <m:t>p</m:t>
                  </m:r>
                </m:e>
                <m:sub>
                  <m:r>
                    <w:rPr>
                      <w:rFonts w:ascii="Cambria Math" w:hAnsi="Cambria Math"/>
                    </w:rPr>
                    <m:t>stk</m:t>
                  </m:r>
                  <m:r>
                    <w:rPr>
                      <w:rFonts w:ascii="Cambria Math" w:hAnsi="Cambria Math"/>
                    </w:rPr>
                    <m:t xml:space="preserve"> </m:t>
                  </m:r>
                </m:sub>
              </m:sSub>
              <m:r>
                <w:rPr>
                  <w:rFonts w:ascii="Cambria Math" w:hAnsi="Cambria Math"/>
                </w:rPr>
                <m:t xml:space="preserve">, </m:t>
              </m:r>
              <m:r>
                <w:rPr>
                  <w:rFonts w:ascii="Cambria Math" w:hAnsi="Cambria Math"/>
                </w:rPr>
                <m:t>ϕ</m:t>
              </m:r>
            </m:e>
          </m:d>
        </m:oMath>
      </m:oMathPara>
    </w:p>
    <w:p w14:paraId="0EA192A3" w14:textId="18E8634A" w:rsidR="003210E2" w:rsidRDefault="00CF2E5F" w:rsidP="003210E2">
      <w:r w:rsidRPr="00CF2E5F">
        <w:t xml:space="preserve">where </w:t>
      </w:r>
      <m:oMath>
        <m:sSub>
          <m:sSubPr>
            <m:ctrlPr>
              <w:rPr>
                <w:rFonts w:ascii="Cambria Math" w:hAnsi="Cambria Math"/>
              </w:rPr>
            </m:ctrlPr>
          </m:sSubPr>
          <m:e>
            <m:r>
              <w:rPr>
                <w:rFonts w:ascii="Cambria Math" w:hAnsi="Cambria Math"/>
              </w:rPr>
              <m:t>p</m:t>
            </m:r>
          </m:e>
          <m:sub>
            <m:r>
              <w:rPr>
                <w:rFonts w:ascii="Cambria Math" w:hAnsi="Cambria Math"/>
              </w:rPr>
              <m:t>stk</m:t>
            </m:r>
          </m:sub>
        </m:sSub>
      </m:oMath>
      <w:r w:rsidRPr="00CF2E5F">
        <w:t xml:space="preserve">is the disturbance probability and </w:t>
      </w:r>
      <m:oMath>
        <m:r>
          <w:rPr>
            <w:rFonts w:ascii="Cambria Math" w:hAnsi="Cambria Math"/>
          </w:rPr>
          <m:t>ϕ</m:t>
        </m:r>
      </m:oMath>
      <w:r w:rsidR="00F90926">
        <w:t xml:space="preserve"> </w:t>
      </w:r>
      <w:r w:rsidRPr="00CF2E5F">
        <w:t>is a dispersion parameter accommodating extra-binomial variation induced by within-stratum dependence and residual mapping noise</w:t>
      </w:r>
      <w:r w:rsidR="003210E2">
        <w:t>.</w:t>
      </w:r>
    </w:p>
    <w:p w14:paraId="67833F12" w14:textId="77777777" w:rsidR="003210E2" w:rsidRPr="000D17F1" w:rsidRDefault="003210E2" w:rsidP="003210E2">
      <w:commentRangeStart w:id="31"/>
      <w:r>
        <w:t>The linear predictor is:</w:t>
      </w:r>
    </w:p>
    <w:p w14:paraId="311776CC" w14:textId="34120EF1" w:rsidR="003210E2" w:rsidRPr="00655AFC" w:rsidRDefault="003210E2" w:rsidP="003210E2">
      <w:pPr>
        <w:rPr>
          <w:rFonts w:ascii="Cambria Math" w:hAnsi="Cambria Math"/>
          <w:i/>
        </w:rPr>
      </w:pPr>
      <w:r w:rsidRPr="000D17F1">
        <w:rPr>
          <w:rFonts w:ascii="Cambria Math" w:hAnsi="Cambria Math"/>
          <w:i/>
        </w:rPr>
        <w:br/>
      </w:r>
      <m:oMathPara>
        <m:oMath>
          <m: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 xml:space="preserve">stk </m:t>
                  </m:r>
                </m:sub>
              </m:sSub>
            </m:e>
          </m:d>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 xml:space="preserve">st </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in</m:t>
              </m:r>
            </m:sub>
          </m:sSub>
          <m:r>
            <w:rPr>
              <w:rFonts w:ascii="Cambria Math" w:hAnsi="Cambria Math"/>
            </w:rPr>
            <m:t>k+</m:t>
          </m:r>
          <m:sSub>
            <m:sSubPr>
              <m:ctrlPr>
                <w:rPr>
                  <w:rFonts w:ascii="Cambria Math" w:hAnsi="Cambria Math"/>
                  <w:i/>
                </w:rPr>
              </m:ctrlPr>
            </m:sSubPr>
            <m:e>
              <m:r>
                <w:rPr>
                  <w:rFonts w:ascii="Cambria Math" w:hAnsi="Cambria Math"/>
                </w:rPr>
                <m:t>β</m:t>
              </m:r>
            </m:e>
            <m:sub>
              <m:r>
                <w:rPr>
                  <w:rFonts w:ascii="Cambria Math" w:hAnsi="Cambria Math"/>
                </w:rPr>
                <m:t>B</m:t>
              </m:r>
            </m:sub>
          </m:sSub>
          <m:sSub>
            <m:sSubPr>
              <m:ctrlPr>
                <w:rPr>
                  <w:rFonts w:ascii="Cambria Math" w:hAnsi="Cambria Math"/>
                  <w:i/>
                </w:rPr>
              </m:ctrlPr>
            </m:sSubPr>
            <m:e>
              <m:r>
                <w:rPr>
                  <w:rFonts w:ascii="Cambria Math" w:hAnsi="Cambria Math"/>
                </w:rPr>
                <m:t>I</m:t>
              </m:r>
            </m:e>
            <m:sub>
              <m:r>
                <w:rPr>
                  <w:rFonts w:ascii="Cambria Math" w:hAnsi="Cambria Math"/>
                </w:rPr>
                <m:t>B,stk</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C</m:t>
              </m:r>
            </m:sub>
          </m:sSub>
          <m:sSub>
            <m:sSubPr>
              <m:ctrlPr>
                <w:rPr>
                  <w:rFonts w:ascii="Cambria Math" w:hAnsi="Cambria Math"/>
                  <w:i/>
                </w:rPr>
              </m:ctrlPr>
            </m:sSubPr>
            <m:e>
              <m:r>
                <w:rPr>
                  <w:rFonts w:ascii="Cambria Math" w:hAnsi="Cambria Math"/>
                </w:rPr>
                <m:t>I</m:t>
              </m:r>
            </m:e>
            <m:sub>
              <m:r>
                <w:rPr>
                  <w:rFonts w:ascii="Cambria Math" w:hAnsi="Cambria Math"/>
                </w:rPr>
                <m:t>C,stk</m:t>
              </m:r>
            </m:sub>
          </m:sSub>
          <m:r>
            <w:rPr>
              <w:rFonts w:ascii="Cambria Math" w:hAnsi="Cambria Math"/>
            </w:rPr>
            <m:t xml:space="preserve"> </m:t>
          </m:r>
        </m:oMath>
      </m:oMathPara>
    </w:p>
    <w:p w14:paraId="6C35411B" w14:textId="750BA328" w:rsidR="003210E2" w:rsidRDefault="00111D33" w:rsidP="003210E2">
      <w:r>
        <w:lastRenderedPageBreak/>
        <w:t>w</w:t>
      </w:r>
      <w:r w:rsidR="003210E2" w:rsidRPr="00655AFC">
        <w:t>here</w:t>
      </w:r>
      <w:r w:rsidR="003210E2">
        <w:t xml:space="preserve"> </w:t>
      </w:r>
      <m:oMath>
        <m:sSub>
          <m:sSubPr>
            <m:ctrlPr>
              <w:rPr>
                <w:rFonts w:ascii="Cambria Math" w:hAnsi="Cambria Math"/>
                <w:i/>
              </w:rPr>
            </m:ctrlPr>
          </m:sSubPr>
          <m:e>
            <m:r>
              <w:rPr>
                <w:rFonts w:ascii="Cambria Math" w:hAnsi="Cambria Math"/>
              </w:rPr>
              <m:t>α</m:t>
            </m:r>
          </m:e>
          <m:sub>
            <m:r>
              <w:rPr>
                <w:rFonts w:ascii="Cambria Math" w:hAnsi="Cambria Math"/>
              </w:rPr>
              <m:t xml:space="preserve">st </m:t>
            </m:r>
          </m:sub>
        </m:sSub>
      </m:oMath>
      <w:r w:rsidR="000276ED">
        <w:t>denotes</w:t>
      </w:r>
      <w:r w:rsidR="003210E2" w:rsidRPr="00655AFC">
        <w:t xml:space="preserve"> SESU</w:t>
      </w:r>
      <w:r w:rsidR="000276ED">
        <w:t xml:space="preserve"> </w:t>
      </w:r>
      <w:r w:rsidR="003210E2" w:rsidRPr="00655AFC">
        <w:t>×</w:t>
      </w:r>
      <w:r w:rsidR="000276ED">
        <w:t xml:space="preserve"> </w:t>
      </w:r>
      <w:r w:rsidR="003210E2" w:rsidRPr="00655AFC">
        <w:t xml:space="preserve">year fixed effects (one intercept per SESU-year), </w:t>
      </w:r>
      <m:oMath>
        <m:r>
          <w:rPr>
            <w:rFonts w:ascii="Cambria Math" w:hAnsi="Cambria Math"/>
          </w:rPr>
          <m:t>k</m:t>
        </m:r>
      </m:oMath>
      <w:r w:rsidR="003210E2" w:rsidRPr="00655AFC">
        <w:t xml:space="preserve"> is the inside indicator</w:t>
      </w:r>
      <w:commentRangeStart w:id="32"/>
      <w:r w:rsidR="003210E2" w:rsidRPr="00655AFC">
        <w:t xml:space="preserve"> </w:t>
      </w:r>
      <w:commentRangeEnd w:id="32"/>
      <w:r w:rsidR="00FC2D21" w:rsidRPr="00C24533">
        <w:rPr>
          <w:rStyle w:val="CommentReference"/>
          <w:sz w:val="24"/>
          <w:szCs w:val="22"/>
        </w:rPr>
        <w:commentReference w:id="32"/>
      </w:r>
      <w:r w:rsidR="00C24533" w:rsidRPr="00C24533">
        <w:t xml:space="preserve">and </w:t>
      </w:r>
      <m:oMath>
        <m:sSub>
          <m:sSubPr>
            <m:ctrlPr>
              <w:rPr>
                <w:rFonts w:ascii="Cambria Math" w:hAnsi="Cambria Math"/>
              </w:rPr>
            </m:ctrlPr>
          </m:sSubPr>
          <m:e>
            <m:r>
              <w:rPr>
                <w:rFonts w:ascii="Cambria Math" w:hAnsi="Cambria Math"/>
              </w:rPr>
              <m:t>I</m:t>
            </m:r>
          </m:e>
          <m:sub>
            <m:r>
              <w:rPr>
                <w:rFonts w:ascii="Cambria Math" w:hAnsi="Cambria Math"/>
              </w:rPr>
              <m:t>B,stk</m:t>
            </m:r>
          </m:sub>
        </m:sSub>
      </m:oMath>
      <w:r w:rsidR="00C24533" w:rsidRPr="00C24533">
        <w:t xml:space="preserve">and </w:t>
      </w:r>
      <m:oMath>
        <m:sSub>
          <m:sSubPr>
            <m:ctrlPr>
              <w:rPr>
                <w:rFonts w:ascii="Cambria Math" w:hAnsi="Cambria Math"/>
              </w:rPr>
            </m:ctrlPr>
          </m:sSubPr>
          <m:e>
            <m:r>
              <w:rPr>
                <w:rFonts w:ascii="Cambria Math" w:hAnsi="Cambria Math"/>
              </w:rPr>
              <m:t>I</m:t>
            </m:r>
          </m:e>
          <m:sub>
            <m:r>
              <w:rPr>
                <w:rFonts w:ascii="Cambria Math" w:hAnsi="Cambria Math"/>
              </w:rPr>
              <m:t>C,stk</m:t>
            </m:r>
          </m:sub>
        </m:sSub>
      </m:oMath>
      <w:r w:rsidR="00C24533" w:rsidRPr="00C24533">
        <w:t xml:space="preserve">are equal to 1 for inside observations belonging to </w:t>
      </w:r>
      <w:r w:rsidR="00B74FF7">
        <w:t>Profiles</w:t>
      </w:r>
      <w:r w:rsidR="00C24533" w:rsidRPr="00C24533">
        <w:t xml:space="preserve"> B and C, respectively, and 0 otherwise. </w:t>
      </w:r>
      <w:r w:rsidR="00B74FF7">
        <w:t>Profile</w:t>
      </w:r>
      <w:r w:rsidR="00C24533" w:rsidRPr="00C24533">
        <w:t xml:space="preserve"> A is the reference </w:t>
      </w:r>
      <w:r w:rsidR="00B74FF7">
        <w:t>governance profile</w:t>
      </w:r>
      <w:r w:rsidR="00C24533" w:rsidRPr="00C24533">
        <w:t xml:space="preserve">. Under this parameterization, </w:t>
      </w:r>
      <m:oMath>
        <m:sSub>
          <m:sSubPr>
            <m:ctrlPr>
              <w:rPr>
                <w:rFonts w:ascii="Cambria Math" w:hAnsi="Cambria Math"/>
              </w:rPr>
            </m:ctrlPr>
          </m:sSubPr>
          <m:e>
            <m:r>
              <w:rPr>
                <w:rFonts w:ascii="Cambria Math" w:hAnsi="Cambria Math"/>
              </w:rPr>
              <m:t>β</m:t>
            </m:r>
          </m:e>
          <m:sub>
            <m:r>
              <m:rPr>
                <m:nor/>
              </m:rPr>
              <m:t>in</m:t>
            </m:r>
          </m:sub>
        </m:sSub>
      </m:oMath>
      <w:r w:rsidR="00C24533" w:rsidRPr="00C24533">
        <w:t xml:space="preserve">is the inside–outside difference under </w:t>
      </w:r>
      <w:r w:rsidR="0060449A">
        <w:t>Profile A</w:t>
      </w:r>
      <w:r w:rsidR="00C24533" w:rsidRPr="00C24533">
        <w:t xml:space="preserve">, while </w:t>
      </w:r>
      <m:oMath>
        <m:sSub>
          <m:sSubPr>
            <m:ctrlPr>
              <w:rPr>
                <w:rFonts w:ascii="Cambria Math" w:hAnsi="Cambria Math"/>
              </w:rPr>
            </m:ctrlPr>
          </m:sSubPr>
          <m:e>
            <m:r>
              <w:rPr>
                <w:rFonts w:ascii="Cambria Math" w:hAnsi="Cambria Math"/>
              </w:rPr>
              <m:t>β</m:t>
            </m:r>
          </m:e>
          <m:sub>
            <m:r>
              <w:rPr>
                <w:rFonts w:ascii="Cambria Math" w:hAnsi="Cambria Math"/>
              </w:rPr>
              <m:t>B</m:t>
            </m:r>
          </m:sub>
        </m:sSub>
      </m:oMath>
      <w:r w:rsidR="00C24533" w:rsidRPr="00C24533">
        <w:t xml:space="preserve">and </w:t>
      </w:r>
      <m:oMath>
        <m:sSub>
          <m:sSubPr>
            <m:ctrlPr>
              <w:rPr>
                <w:rFonts w:ascii="Cambria Math" w:hAnsi="Cambria Math"/>
              </w:rPr>
            </m:ctrlPr>
          </m:sSubPr>
          <m:e>
            <m:r>
              <w:rPr>
                <w:rFonts w:ascii="Cambria Math" w:hAnsi="Cambria Math"/>
              </w:rPr>
              <m:t>β</m:t>
            </m:r>
          </m:e>
          <m:sub>
            <m:r>
              <w:rPr>
                <w:rFonts w:ascii="Cambria Math" w:hAnsi="Cambria Math"/>
              </w:rPr>
              <m:t>C</m:t>
            </m:r>
          </m:sub>
        </m:sSub>
      </m:oMath>
      <w:r w:rsidR="00C24533" w:rsidRPr="00C24533">
        <w:t xml:space="preserve">describe how that difference changes under the militia-dominant and </w:t>
      </w:r>
      <w:r w:rsidR="000E2CC6">
        <w:t>p</w:t>
      </w:r>
      <w:r w:rsidR="00C24533" w:rsidRPr="00C24533">
        <w:t xml:space="preserve">ark-dominant </w:t>
      </w:r>
      <w:r w:rsidR="000E2CC6">
        <w:t>governance</w:t>
      </w:r>
      <w:r w:rsidR="00C24533" w:rsidRPr="00C24533">
        <w:t>.</w:t>
      </w:r>
    </w:p>
    <w:p w14:paraId="67198D6B" w14:textId="476FA31B" w:rsidR="003210E2" w:rsidRPr="00192171" w:rsidRDefault="00CC5211" w:rsidP="00762F56">
      <w:commentRangeStart w:id="33"/>
      <w:r w:rsidRPr="00CC5211">
        <w:t xml:space="preserve">This parameterization makes inference </w:t>
      </w:r>
      <w:r w:rsidR="00281FAD">
        <w:t>difference</w:t>
      </w:r>
      <w:r w:rsidRPr="00CC5211">
        <w:t xml:space="preserve">-based. Because </w:t>
      </w:r>
      <w:r w:rsidR="00201BE2">
        <w:t xml:space="preserve">the </w:t>
      </w:r>
      <w:r w:rsidR="00201BE2" w:rsidRPr="00201BE2">
        <w:t xml:space="preserve">SESU × year fixed effects </w:t>
      </w:r>
      <w:r w:rsidRPr="00CC5211">
        <w:t>absorb all SESU-year-specific shocks shared by inside and outside strata, inference is driven by within-</w:t>
      </w:r>
      <m:oMath>
        <m:d>
          <m:dPr>
            <m:ctrlPr>
              <w:rPr>
                <w:rFonts w:ascii="Cambria Math" w:hAnsi="Cambria Math"/>
                <w:i/>
              </w:rPr>
            </m:ctrlPr>
          </m:dPr>
          <m:e>
            <m:r>
              <w:rPr>
                <w:rFonts w:ascii="Cambria Math" w:hAnsi="Cambria Math"/>
              </w:rPr>
              <m:t>s,t</m:t>
            </m:r>
          </m:e>
        </m:d>
      </m:oMath>
      <w:r w:rsidR="00EE57C1">
        <w:t xml:space="preserve"> </w:t>
      </w:r>
      <w:r w:rsidR="002C6F6F">
        <w:t>inside-outside comparisons</w:t>
      </w:r>
      <w:commentRangeEnd w:id="33"/>
      <w:r w:rsidR="00B53CA2" w:rsidRPr="00192171">
        <w:rPr>
          <w:rStyle w:val="CommentReference"/>
          <w:sz w:val="24"/>
          <w:szCs w:val="22"/>
        </w:rPr>
        <w:commentReference w:id="33"/>
      </w:r>
      <w:r w:rsidR="003210E2" w:rsidRPr="00192171">
        <w:t>.</w:t>
      </w:r>
      <w:commentRangeEnd w:id="31"/>
      <w:r w:rsidR="006A2B01">
        <w:rPr>
          <w:rStyle w:val="CommentReference"/>
          <w:sz w:val="24"/>
          <w:szCs w:val="22"/>
        </w:rPr>
        <w:commentReference w:id="31"/>
      </w:r>
      <w:r w:rsidR="000278AE">
        <w:t xml:space="preserve"> </w:t>
      </w:r>
      <w:r w:rsidR="00B45E44" w:rsidRPr="00B45E44">
        <w:t xml:space="preserve">Positive coefficients indicate higher modeled disturbance probability inside the park than outside, whereas negative coefficients indicate lower modeled disturbance probability inside than outside. The </w:t>
      </w:r>
      <w:r w:rsidR="00075A71">
        <w:t>profile</w:t>
      </w:r>
      <w:r w:rsidR="00B45E44" w:rsidRPr="00B45E44">
        <w:t xml:space="preserve"> coefficients therefore quantify how the inside–outside difference changes under </w:t>
      </w:r>
      <w:r w:rsidR="00075A71">
        <w:t>Profile</w:t>
      </w:r>
      <w:r w:rsidR="00B45E44" w:rsidRPr="00B45E44">
        <w:t xml:space="preserve"> B and C relative to </w:t>
      </w:r>
      <w:r w:rsidR="00075A71">
        <w:t>Profile</w:t>
      </w:r>
      <w:r w:rsidR="00B45E44" w:rsidRPr="00B45E44">
        <w:t xml:space="preserve"> A</w:t>
      </w:r>
      <w:r w:rsidR="001154D0">
        <w:t>.</w:t>
      </w:r>
    </w:p>
    <w:p w14:paraId="44070802" w14:textId="133A2C01" w:rsidR="003210E2" w:rsidRPr="00573139" w:rsidRDefault="00BF3A2C" w:rsidP="003210E2">
      <w:pPr>
        <w:spacing w:after="160" w:line="278" w:lineRule="auto"/>
      </w:pPr>
      <w:commentRangeStart w:id="34"/>
      <w:r w:rsidRPr="00BF3A2C">
        <w:t xml:space="preserve">To test whether estimated boundary-linked contrasts could arise from arbitrary side assignment rather than boundary-related processes, we implemented a placebo “random-side” test. </w:t>
      </w:r>
      <w:commentRangeEnd w:id="34"/>
      <w:r w:rsidR="00573139" w:rsidRPr="00BF3A2C">
        <w:rPr>
          <w:rStyle w:val="CommentReference"/>
          <w:sz w:val="24"/>
          <w:szCs w:val="22"/>
        </w:rPr>
        <w:commentReference w:id="34"/>
      </w:r>
      <w:r w:rsidRPr="00BF3A2C">
        <w:t>Within each SESU, inside/outside labels were randomly permuted across 500 m cells while preserving the observed number of inside cells, the data were re-aggregated to SESU × year × side strata, and the full model was refit to each placebo realization</w:t>
      </w:r>
      <w:r>
        <w:t xml:space="preserve"> (N = 100)</w:t>
      </w:r>
      <w:r w:rsidRPr="00BF3A2C">
        <w:t xml:space="preserve">. </w:t>
      </w:r>
      <w:r w:rsidR="005C2582">
        <w:t>Profile</w:t>
      </w:r>
      <w:r w:rsidR="00573139" w:rsidRPr="00573139">
        <w:t xml:space="preserve"> interaction estimates from the observed boundary were then compared with the null distribution from the placebo label sets</w:t>
      </w:r>
      <w:r w:rsidRPr="00BF3A2C">
        <w:t>.</w:t>
      </w:r>
    </w:p>
    <w:p w14:paraId="38444B8E" w14:textId="332E97F6" w:rsidR="003210E2" w:rsidRPr="003210E2" w:rsidRDefault="00A15877" w:rsidP="003210E2">
      <w:pPr>
        <w:spacing w:after="160" w:line="278" w:lineRule="auto"/>
      </w:pPr>
      <w:r w:rsidRPr="00A15877">
        <w:t xml:space="preserve">We quantified uncertainty for the </w:t>
      </w:r>
      <w:r w:rsidR="000E2CC6">
        <w:t xml:space="preserve">governance profile </w:t>
      </w:r>
      <w:r w:rsidRPr="00A15877">
        <w:t>parameter</w:t>
      </w:r>
      <w:r>
        <w:t xml:space="preserve">s </w:t>
      </w:r>
      <w:r w:rsidR="009D5996" w:rsidRPr="009D5996">
        <w:t xml:space="preserve">in two ways. First, we report model-based </w:t>
      </w:r>
      <w:r w:rsidR="009D5996" w:rsidRPr="00F57532">
        <w:t>Wald intervals from glmmTMB</w:t>
      </w:r>
      <w:r w:rsidR="001172C9">
        <w:t xml:space="preserve"> </w:t>
      </w:r>
      <w:r w:rsidR="001172C9" w:rsidRPr="00037E2F">
        <w:t>(Brooks et al., 2017)</w:t>
      </w:r>
      <w:r w:rsidR="009D5996" w:rsidRPr="009D5996">
        <w:t xml:space="preserve">. Second, because </w:t>
      </w:r>
      <w:r w:rsidR="00010530">
        <w:t xml:space="preserve">of temporal dependence, </w:t>
      </w:r>
      <w:r w:rsidR="009D5996" w:rsidRPr="009D5996">
        <w:t>we implemented a year-block bootstrap in which years were resampled with replacement while keeping all SESU × side strata within each sampled year intact</w:t>
      </w:r>
      <w:r w:rsidR="00FC2FD8">
        <w:t>.</w:t>
      </w:r>
      <w:r w:rsidR="009D5996" w:rsidRPr="009D5996">
        <w:t xml:space="preserve"> </w:t>
      </w:r>
      <w:r w:rsidR="00534DE4" w:rsidRPr="00534DE4">
        <w:t xml:space="preserve">Percentile intervals were then formed for the </w:t>
      </w:r>
      <w:r w:rsidR="00660BB1">
        <w:t>Profile</w:t>
      </w:r>
      <w:r w:rsidR="00534DE4" w:rsidRPr="00534DE4">
        <w:t xml:space="preserve"> B and C interaction terms.</w:t>
      </w:r>
    </w:p>
    <w:p w14:paraId="251BD2EA" w14:textId="723642A4" w:rsidR="00FF4A3F" w:rsidRDefault="00B72E4C" w:rsidP="005C0BAB">
      <w:pPr>
        <w:pStyle w:val="Heading1"/>
      </w:pPr>
      <w:commentRangeStart w:id="35"/>
      <w:commentRangeEnd w:id="35"/>
      <w:r w:rsidRPr="0084723C">
        <w:rPr>
          <w:rStyle w:val="CommentReference"/>
          <w:rFonts w:cs="Times New Roman"/>
          <w:sz w:val="40"/>
          <w:szCs w:val="24"/>
          <w:lang w:eastAsia="nl-NL"/>
        </w:rPr>
        <w:lastRenderedPageBreak/>
        <w:commentReference w:id="35"/>
      </w:r>
      <w:r w:rsidR="0084723C" w:rsidRPr="0084723C">
        <w:rPr>
          <w:rFonts w:cs="Times New Roman"/>
          <w:szCs w:val="24"/>
          <w:lang w:eastAsia="nl-NL"/>
        </w:rPr>
        <w:t xml:space="preserve"> </w:t>
      </w:r>
      <w:r w:rsidR="00DC21EE">
        <w:t xml:space="preserve">3. </w:t>
      </w:r>
      <w:r w:rsidR="00FF4A3F">
        <w:t>Results</w:t>
      </w:r>
    </w:p>
    <w:p w14:paraId="5FAB2427" w14:textId="28F133A9" w:rsidR="00C50620" w:rsidRPr="00AA7403" w:rsidRDefault="008A0E9A" w:rsidP="00C50620">
      <w:pPr>
        <w:keepNext/>
        <w:rPr>
          <w:lang w:val="en-NL"/>
        </w:rPr>
      </w:pPr>
      <w:r w:rsidRPr="008A0E9A">
        <w:rPr>
          <w:noProof/>
          <w:lang w:val="en-NL"/>
        </w:rPr>
        <w:drawing>
          <wp:inline distT="0" distB="0" distL="0" distR="0" wp14:anchorId="770591B0" wp14:editId="1D856F35">
            <wp:extent cx="5943600" cy="6736080"/>
            <wp:effectExtent l="0" t="0" r="0" b="7620"/>
            <wp:docPr id="11511075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943600" cy="6736080"/>
                    </a:xfrm>
                    <a:prstGeom prst="rect">
                      <a:avLst/>
                    </a:prstGeom>
                    <a:noFill/>
                    <a:ln>
                      <a:noFill/>
                    </a:ln>
                  </pic:spPr>
                </pic:pic>
              </a:graphicData>
            </a:graphic>
          </wp:inline>
        </w:drawing>
      </w:r>
    </w:p>
    <w:p w14:paraId="72EFB8A9" w14:textId="5D53A4D3" w:rsidR="00756E39" w:rsidRPr="00020668" w:rsidRDefault="00725AA2" w:rsidP="00852EDE">
      <w:pPr>
        <w:pStyle w:val="Caption"/>
        <w:rPr>
          <w:b w:val="0"/>
          <w:bCs w:val="0"/>
        </w:rPr>
      </w:pPr>
      <w:commentRangeStart w:id="36"/>
      <w:r>
        <w:t>Figure</w:t>
      </w:r>
      <w:commentRangeEnd w:id="36"/>
      <w:r w:rsidR="00C50FE4">
        <w:rPr>
          <w:rStyle w:val="CommentReference"/>
          <w:sz w:val="18"/>
          <w:szCs w:val="18"/>
        </w:rPr>
        <w:commentReference w:id="36"/>
      </w:r>
      <w:r>
        <w:t xml:space="preserve"> </w:t>
      </w:r>
      <w:r>
        <w:fldChar w:fldCharType="begin"/>
      </w:r>
      <w:r>
        <w:instrText xml:space="preserve"> SEQ Figure \* ARABIC </w:instrText>
      </w:r>
      <w:r>
        <w:fldChar w:fldCharType="separate"/>
      </w:r>
      <w:r w:rsidR="008C7295">
        <w:rPr>
          <w:noProof/>
        </w:rPr>
        <w:t>4</w:t>
      </w:r>
      <w:r>
        <w:fldChar w:fldCharType="end"/>
      </w:r>
      <w:r w:rsidR="0076054F">
        <w:t xml:space="preserve">: </w:t>
      </w:r>
      <w:r w:rsidR="0076054F" w:rsidRPr="0076054F">
        <w:t>Composite time series describing boundary</w:t>
      </w:r>
      <w:r w:rsidR="00601707">
        <w:t>-</w:t>
      </w:r>
      <w:r w:rsidR="0076054F" w:rsidRPr="0076054F">
        <w:t>adjacent disturbance</w:t>
      </w:r>
      <w:r w:rsidR="009631F3">
        <w:t xml:space="preserve"> and</w:t>
      </w:r>
      <w:r w:rsidR="0076054F" w:rsidRPr="0076054F">
        <w:t xml:space="preserve"> governance intensity for the two focal </w:t>
      </w:r>
      <w:r w:rsidR="0076054F">
        <w:t>SESUs</w:t>
      </w:r>
      <w:r w:rsidR="0076054F" w:rsidRPr="0076054F">
        <w:t xml:space="preserve"> over 200</w:t>
      </w:r>
      <w:r w:rsidR="009A7EF9">
        <w:t>1</w:t>
      </w:r>
      <w:r w:rsidR="00507DA5">
        <w:t>-</w:t>
      </w:r>
      <w:r w:rsidR="0076054F" w:rsidRPr="0076054F">
        <w:t xml:space="preserve">2022. </w:t>
      </w:r>
      <w:r w:rsidR="004B7729" w:rsidRPr="004B7729">
        <w:rPr>
          <w:b w:val="0"/>
          <w:bCs w:val="0"/>
        </w:rPr>
        <w:t xml:space="preserve">For each SESU (columns), the top three rows show annual disturbance probabilities for fire, deforestation, and agriculture, calculated as </w:t>
      </w:r>
      <m:oMath>
        <m:sSub>
          <m:sSubPr>
            <m:ctrlPr>
              <w:rPr>
                <w:rFonts w:ascii="Cambria Math" w:hAnsi="Cambria Math"/>
                <w:b w:val="0"/>
                <w:bCs w:val="0"/>
              </w:rPr>
            </m:ctrlPr>
          </m:sSubPr>
          <m:e>
            <m:r>
              <m:rPr>
                <m:sty m:val="bi"/>
              </m:rPr>
              <w:rPr>
                <w:rFonts w:ascii="Cambria Math" w:hAnsi="Cambria Math"/>
              </w:rPr>
              <m:t>p</m:t>
            </m:r>
          </m:e>
          <m:sub>
            <m:r>
              <m:rPr>
                <m:sty m:val="bi"/>
              </m:rPr>
              <w:rPr>
                <w:rFonts w:ascii="Cambria Math" w:hAnsi="Cambria Math"/>
              </w:rPr>
              <m:t>stk</m:t>
            </m:r>
          </m:sub>
        </m:sSub>
        <m:r>
          <m:rPr>
            <m:sty m:val="bi"/>
          </m:rPr>
          <w:rPr>
            <w:rFonts w:ascii="Cambria Math" w:hAnsi="Cambria Math"/>
          </w:rPr>
          <m:t>=</m:t>
        </m:r>
        <m:sSub>
          <m:sSubPr>
            <m:ctrlPr>
              <w:rPr>
                <w:rFonts w:ascii="Cambria Math" w:hAnsi="Cambria Math"/>
                <w:b w:val="0"/>
                <w:bCs w:val="0"/>
              </w:rPr>
            </m:ctrlPr>
          </m:sSubPr>
          <m:e>
            <m:r>
              <m:rPr>
                <m:sty m:val="bi"/>
              </m:rPr>
              <w:rPr>
                <w:rFonts w:ascii="Cambria Math" w:hAnsi="Cambria Math"/>
              </w:rPr>
              <m:t>y</m:t>
            </m:r>
          </m:e>
          <m:sub>
            <m:r>
              <m:rPr>
                <m:sty m:val="bi"/>
              </m:rPr>
              <w:rPr>
                <w:rFonts w:ascii="Cambria Math" w:hAnsi="Cambria Math"/>
              </w:rPr>
              <m:t>stk</m:t>
            </m:r>
          </m:sub>
        </m:sSub>
        <m:r>
          <m:rPr>
            <m:sty m:val="b"/>
          </m:rPr>
          <w:rPr>
            <w:rFonts w:ascii="Cambria Math" w:hAnsi="Cambria Math"/>
          </w:rPr>
          <m:t>/</m:t>
        </m:r>
        <m:sSub>
          <m:sSubPr>
            <m:ctrlPr>
              <w:rPr>
                <w:rFonts w:ascii="Cambria Math" w:hAnsi="Cambria Math"/>
                <w:b w:val="0"/>
                <w:bCs w:val="0"/>
              </w:rPr>
            </m:ctrlPr>
          </m:sSubPr>
          <m:e>
            <m:r>
              <m:rPr>
                <m:sty m:val="bi"/>
              </m:rPr>
              <w:rPr>
                <w:rFonts w:ascii="Cambria Math" w:hAnsi="Cambria Math"/>
              </w:rPr>
              <m:t>n</m:t>
            </m:r>
          </m:e>
          <m:sub>
            <m:r>
              <m:rPr>
                <m:sty m:val="bi"/>
              </m:rPr>
              <w:rPr>
                <w:rFonts w:ascii="Cambria Math" w:hAnsi="Cambria Math"/>
              </w:rPr>
              <m:t>stk</m:t>
            </m:r>
          </m:sub>
        </m:sSub>
      </m:oMath>
      <w:r w:rsidR="004B7729" w:rsidRPr="004B7729">
        <w:rPr>
          <w:b w:val="0"/>
          <w:bCs w:val="0"/>
        </w:rPr>
        <w:t xml:space="preserve">, where </w:t>
      </w:r>
      <m:oMath>
        <m:sSub>
          <m:sSubPr>
            <m:ctrlPr>
              <w:rPr>
                <w:rFonts w:ascii="Cambria Math" w:hAnsi="Cambria Math"/>
                <w:b w:val="0"/>
                <w:bCs w:val="0"/>
              </w:rPr>
            </m:ctrlPr>
          </m:sSubPr>
          <m:e>
            <m:r>
              <m:rPr>
                <m:sty m:val="bi"/>
              </m:rPr>
              <w:rPr>
                <w:rFonts w:ascii="Cambria Math" w:hAnsi="Cambria Math"/>
              </w:rPr>
              <m:t>y</m:t>
            </m:r>
          </m:e>
          <m:sub>
            <m:r>
              <m:rPr>
                <m:sty m:val="bi"/>
              </m:rPr>
              <w:rPr>
                <w:rFonts w:ascii="Cambria Math" w:hAnsi="Cambria Math"/>
              </w:rPr>
              <m:t>stk</m:t>
            </m:r>
          </m:sub>
        </m:sSub>
      </m:oMath>
      <w:r w:rsidR="004B7729" w:rsidRPr="004B7729">
        <w:rPr>
          <w:b w:val="0"/>
          <w:bCs w:val="0"/>
        </w:rPr>
        <w:t xml:space="preserve">is the number of disturbed 500 m pixel-years and </w:t>
      </w:r>
      <m:oMath>
        <m:sSub>
          <m:sSubPr>
            <m:ctrlPr>
              <w:rPr>
                <w:rFonts w:ascii="Cambria Math" w:hAnsi="Cambria Math"/>
                <w:b w:val="0"/>
                <w:bCs w:val="0"/>
              </w:rPr>
            </m:ctrlPr>
          </m:sSubPr>
          <m:e>
            <m:r>
              <m:rPr>
                <m:sty m:val="bi"/>
              </m:rPr>
              <w:rPr>
                <w:rFonts w:ascii="Cambria Math" w:hAnsi="Cambria Math"/>
              </w:rPr>
              <m:t>n</m:t>
            </m:r>
          </m:e>
          <m:sub>
            <m:r>
              <m:rPr>
                <m:sty m:val="bi"/>
              </m:rPr>
              <w:rPr>
                <w:rFonts w:ascii="Cambria Math" w:hAnsi="Cambria Math"/>
              </w:rPr>
              <m:t>stk</m:t>
            </m:r>
          </m:sub>
        </m:sSub>
      </m:oMath>
      <w:r w:rsidR="004B7729" w:rsidRPr="004B7729">
        <w:rPr>
          <w:b w:val="0"/>
          <w:bCs w:val="0"/>
        </w:rPr>
        <w:t xml:space="preserve">the number of pixel-years at risk in SESU </w:t>
      </w:r>
      <m:oMath>
        <m:r>
          <m:rPr>
            <m:sty m:val="bi"/>
          </m:rPr>
          <w:rPr>
            <w:rFonts w:ascii="Cambria Math" w:hAnsi="Cambria Math"/>
          </w:rPr>
          <m:t>s</m:t>
        </m:r>
      </m:oMath>
      <w:r w:rsidR="004B7729" w:rsidRPr="004B7729">
        <w:rPr>
          <w:b w:val="0"/>
          <w:bCs w:val="0"/>
        </w:rPr>
        <w:t xml:space="preserve">, year </w:t>
      </w:r>
      <m:oMath>
        <m:r>
          <m:rPr>
            <m:sty m:val="bi"/>
          </m:rPr>
          <w:rPr>
            <w:rFonts w:ascii="Cambria Math" w:hAnsi="Cambria Math"/>
          </w:rPr>
          <m:t>t</m:t>
        </m:r>
      </m:oMath>
      <w:r w:rsidR="004B7729" w:rsidRPr="004B7729">
        <w:rPr>
          <w:b w:val="0"/>
          <w:bCs w:val="0"/>
        </w:rPr>
        <w:t xml:space="preserve">, and side </w:t>
      </w:r>
      <m:oMath>
        <m:r>
          <m:rPr>
            <m:sty m:val="bi"/>
          </m:rPr>
          <w:rPr>
            <w:rFonts w:ascii="Cambria Math" w:hAnsi="Cambria Math"/>
          </w:rPr>
          <m:t>k</m:t>
        </m:r>
      </m:oMath>
      <w:r w:rsidR="004B7729" w:rsidRPr="004B7729">
        <w:rPr>
          <w:b w:val="0"/>
          <w:bCs w:val="0"/>
        </w:rPr>
        <w:t xml:space="preserve">. </w:t>
      </w:r>
      <w:r w:rsidR="00AB47E2">
        <w:rPr>
          <w:b w:val="0"/>
          <w:bCs w:val="0"/>
        </w:rPr>
        <w:t>F</w:t>
      </w:r>
      <w:r w:rsidR="004B7729" w:rsidRPr="004B7729">
        <w:rPr>
          <w:b w:val="0"/>
          <w:bCs w:val="0"/>
        </w:rPr>
        <w:t xml:space="preserve">aint grey ribbons indicate binomial uncertainty around the annual proportions. The fourth row shows </w:t>
      </w:r>
      <w:r w:rsidR="005702E7">
        <w:rPr>
          <w:b w:val="0"/>
          <w:bCs w:val="0"/>
        </w:rPr>
        <w:t xml:space="preserve">governance </w:t>
      </w:r>
      <w:r w:rsidR="00C573B1">
        <w:rPr>
          <w:b w:val="0"/>
          <w:bCs w:val="0"/>
        </w:rPr>
        <w:t>profiles</w:t>
      </w:r>
      <w:r w:rsidR="004B7729" w:rsidRPr="004B7729">
        <w:rPr>
          <w:b w:val="0"/>
          <w:bCs w:val="0"/>
        </w:rPr>
        <w:t xml:space="preserve">. </w:t>
      </w:r>
      <w:r w:rsidR="00BC2362" w:rsidRPr="00BC2362">
        <w:rPr>
          <w:b w:val="0"/>
          <w:bCs w:val="0"/>
        </w:rPr>
        <w:t xml:space="preserve">Vertical lines indicate </w:t>
      </w:r>
      <w:r w:rsidR="005702E7">
        <w:rPr>
          <w:b w:val="0"/>
          <w:bCs w:val="0"/>
        </w:rPr>
        <w:t xml:space="preserve">governance </w:t>
      </w:r>
      <w:r w:rsidR="00C573B1">
        <w:rPr>
          <w:b w:val="0"/>
          <w:bCs w:val="0"/>
        </w:rPr>
        <w:t>profile</w:t>
      </w:r>
      <w:r w:rsidR="005702E7">
        <w:rPr>
          <w:b w:val="0"/>
          <w:bCs w:val="0"/>
        </w:rPr>
        <w:t xml:space="preserve"> changes</w:t>
      </w:r>
      <w:r w:rsidR="004E6FD8">
        <w:rPr>
          <w:b w:val="0"/>
          <w:bCs w:val="0"/>
        </w:rPr>
        <w:t xml:space="preserve"> (</w:t>
      </w:r>
      <w:r w:rsidR="00A10FA4">
        <w:rPr>
          <w:b w:val="0"/>
          <w:bCs w:val="0"/>
        </w:rPr>
        <w:t xml:space="preserve">see </w:t>
      </w:r>
      <w:r w:rsidR="00A10FA4">
        <w:t>Appendix 6.2</w:t>
      </w:r>
      <w:r w:rsidR="004E6FD8">
        <w:rPr>
          <w:b w:val="0"/>
          <w:bCs w:val="0"/>
        </w:rPr>
        <w:t xml:space="preserve"> for </w:t>
      </w:r>
      <w:commentRangeStart w:id="37"/>
      <w:r w:rsidR="004E6FD8">
        <w:rPr>
          <w:b w:val="0"/>
          <w:bCs w:val="0"/>
        </w:rPr>
        <w:t>details)</w:t>
      </w:r>
      <w:r w:rsidR="00BC2362" w:rsidRPr="00BC2362">
        <w:rPr>
          <w:b w:val="0"/>
          <w:bCs w:val="0"/>
        </w:rPr>
        <w:t>.</w:t>
      </w:r>
      <w:commentRangeEnd w:id="37"/>
      <w:r w:rsidR="002753AE" w:rsidRPr="00020668">
        <w:rPr>
          <w:rStyle w:val="CommentReference"/>
          <w:b w:val="0"/>
          <w:bCs w:val="0"/>
          <w:sz w:val="18"/>
          <w:szCs w:val="18"/>
        </w:rPr>
        <w:commentReference w:id="37"/>
      </w:r>
    </w:p>
    <w:p w14:paraId="489259AF" w14:textId="21764556" w:rsidR="00912E18" w:rsidRPr="00BF2AC0" w:rsidRDefault="00961277" w:rsidP="00BF2AC0">
      <w:pPr>
        <w:pStyle w:val="Caption"/>
        <w:keepNext/>
        <w:rPr>
          <w:b w:val="0"/>
          <w:bCs w:val="0"/>
        </w:rPr>
      </w:pPr>
      <w:r>
        <w:lastRenderedPageBreak/>
        <w:t>Table</w:t>
      </w:r>
      <w:r w:rsidR="004551DA">
        <w:t xml:space="preserve"> 3</w:t>
      </w:r>
      <w:r w:rsidR="00F11E74">
        <w:t xml:space="preserve">: </w:t>
      </w:r>
      <w:r w:rsidR="00C1721C" w:rsidRPr="00C1721C">
        <w:t>Beta</w:t>
      </w:r>
      <w:r w:rsidR="00601707">
        <w:t>-</w:t>
      </w:r>
      <w:r w:rsidR="00C1721C" w:rsidRPr="00C1721C">
        <w:t>binomial boundary</w:t>
      </w:r>
      <w:r w:rsidR="00601707">
        <w:t>-</w:t>
      </w:r>
      <w:r w:rsidR="00C1721C" w:rsidRPr="00C1721C">
        <w:t xml:space="preserve">permeability models with </w:t>
      </w:r>
      <w:commentRangeStart w:id="38"/>
      <w:r w:rsidR="00C1721C" w:rsidRPr="00C1721C">
        <w:t>SESU</w:t>
      </w:r>
      <w:r w:rsidR="00CA5553">
        <w:t xml:space="preserve"> </w:t>
      </w:r>
      <w:r w:rsidR="00C1721C" w:rsidRPr="00C1721C">
        <w:t>×</w:t>
      </w:r>
      <w:r w:rsidR="00CA5553">
        <w:t xml:space="preserve"> </w:t>
      </w:r>
      <w:r w:rsidR="00C1721C" w:rsidRPr="00C1721C">
        <w:t>year fixed effects</w:t>
      </w:r>
      <w:commentRangeEnd w:id="38"/>
      <w:r w:rsidR="0038197E" w:rsidRPr="00C1721C">
        <w:rPr>
          <w:rStyle w:val="CommentReference"/>
          <w:sz w:val="18"/>
          <w:szCs w:val="18"/>
        </w:rPr>
        <w:commentReference w:id="38"/>
      </w:r>
      <w:r w:rsidR="00C1721C" w:rsidRPr="00C1721C">
        <w:t xml:space="preserve">. </w:t>
      </w:r>
      <w:r w:rsidR="00C1721C" w:rsidRPr="00020668">
        <w:rPr>
          <w:b w:val="0"/>
          <w:bCs w:val="0"/>
        </w:rPr>
        <w:t>The response is the number of disturbed pixel</w:t>
      </w:r>
      <w:r w:rsidR="00601707" w:rsidRPr="00020668">
        <w:rPr>
          <w:b w:val="0"/>
          <w:bCs w:val="0"/>
        </w:rPr>
        <w:t>-</w:t>
      </w:r>
      <w:r w:rsidR="00C1721C" w:rsidRPr="00020668">
        <w:rPr>
          <w:b w:val="0"/>
          <w:bCs w:val="0"/>
        </w:rPr>
        <w:t>years out of pixel</w:t>
      </w:r>
      <w:r w:rsidR="00601707" w:rsidRPr="00020668">
        <w:rPr>
          <w:b w:val="0"/>
          <w:bCs w:val="0"/>
        </w:rPr>
        <w:t>-</w:t>
      </w:r>
      <w:r w:rsidR="00C1721C" w:rsidRPr="00020668">
        <w:rPr>
          <w:b w:val="0"/>
          <w:bCs w:val="0"/>
        </w:rPr>
        <w:t>years at risk in each SESU</w:t>
      </w:r>
      <w:r w:rsidR="00CA5553">
        <w:rPr>
          <w:b w:val="0"/>
          <w:bCs w:val="0"/>
        </w:rPr>
        <w:t xml:space="preserve"> </w:t>
      </w:r>
      <w:r w:rsidR="00C1721C" w:rsidRPr="00020668">
        <w:rPr>
          <w:b w:val="0"/>
          <w:bCs w:val="0"/>
        </w:rPr>
        <w:t>×</w:t>
      </w:r>
      <w:r w:rsidR="00CA5553">
        <w:rPr>
          <w:b w:val="0"/>
          <w:bCs w:val="0"/>
        </w:rPr>
        <w:t xml:space="preserve"> </w:t>
      </w:r>
      <w:r w:rsidR="00C1721C" w:rsidRPr="00020668">
        <w:rPr>
          <w:b w:val="0"/>
          <w:bCs w:val="0"/>
        </w:rPr>
        <w:t>year</w:t>
      </w:r>
      <w:r w:rsidR="00CA5553">
        <w:rPr>
          <w:b w:val="0"/>
          <w:bCs w:val="0"/>
        </w:rPr>
        <w:t xml:space="preserve"> </w:t>
      </w:r>
      <w:r w:rsidR="00C1721C" w:rsidRPr="00020668">
        <w:rPr>
          <w:b w:val="0"/>
          <w:bCs w:val="0"/>
        </w:rPr>
        <w:t>×</w:t>
      </w:r>
      <w:r w:rsidR="00CA5553">
        <w:rPr>
          <w:b w:val="0"/>
          <w:bCs w:val="0"/>
        </w:rPr>
        <w:t xml:space="preserve"> </w:t>
      </w:r>
      <w:r w:rsidR="00C1721C" w:rsidRPr="00020668">
        <w:rPr>
          <w:b w:val="0"/>
          <w:bCs w:val="0"/>
        </w:rPr>
        <w:t xml:space="preserve">side stratum. </w:t>
      </w:r>
      <w:r w:rsidR="000F534B" w:rsidRPr="00020668">
        <w:rPr>
          <w:b w:val="0"/>
          <w:bCs w:val="0"/>
        </w:rPr>
        <w:t>Side</w:t>
      </w:r>
      <w:r w:rsidR="00C1721C" w:rsidRPr="00020668">
        <w:rPr>
          <w:b w:val="0"/>
          <w:bCs w:val="0"/>
        </w:rPr>
        <w:t xml:space="preserve"> is the baseline log</w:t>
      </w:r>
      <w:r w:rsidR="00601707" w:rsidRPr="00020668">
        <w:rPr>
          <w:b w:val="0"/>
          <w:bCs w:val="0"/>
        </w:rPr>
        <w:t>-</w:t>
      </w:r>
      <w:r w:rsidR="00C1721C" w:rsidRPr="00020668">
        <w:rPr>
          <w:b w:val="0"/>
          <w:bCs w:val="0"/>
        </w:rPr>
        <w:t xml:space="preserve">odds </w:t>
      </w:r>
      <w:r w:rsidR="00A66339" w:rsidRPr="00A66339">
        <w:rPr>
          <w:b w:val="0"/>
          <w:bCs w:val="0"/>
        </w:rPr>
        <w:t>contrast for inside relative to outside</w:t>
      </w:r>
      <w:r w:rsidR="00C1721C" w:rsidRPr="00020668">
        <w:rPr>
          <w:b w:val="0"/>
          <w:bCs w:val="0"/>
        </w:rPr>
        <w:t xml:space="preserve"> within SESU</w:t>
      </w:r>
      <w:r w:rsidR="00601707" w:rsidRPr="00020668">
        <w:rPr>
          <w:b w:val="0"/>
          <w:bCs w:val="0"/>
        </w:rPr>
        <w:t>-</w:t>
      </w:r>
      <w:r w:rsidR="00C1721C" w:rsidRPr="00020668">
        <w:rPr>
          <w:b w:val="0"/>
          <w:bCs w:val="0"/>
        </w:rPr>
        <w:t>years</w:t>
      </w:r>
      <w:r w:rsidR="00A66339" w:rsidRPr="00A66339">
        <w:rPr>
          <w:b w:val="0"/>
          <w:bCs w:val="0"/>
        </w:rPr>
        <w:t>; positive coefficients indicate higher modeled disturbance probability inside the park than outside.</w:t>
      </w:r>
      <w:r w:rsidR="00C1721C" w:rsidRPr="00020668">
        <w:rPr>
          <w:b w:val="0"/>
          <w:bCs w:val="0"/>
        </w:rPr>
        <w:t xml:space="preserve"> Standard errors, Wald z</w:t>
      </w:r>
      <w:r w:rsidR="00601707" w:rsidRPr="00020668">
        <w:rPr>
          <w:b w:val="0"/>
          <w:bCs w:val="0"/>
        </w:rPr>
        <w:t>-</w:t>
      </w:r>
      <w:r w:rsidR="00C1721C" w:rsidRPr="00020668">
        <w:rPr>
          <w:b w:val="0"/>
          <w:bCs w:val="0"/>
        </w:rPr>
        <w:t>statistics, p</w:t>
      </w:r>
      <w:r w:rsidR="00601707" w:rsidRPr="00020668">
        <w:rPr>
          <w:b w:val="0"/>
          <w:bCs w:val="0"/>
        </w:rPr>
        <w:t>-</w:t>
      </w:r>
      <w:r w:rsidR="00C1721C" w:rsidRPr="00020668">
        <w:rPr>
          <w:b w:val="0"/>
          <w:bCs w:val="0"/>
        </w:rPr>
        <w:t>values, and 95% Wald confidence intervals are model</w:t>
      </w:r>
      <w:r w:rsidR="00601707" w:rsidRPr="00020668">
        <w:rPr>
          <w:b w:val="0"/>
          <w:bCs w:val="0"/>
        </w:rPr>
        <w:t>-</w:t>
      </w:r>
      <w:r w:rsidR="00C1721C" w:rsidRPr="00020668">
        <w:rPr>
          <w:b w:val="0"/>
          <w:bCs w:val="0"/>
        </w:rPr>
        <w:t>based.</w:t>
      </w:r>
      <w:r w:rsidR="00347C2A" w:rsidRPr="00020668">
        <w:rPr>
          <w:b w:val="0"/>
          <w:bCs w:val="0"/>
        </w:rPr>
        <w:t xml:space="preserve"> Year</w:t>
      </w:r>
      <w:r w:rsidR="00601707" w:rsidRPr="00020668">
        <w:rPr>
          <w:b w:val="0"/>
          <w:bCs w:val="0"/>
        </w:rPr>
        <w:t>-</w:t>
      </w:r>
      <w:r w:rsidR="00347C2A" w:rsidRPr="00020668">
        <w:rPr>
          <w:b w:val="0"/>
          <w:bCs w:val="0"/>
        </w:rPr>
        <w:t>block bootstrap percentile intervals are reported for governance</w:t>
      </w:r>
      <w:r w:rsidR="00026674">
        <w:rPr>
          <w:b w:val="0"/>
          <w:bCs w:val="0"/>
        </w:rPr>
        <w:t xml:space="preserve"> </w:t>
      </w:r>
      <w:r w:rsidR="002F2044">
        <w:rPr>
          <w:b w:val="0"/>
          <w:bCs w:val="0"/>
        </w:rPr>
        <w:t>profile</w:t>
      </w:r>
      <w:r w:rsidR="00026674">
        <w:rPr>
          <w:b w:val="0"/>
          <w:bCs w:val="0"/>
        </w:rPr>
        <w:t xml:space="preserve"> terms</w:t>
      </w:r>
      <w:r w:rsidR="00347C2A" w:rsidRPr="00020668">
        <w:rPr>
          <w:b w:val="0"/>
          <w:bCs w:val="0"/>
        </w:rPr>
        <w:t>.</w:t>
      </w:r>
    </w:p>
    <w:tbl>
      <w:tblPr>
        <w:tblStyle w:val="PlainTable2"/>
        <w:tblW w:w="0" w:type="auto"/>
        <w:tblLook w:val="04A0" w:firstRow="1" w:lastRow="0" w:firstColumn="1" w:lastColumn="0" w:noHBand="0" w:noVBand="1"/>
      </w:tblPr>
      <w:tblGrid>
        <w:gridCol w:w="1531"/>
        <w:gridCol w:w="925"/>
        <w:gridCol w:w="1054"/>
        <w:gridCol w:w="900"/>
        <w:gridCol w:w="810"/>
        <w:gridCol w:w="841"/>
        <w:gridCol w:w="1514"/>
        <w:gridCol w:w="1785"/>
      </w:tblGrid>
      <w:tr w:rsidR="00514977" w:rsidRPr="007608B9" w14:paraId="572103C1" w14:textId="77777777" w:rsidTr="007608B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55C18008" w14:textId="77777777" w:rsidR="00514977" w:rsidRPr="007608B9" w:rsidRDefault="00514977" w:rsidP="00514977">
            <w:pPr>
              <w:rPr>
                <w:sz w:val="22"/>
                <w:szCs w:val="20"/>
              </w:rPr>
            </w:pPr>
            <w:r w:rsidRPr="007608B9">
              <w:rPr>
                <w:sz w:val="22"/>
                <w:szCs w:val="20"/>
              </w:rPr>
              <w:t>Disturbance</w:t>
            </w:r>
          </w:p>
        </w:tc>
        <w:tc>
          <w:tcPr>
            <w:tcW w:w="925" w:type="dxa"/>
            <w:hideMark/>
          </w:tcPr>
          <w:p w14:paraId="7B599E80" w14:textId="0F5B7193" w:rsidR="00514977" w:rsidRPr="007608B9" w:rsidRDefault="00C573B1" w:rsidP="00514977">
            <w:pPr>
              <w:cnfStyle w:val="100000000000" w:firstRow="1" w:lastRow="0" w:firstColumn="0" w:lastColumn="0" w:oddVBand="0" w:evenVBand="0" w:oddHBand="0" w:evenHBand="0" w:firstRowFirstColumn="0" w:firstRowLastColumn="0" w:lastRowFirstColumn="0" w:lastRowLastColumn="0"/>
              <w:rPr>
                <w:sz w:val="22"/>
                <w:szCs w:val="20"/>
              </w:rPr>
            </w:pPr>
            <w:r>
              <w:rPr>
                <w:sz w:val="22"/>
                <w:szCs w:val="20"/>
              </w:rPr>
              <w:t>Gov</w:t>
            </w:r>
            <w:r w:rsidR="008A643D">
              <w:rPr>
                <w:sz w:val="22"/>
                <w:szCs w:val="20"/>
              </w:rPr>
              <w:t>.</w:t>
            </w:r>
            <w:r>
              <w:rPr>
                <w:sz w:val="22"/>
                <w:szCs w:val="20"/>
              </w:rPr>
              <w:t xml:space="preserve"> profile</w:t>
            </w:r>
          </w:p>
        </w:tc>
        <w:tc>
          <w:tcPr>
            <w:tcW w:w="1054" w:type="dxa"/>
            <w:hideMark/>
          </w:tcPr>
          <w:p w14:paraId="38228E69" w14:textId="77777777"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Estimate (logit)</w:t>
            </w:r>
          </w:p>
        </w:tc>
        <w:tc>
          <w:tcPr>
            <w:tcW w:w="900" w:type="dxa"/>
            <w:hideMark/>
          </w:tcPr>
          <w:p w14:paraId="20BE1A01" w14:textId="77777777"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SE (Wald)</w:t>
            </w:r>
          </w:p>
        </w:tc>
        <w:tc>
          <w:tcPr>
            <w:tcW w:w="810" w:type="dxa"/>
            <w:hideMark/>
          </w:tcPr>
          <w:p w14:paraId="37F85342" w14:textId="77777777"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z</w:t>
            </w:r>
          </w:p>
        </w:tc>
        <w:tc>
          <w:tcPr>
            <w:tcW w:w="841" w:type="dxa"/>
            <w:hideMark/>
          </w:tcPr>
          <w:p w14:paraId="4C9EDBF9" w14:textId="77777777"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p</w:t>
            </w:r>
          </w:p>
        </w:tc>
        <w:tc>
          <w:tcPr>
            <w:tcW w:w="1514" w:type="dxa"/>
            <w:hideMark/>
          </w:tcPr>
          <w:p w14:paraId="0569C6DD" w14:textId="77777777"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95% CI (Wald)</w:t>
            </w:r>
          </w:p>
        </w:tc>
        <w:tc>
          <w:tcPr>
            <w:tcW w:w="0" w:type="auto"/>
            <w:hideMark/>
          </w:tcPr>
          <w:p w14:paraId="45FEB2E0" w14:textId="1A820633" w:rsidR="00514977" w:rsidRPr="007608B9" w:rsidRDefault="00514977" w:rsidP="00514977">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95% CI (</w:t>
            </w:r>
            <w:r w:rsidR="007608B9">
              <w:rPr>
                <w:sz w:val="22"/>
                <w:szCs w:val="20"/>
              </w:rPr>
              <w:t>B</w:t>
            </w:r>
            <w:r w:rsidRPr="007608B9">
              <w:rPr>
                <w:sz w:val="22"/>
                <w:szCs w:val="20"/>
              </w:rPr>
              <w:t>ootstrap)</w:t>
            </w:r>
          </w:p>
        </w:tc>
      </w:tr>
      <w:tr w:rsidR="00514977" w:rsidRPr="007608B9" w14:paraId="5CFC3CB3" w14:textId="77777777" w:rsidTr="00760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2899EEC9" w14:textId="77777777" w:rsidR="00514977" w:rsidRPr="007608B9" w:rsidRDefault="00514977" w:rsidP="00514977">
            <w:pPr>
              <w:rPr>
                <w:sz w:val="22"/>
                <w:szCs w:val="20"/>
              </w:rPr>
            </w:pPr>
            <w:r w:rsidRPr="007608B9">
              <w:rPr>
                <w:sz w:val="22"/>
                <w:szCs w:val="20"/>
              </w:rPr>
              <w:t>Fire</w:t>
            </w:r>
          </w:p>
        </w:tc>
        <w:tc>
          <w:tcPr>
            <w:tcW w:w="925" w:type="dxa"/>
            <w:hideMark/>
          </w:tcPr>
          <w:p w14:paraId="346A6F89" w14:textId="20998F7F" w:rsidR="00514977" w:rsidRPr="007608B9" w:rsidRDefault="007608B9"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A</w:t>
            </w:r>
          </w:p>
        </w:tc>
        <w:tc>
          <w:tcPr>
            <w:tcW w:w="1054" w:type="dxa"/>
            <w:hideMark/>
          </w:tcPr>
          <w:p w14:paraId="72459E6D"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0.193</w:t>
            </w:r>
          </w:p>
        </w:tc>
        <w:tc>
          <w:tcPr>
            <w:tcW w:w="900" w:type="dxa"/>
            <w:hideMark/>
          </w:tcPr>
          <w:p w14:paraId="73DBBC9F"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0.053</w:t>
            </w:r>
          </w:p>
        </w:tc>
        <w:tc>
          <w:tcPr>
            <w:tcW w:w="810" w:type="dxa"/>
            <w:hideMark/>
          </w:tcPr>
          <w:p w14:paraId="4FE017DF"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3.668</w:t>
            </w:r>
          </w:p>
        </w:tc>
        <w:tc>
          <w:tcPr>
            <w:tcW w:w="841" w:type="dxa"/>
            <w:hideMark/>
          </w:tcPr>
          <w:p w14:paraId="6300A671"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&lt;0.001</w:t>
            </w:r>
          </w:p>
        </w:tc>
        <w:tc>
          <w:tcPr>
            <w:tcW w:w="1514" w:type="dxa"/>
            <w:hideMark/>
          </w:tcPr>
          <w:p w14:paraId="2AFE347D" w14:textId="44BFEE6D"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0.090, 0.296</w:t>
            </w:r>
          </w:p>
        </w:tc>
        <w:tc>
          <w:tcPr>
            <w:tcW w:w="0" w:type="auto"/>
            <w:hideMark/>
          </w:tcPr>
          <w:p w14:paraId="7530676A" w14:textId="0D32C94E"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0.081, 0.270</w:t>
            </w:r>
          </w:p>
        </w:tc>
      </w:tr>
      <w:tr w:rsidR="00514977" w:rsidRPr="007608B9" w14:paraId="3CE006A0" w14:textId="77777777" w:rsidTr="007608B9">
        <w:tc>
          <w:tcPr>
            <w:cnfStyle w:val="001000000000" w:firstRow="0" w:lastRow="0" w:firstColumn="1" w:lastColumn="0" w:oddVBand="0" w:evenVBand="0" w:oddHBand="0" w:evenHBand="0" w:firstRowFirstColumn="0" w:firstRowLastColumn="0" w:lastRowFirstColumn="0" w:lastRowLastColumn="0"/>
            <w:tcW w:w="1531" w:type="dxa"/>
            <w:hideMark/>
          </w:tcPr>
          <w:p w14:paraId="53B18E25" w14:textId="77777777" w:rsidR="00514977" w:rsidRPr="007608B9" w:rsidRDefault="00514977" w:rsidP="00514977">
            <w:pPr>
              <w:rPr>
                <w:sz w:val="22"/>
                <w:szCs w:val="20"/>
              </w:rPr>
            </w:pPr>
          </w:p>
        </w:tc>
        <w:tc>
          <w:tcPr>
            <w:tcW w:w="925" w:type="dxa"/>
            <w:hideMark/>
          </w:tcPr>
          <w:p w14:paraId="5DA70997" w14:textId="5324539F" w:rsidR="00514977" w:rsidRPr="007608B9" w:rsidRDefault="007608B9"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B</w:t>
            </w:r>
          </w:p>
        </w:tc>
        <w:tc>
          <w:tcPr>
            <w:tcW w:w="1054" w:type="dxa"/>
            <w:hideMark/>
          </w:tcPr>
          <w:p w14:paraId="6C27D220" w14:textId="77777777"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-0.138</w:t>
            </w:r>
          </w:p>
        </w:tc>
        <w:tc>
          <w:tcPr>
            <w:tcW w:w="900" w:type="dxa"/>
            <w:hideMark/>
          </w:tcPr>
          <w:p w14:paraId="4EB50185" w14:textId="77777777"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0.079</w:t>
            </w:r>
          </w:p>
        </w:tc>
        <w:tc>
          <w:tcPr>
            <w:tcW w:w="810" w:type="dxa"/>
            <w:hideMark/>
          </w:tcPr>
          <w:p w14:paraId="11083ABD" w14:textId="77777777"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-1.755</w:t>
            </w:r>
          </w:p>
        </w:tc>
        <w:tc>
          <w:tcPr>
            <w:tcW w:w="841" w:type="dxa"/>
            <w:hideMark/>
          </w:tcPr>
          <w:p w14:paraId="03C21BF6" w14:textId="77777777"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0.079</w:t>
            </w:r>
          </w:p>
        </w:tc>
        <w:tc>
          <w:tcPr>
            <w:tcW w:w="1514" w:type="dxa"/>
            <w:hideMark/>
          </w:tcPr>
          <w:p w14:paraId="48B761CA" w14:textId="122AAD4F"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-0.292, 0.016</w:t>
            </w:r>
          </w:p>
        </w:tc>
        <w:tc>
          <w:tcPr>
            <w:tcW w:w="0" w:type="auto"/>
            <w:hideMark/>
          </w:tcPr>
          <w:p w14:paraId="3E2F6FC7" w14:textId="706169A2" w:rsidR="00514977" w:rsidRPr="007608B9" w:rsidRDefault="00514977" w:rsidP="00514977">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-0.277, 0.005</w:t>
            </w:r>
          </w:p>
        </w:tc>
      </w:tr>
      <w:tr w:rsidR="00514977" w:rsidRPr="007608B9" w14:paraId="226D8BC2" w14:textId="77777777" w:rsidTr="00760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796B0016" w14:textId="77777777" w:rsidR="00514977" w:rsidRPr="007608B9" w:rsidRDefault="00514977" w:rsidP="00514977">
            <w:pPr>
              <w:rPr>
                <w:sz w:val="22"/>
                <w:szCs w:val="20"/>
              </w:rPr>
            </w:pPr>
          </w:p>
        </w:tc>
        <w:tc>
          <w:tcPr>
            <w:tcW w:w="925" w:type="dxa"/>
            <w:hideMark/>
          </w:tcPr>
          <w:p w14:paraId="18EF55A3" w14:textId="6F5864F5" w:rsidR="00514977" w:rsidRPr="007608B9" w:rsidRDefault="007608B9"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C</w:t>
            </w:r>
          </w:p>
        </w:tc>
        <w:tc>
          <w:tcPr>
            <w:tcW w:w="1054" w:type="dxa"/>
            <w:hideMark/>
          </w:tcPr>
          <w:p w14:paraId="30B51B9E"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-0.074</w:t>
            </w:r>
          </w:p>
        </w:tc>
        <w:tc>
          <w:tcPr>
            <w:tcW w:w="900" w:type="dxa"/>
            <w:hideMark/>
          </w:tcPr>
          <w:p w14:paraId="2EF1483A"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0.075</w:t>
            </w:r>
          </w:p>
        </w:tc>
        <w:tc>
          <w:tcPr>
            <w:tcW w:w="810" w:type="dxa"/>
            <w:hideMark/>
          </w:tcPr>
          <w:p w14:paraId="796CAC03"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-0.989</w:t>
            </w:r>
          </w:p>
        </w:tc>
        <w:tc>
          <w:tcPr>
            <w:tcW w:w="841" w:type="dxa"/>
            <w:hideMark/>
          </w:tcPr>
          <w:p w14:paraId="590FF237" w14:textId="77777777"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0.323</w:t>
            </w:r>
          </w:p>
        </w:tc>
        <w:tc>
          <w:tcPr>
            <w:tcW w:w="1514" w:type="dxa"/>
            <w:hideMark/>
          </w:tcPr>
          <w:p w14:paraId="53CBFD06" w14:textId="0A475DC9"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-0.222, 0.073</w:t>
            </w:r>
          </w:p>
        </w:tc>
        <w:tc>
          <w:tcPr>
            <w:tcW w:w="0" w:type="auto"/>
            <w:hideMark/>
          </w:tcPr>
          <w:p w14:paraId="53B6AF3D" w14:textId="641E63CF" w:rsidR="00514977" w:rsidRPr="007608B9" w:rsidRDefault="00514977" w:rsidP="00514977">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-0.206, 0.073</w:t>
            </w:r>
          </w:p>
        </w:tc>
      </w:tr>
      <w:tr w:rsidR="007608B9" w:rsidRPr="007608B9" w14:paraId="26E2A270" w14:textId="77777777" w:rsidTr="007608B9">
        <w:tc>
          <w:tcPr>
            <w:cnfStyle w:val="001000000000" w:firstRow="0" w:lastRow="0" w:firstColumn="1" w:lastColumn="0" w:oddVBand="0" w:evenVBand="0" w:oddHBand="0" w:evenHBand="0" w:firstRowFirstColumn="0" w:firstRowLastColumn="0" w:lastRowFirstColumn="0" w:lastRowLastColumn="0"/>
            <w:tcW w:w="1531" w:type="dxa"/>
            <w:hideMark/>
          </w:tcPr>
          <w:p w14:paraId="5F9747B9" w14:textId="77777777" w:rsidR="007608B9" w:rsidRPr="007608B9" w:rsidRDefault="007608B9" w:rsidP="007608B9">
            <w:pPr>
              <w:rPr>
                <w:sz w:val="22"/>
                <w:szCs w:val="20"/>
              </w:rPr>
            </w:pPr>
            <w:r w:rsidRPr="007608B9">
              <w:rPr>
                <w:sz w:val="22"/>
                <w:szCs w:val="20"/>
              </w:rPr>
              <w:t>Deforestation</w:t>
            </w:r>
          </w:p>
        </w:tc>
        <w:tc>
          <w:tcPr>
            <w:tcW w:w="925" w:type="dxa"/>
            <w:hideMark/>
          </w:tcPr>
          <w:p w14:paraId="49A77187" w14:textId="51BEDDB0"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A</w:t>
            </w:r>
          </w:p>
        </w:tc>
        <w:tc>
          <w:tcPr>
            <w:tcW w:w="1054" w:type="dxa"/>
            <w:hideMark/>
          </w:tcPr>
          <w:p w14:paraId="37BB2268"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-0.919</w:t>
            </w:r>
          </w:p>
        </w:tc>
        <w:tc>
          <w:tcPr>
            <w:tcW w:w="900" w:type="dxa"/>
            <w:hideMark/>
          </w:tcPr>
          <w:p w14:paraId="2123CBDF"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0.096</w:t>
            </w:r>
          </w:p>
        </w:tc>
        <w:tc>
          <w:tcPr>
            <w:tcW w:w="810" w:type="dxa"/>
            <w:hideMark/>
          </w:tcPr>
          <w:p w14:paraId="7550E68D"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-9.591</w:t>
            </w:r>
          </w:p>
        </w:tc>
        <w:tc>
          <w:tcPr>
            <w:tcW w:w="841" w:type="dxa"/>
            <w:hideMark/>
          </w:tcPr>
          <w:p w14:paraId="3BA9A66F"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&lt;0.001</w:t>
            </w:r>
          </w:p>
        </w:tc>
        <w:tc>
          <w:tcPr>
            <w:tcW w:w="1514" w:type="dxa"/>
            <w:hideMark/>
          </w:tcPr>
          <w:p w14:paraId="7662C9DC" w14:textId="6EE59054"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-1.107, -0.731</w:t>
            </w:r>
          </w:p>
        </w:tc>
        <w:tc>
          <w:tcPr>
            <w:tcW w:w="0" w:type="auto"/>
            <w:hideMark/>
          </w:tcPr>
          <w:p w14:paraId="46E6FF72" w14:textId="7CE7F50E"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-1.713, -0.461</w:t>
            </w:r>
          </w:p>
        </w:tc>
      </w:tr>
      <w:tr w:rsidR="007608B9" w:rsidRPr="007608B9" w14:paraId="6C36B478" w14:textId="77777777" w:rsidTr="00760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5F7E7D59" w14:textId="77777777" w:rsidR="007608B9" w:rsidRPr="007608B9" w:rsidRDefault="007608B9" w:rsidP="007608B9">
            <w:pPr>
              <w:rPr>
                <w:sz w:val="22"/>
                <w:szCs w:val="20"/>
              </w:rPr>
            </w:pPr>
          </w:p>
        </w:tc>
        <w:tc>
          <w:tcPr>
            <w:tcW w:w="925" w:type="dxa"/>
            <w:hideMark/>
          </w:tcPr>
          <w:p w14:paraId="129BB74C" w14:textId="488B3F72"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B</w:t>
            </w:r>
          </w:p>
        </w:tc>
        <w:tc>
          <w:tcPr>
            <w:tcW w:w="1054" w:type="dxa"/>
            <w:hideMark/>
          </w:tcPr>
          <w:p w14:paraId="7AD38AAA"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-1.153</w:t>
            </w:r>
          </w:p>
        </w:tc>
        <w:tc>
          <w:tcPr>
            <w:tcW w:w="900" w:type="dxa"/>
            <w:hideMark/>
          </w:tcPr>
          <w:p w14:paraId="207B9478"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0.271</w:t>
            </w:r>
          </w:p>
        </w:tc>
        <w:tc>
          <w:tcPr>
            <w:tcW w:w="810" w:type="dxa"/>
            <w:hideMark/>
          </w:tcPr>
          <w:p w14:paraId="3FFB8B0C"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-4.248</w:t>
            </w:r>
          </w:p>
        </w:tc>
        <w:tc>
          <w:tcPr>
            <w:tcW w:w="841" w:type="dxa"/>
            <w:hideMark/>
          </w:tcPr>
          <w:p w14:paraId="301221D4"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&lt;0.001</w:t>
            </w:r>
          </w:p>
        </w:tc>
        <w:tc>
          <w:tcPr>
            <w:tcW w:w="1514" w:type="dxa"/>
            <w:hideMark/>
          </w:tcPr>
          <w:p w14:paraId="42A88D05" w14:textId="77DEDC13"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-1.684, -0.623</w:t>
            </w:r>
          </w:p>
        </w:tc>
        <w:tc>
          <w:tcPr>
            <w:tcW w:w="0" w:type="auto"/>
            <w:hideMark/>
          </w:tcPr>
          <w:p w14:paraId="5736CBD6" w14:textId="69B119C3"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-2.168, -0.086</w:t>
            </w:r>
          </w:p>
        </w:tc>
      </w:tr>
      <w:tr w:rsidR="007608B9" w:rsidRPr="007608B9" w14:paraId="0554B78E" w14:textId="77777777" w:rsidTr="007608B9">
        <w:tc>
          <w:tcPr>
            <w:cnfStyle w:val="001000000000" w:firstRow="0" w:lastRow="0" w:firstColumn="1" w:lastColumn="0" w:oddVBand="0" w:evenVBand="0" w:oddHBand="0" w:evenHBand="0" w:firstRowFirstColumn="0" w:firstRowLastColumn="0" w:lastRowFirstColumn="0" w:lastRowLastColumn="0"/>
            <w:tcW w:w="1531" w:type="dxa"/>
            <w:hideMark/>
          </w:tcPr>
          <w:p w14:paraId="09B656BC" w14:textId="77777777" w:rsidR="007608B9" w:rsidRPr="007608B9" w:rsidRDefault="007608B9" w:rsidP="007608B9">
            <w:pPr>
              <w:rPr>
                <w:sz w:val="22"/>
                <w:szCs w:val="20"/>
              </w:rPr>
            </w:pPr>
          </w:p>
        </w:tc>
        <w:tc>
          <w:tcPr>
            <w:tcW w:w="925" w:type="dxa"/>
            <w:hideMark/>
          </w:tcPr>
          <w:p w14:paraId="332A1695" w14:textId="2831315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C</w:t>
            </w:r>
          </w:p>
        </w:tc>
        <w:tc>
          <w:tcPr>
            <w:tcW w:w="1054" w:type="dxa"/>
            <w:hideMark/>
          </w:tcPr>
          <w:p w14:paraId="70B11304"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-2.396</w:t>
            </w:r>
          </w:p>
        </w:tc>
        <w:tc>
          <w:tcPr>
            <w:tcW w:w="900" w:type="dxa"/>
            <w:hideMark/>
          </w:tcPr>
          <w:p w14:paraId="543365D5"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0.269</w:t>
            </w:r>
          </w:p>
        </w:tc>
        <w:tc>
          <w:tcPr>
            <w:tcW w:w="810" w:type="dxa"/>
            <w:hideMark/>
          </w:tcPr>
          <w:p w14:paraId="52D66D13"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-8.904</w:t>
            </w:r>
          </w:p>
        </w:tc>
        <w:tc>
          <w:tcPr>
            <w:tcW w:w="841" w:type="dxa"/>
            <w:hideMark/>
          </w:tcPr>
          <w:p w14:paraId="072363CC"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&lt;0.001</w:t>
            </w:r>
          </w:p>
        </w:tc>
        <w:tc>
          <w:tcPr>
            <w:tcW w:w="1514" w:type="dxa"/>
            <w:hideMark/>
          </w:tcPr>
          <w:p w14:paraId="73B8402E" w14:textId="3BADC4F5"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-2.924, -1.869</w:t>
            </w:r>
          </w:p>
        </w:tc>
        <w:tc>
          <w:tcPr>
            <w:tcW w:w="0" w:type="auto"/>
            <w:hideMark/>
          </w:tcPr>
          <w:p w14:paraId="7E8311F4" w14:textId="4A363B76"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-3.309, -1.523</w:t>
            </w:r>
          </w:p>
        </w:tc>
      </w:tr>
      <w:tr w:rsidR="007608B9" w:rsidRPr="007608B9" w14:paraId="0FBD1503" w14:textId="77777777" w:rsidTr="00760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1E126415" w14:textId="77777777" w:rsidR="007608B9" w:rsidRPr="007608B9" w:rsidRDefault="007608B9" w:rsidP="007608B9">
            <w:pPr>
              <w:rPr>
                <w:sz w:val="22"/>
                <w:szCs w:val="20"/>
              </w:rPr>
            </w:pPr>
            <w:r w:rsidRPr="007608B9">
              <w:rPr>
                <w:sz w:val="22"/>
                <w:szCs w:val="20"/>
              </w:rPr>
              <w:t>Agricultural expansion</w:t>
            </w:r>
          </w:p>
        </w:tc>
        <w:tc>
          <w:tcPr>
            <w:tcW w:w="925" w:type="dxa"/>
            <w:hideMark/>
          </w:tcPr>
          <w:p w14:paraId="42963486" w14:textId="2A02A431"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A</w:t>
            </w:r>
          </w:p>
        </w:tc>
        <w:tc>
          <w:tcPr>
            <w:tcW w:w="1054" w:type="dxa"/>
            <w:hideMark/>
          </w:tcPr>
          <w:p w14:paraId="1769C9AE"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0.457</w:t>
            </w:r>
          </w:p>
        </w:tc>
        <w:tc>
          <w:tcPr>
            <w:tcW w:w="900" w:type="dxa"/>
            <w:hideMark/>
          </w:tcPr>
          <w:p w14:paraId="506AD93F"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0.129</w:t>
            </w:r>
          </w:p>
        </w:tc>
        <w:tc>
          <w:tcPr>
            <w:tcW w:w="810" w:type="dxa"/>
            <w:hideMark/>
          </w:tcPr>
          <w:p w14:paraId="2E1D3934"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3.549</w:t>
            </w:r>
          </w:p>
        </w:tc>
        <w:tc>
          <w:tcPr>
            <w:tcW w:w="841" w:type="dxa"/>
            <w:hideMark/>
          </w:tcPr>
          <w:p w14:paraId="32284846"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&lt;0.001</w:t>
            </w:r>
          </w:p>
        </w:tc>
        <w:tc>
          <w:tcPr>
            <w:tcW w:w="1514" w:type="dxa"/>
            <w:hideMark/>
          </w:tcPr>
          <w:p w14:paraId="4E696ABD" w14:textId="1469AED1"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0.204, 0.711</w:t>
            </w:r>
          </w:p>
        </w:tc>
        <w:tc>
          <w:tcPr>
            <w:tcW w:w="0" w:type="auto"/>
            <w:hideMark/>
          </w:tcPr>
          <w:p w14:paraId="3D30AF2D" w14:textId="1D93EDBE"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-0.172, 0.933</w:t>
            </w:r>
          </w:p>
        </w:tc>
      </w:tr>
      <w:tr w:rsidR="007608B9" w:rsidRPr="007608B9" w14:paraId="2B6EE496" w14:textId="77777777" w:rsidTr="007608B9">
        <w:tc>
          <w:tcPr>
            <w:cnfStyle w:val="001000000000" w:firstRow="0" w:lastRow="0" w:firstColumn="1" w:lastColumn="0" w:oddVBand="0" w:evenVBand="0" w:oddHBand="0" w:evenHBand="0" w:firstRowFirstColumn="0" w:firstRowLastColumn="0" w:lastRowFirstColumn="0" w:lastRowLastColumn="0"/>
            <w:tcW w:w="1531" w:type="dxa"/>
            <w:hideMark/>
          </w:tcPr>
          <w:p w14:paraId="63DBC863" w14:textId="77777777" w:rsidR="007608B9" w:rsidRPr="007608B9" w:rsidRDefault="007608B9" w:rsidP="007608B9">
            <w:pPr>
              <w:rPr>
                <w:sz w:val="22"/>
                <w:szCs w:val="20"/>
              </w:rPr>
            </w:pPr>
          </w:p>
        </w:tc>
        <w:tc>
          <w:tcPr>
            <w:tcW w:w="925" w:type="dxa"/>
            <w:hideMark/>
          </w:tcPr>
          <w:p w14:paraId="01A375EE" w14:textId="3A4CE8BF"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B</w:t>
            </w:r>
          </w:p>
        </w:tc>
        <w:tc>
          <w:tcPr>
            <w:tcW w:w="1054" w:type="dxa"/>
            <w:hideMark/>
          </w:tcPr>
          <w:p w14:paraId="76EFD784"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-0.347</w:t>
            </w:r>
          </w:p>
        </w:tc>
        <w:tc>
          <w:tcPr>
            <w:tcW w:w="900" w:type="dxa"/>
            <w:hideMark/>
          </w:tcPr>
          <w:p w14:paraId="6A2BDBA9"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0.164</w:t>
            </w:r>
          </w:p>
        </w:tc>
        <w:tc>
          <w:tcPr>
            <w:tcW w:w="810" w:type="dxa"/>
            <w:hideMark/>
          </w:tcPr>
          <w:p w14:paraId="2F96DFC0"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-2.116</w:t>
            </w:r>
          </w:p>
        </w:tc>
        <w:tc>
          <w:tcPr>
            <w:tcW w:w="841" w:type="dxa"/>
            <w:hideMark/>
          </w:tcPr>
          <w:p w14:paraId="4A129E2B" w14:textId="77777777"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0.034</w:t>
            </w:r>
          </w:p>
        </w:tc>
        <w:tc>
          <w:tcPr>
            <w:tcW w:w="1514" w:type="dxa"/>
            <w:hideMark/>
          </w:tcPr>
          <w:p w14:paraId="474AB428" w14:textId="35644A2A"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-0.669, -0.025</w:t>
            </w:r>
          </w:p>
        </w:tc>
        <w:tc>
          <w:tcPr>
            <w:tcW w:w="0" w:type="auto"/>
            <w:hideMark/>
          </w:tcPr>
          <w:p w14:paraId="17EE48E3" w14:textId="4F145DA0" w:rsidR="007608B9" w:rsidRPr="007608B9" w:rsidRDefault="007608B9" w:rsidP="007608B9">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-1.204, 0.341</w:t>
            </w:r>
          </w:p>
        </w:tc>
      </w:tr>
      <w:tr w:rsidR="007608B9" w:rsidRPr="007608B9" w14:paraId="2B302233" w14:textId="77777777" w:rsidTr="007608B9">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58442A34" w14:textId="77777777" w:rsidR="007608B9" w:rsidRPr="007608B9" w:rsidRDefault="007608B9" w:rsidP="007608B9">
            <w:pPr>
              <w:rPr>
                <w:sz w:val="22"/>
                <w:szCs w:val="20"/>
              </w:rPr>
            </w:pPr>
          </w:p>
        </w:tc>
        <w:tc>
          <w:tcPr>
            <w:tcW w:w="925" w:type="dxa"/>
            <w:hideMark/>
          </w:tcPr>
          <w:p w14:paraId="4A13F351" w14:textId="43096ACF"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C</w:t>
            </w:r>
          </w:p>
        </w:tc>
        <w:tc>
          <w:tcPr>
            <w:tcW w:w="1054" w:type="dxa"/>
            <w:hideMark/>
          </w:tcPr>
          <w:p w14:paraId="7A6A4FE0"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-1.012</w:t>
            </w:r>
          </w:p>
        </w:tc>
        <w:tc>
          <w:tcPr>
            <w:tcW w:w="900" w:type="dxa"/>
            <w:hideMark/>
          </w:tcPr>
          <w:p w14:paraId="5B874254"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0.177</w:t>
            </w:r>
          </w:p>
        </w:tc>
        <w:tc>
          <w:tcPr>
            <w:tcW w:w="810" w:type="dxa"/>
            <w:hideMark/>
          </w:tcPr>
          <w:p w14:paraId="6F087764"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-5.674</w:t>
            </w:r>
          </w:p>
        </w:tc>
        <w:tc>
          <w:tcPr>
            <w:tcW w:w="841" w:type="dxa"/>
            <w:hideMark/>
          </w:tcPr>
          <w:p w14:paraId="32D9203B" w14:textId="7777777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&lt;0.001</w:t>
            </w:r>
          </w:p>
        </w:tc>
        <w:tc>
          <w:tcPr>
            <w:tcW w:w="1514" w:type="dxa"/>
            <w:hideMark/>
          </w:tcPr>
          <w:p w14:paraId="4EB6364C" w14:textId="637DF69C"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-1.358, -0.665</w:t>
            </w:r>
          </w:p>
        </w:tc>
        <w:tc>
          <w:tcPr>
            <w:tcW w:w="0" w:type="auto"/>
            <w:hideMark/>
          </w:tcPr>
          <w:p w14:paraId="3F4DEAA9" w14:textId="5B58A787" w:rsidR="007608B9" w:rsidRPr="007608B9" w:rsidRDefault="007608B9" w:rsidP="007608B9">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-1.711, -0.418</w:t>
            </w:r>
          </w:p>
        </w:tc>
      </w:tr>
    </w:tbl>
    <w:p w14:paraId="03CEF1E2" w14:textId="77777777" w:rsidR="00B33177" w:rsidRDefault="00B33177" w:rsidP="00C338F6"/>
    <w:p w14:paraId="4132555C" w14:textId="38F3A24E" w:rsidR="00C338F6" w:rsidRPr="00C338F6" w:rsidRDefault="00C338F6" w:rsidP="00C338F6">
      <w:r w:rsidRPr="00C338F6">
        <w:t>Clustering of the Upemba landscape yielded three socio-ecological system units (SESUs), selected from candidate partitions of two to ten clusters based on the mean silhouette profile evaluated on a random sample of 20,000 cells (</w:t>
      </w:r>
      <w:r w:rsidR="00281293">
        <w:rPr>
          <w:b/>
          <w:bCs/>
        </w:rPr>
        <w:t>Appendix 6.1</w:t>
      </w:r>
      <w:r w:rsidRPr="00C338F6">
        <w:t>). The resulting SESUs partitioned the Upemba landscape into spatially coherent, internally similar strata for subsequent inside–outside comparison (Fig. 3). For boundary analyses, we retained only SESUs with sufficient sampled 500 m pixels on both sides of the National Park boundary to support stable annual binomial aggregation. SESU2 was excluded because the area intersecting the park polygon was too small to support stable annual estimation of inside–outside disturbance probabilities and differences (Appendix). All remaining results therefore focus on SESU1 (Depression) and SESU3 (Plateau).</w:t>
      </w:r>
    </w:p>
    <w:p w14:paraId="4CB683A3" w14:textId="40098ED0" w:rsidR="00BE2842" w:rsidRDefault="00BE2842" w:rsidP="00C338F6">
      <w:r w:rsidRPr="00BE2842">
        <w:t xml:space="preserve">Across the two retained SESUs and 22 annual steps (2001–2022), the three disturbance indicators showed different </w:t>
      </w:r>
      <w:r w:rsidR="000C5D4D">
        <w:t>statistical associations</w:t>
      </w:r>
      <w:r w:rsidRPr="00BE2842">
        <w:t xml:space="preserve"> with the </w:t>
      </w:r>
      <w:r w:rsidR="000C5D4D">
        <w:t>governance profiles</w:t>
      </w:r>
      <w:r w:rsidRPr="00BE2842">
        <w:t xml:space="preserve">. Deforestation showed the clearest and most consistent signal: relative to </w:t>
      </w:r>
      <w:r w:rsidR="00127D66">
        <w:t>Profile</w:t>
      </w:r>
      <w:r w:rsidRPr="00BE2842">
        <w:t xml:space="preserve"> A, both</w:t>
      </w:r>
      <w:r w:rsidR="00127D66">
        <w:t xml:space="preserve"> militia- (Profile B) and park-dominant (Profile C) governance</w:t>
      </w:r>
      <w:r w:rsidR="00D24748">
        <w:t xml:space="preserve"> </w:t>
      </w:r>
      <w:r w:rsidRPr="00BE2842">
        <w:t xml:space="preserve">were associated with lower deforestation inside the park than outside, with the stronger shift under </w:t>
      </w:r>
      <w:r w:rsidR="00D24748">
        <w:t>Profile</w:t>
      </w:r>
      <w:r w:rsidRPr="00BE2842">
        <w:t xml:space="preserve"> C. Agricultural expansion showed a comparable pattern only for </w:t>
      </w:r>
      <w:r w:rsidR="00D24748">
        <w:t>Profile</w:t>
      </w:r>
      <w:r w:rsidRPr="00BE2842">
        <w:t xml:space="preserve"> C. Fire behaved differently: </w:t>
      </w:r>
      <w:r w:rsidR="00D24748">
        <w:t xml:space="preserve">the baseline profile </w:t>
      </w:r>
      <w:r w:rsidRPr="00BE2842">
        <w:t xml:space="preserve">characterized by higher modeled fire probability inside the park than outside, but neither </w:t>
      </w:r>
      <w:r w:rsidR="00D24748">
        <w:t>militia- nor park-</w:t>
      </w:r>
      <w:r w:rsidR="00D24748">
        <w:lastRenderedPageBreak/>
        <w:t>dominant governance were</w:t>
      </w:r>
      <w:r w:rsidRPr="00BE2842">
        <w:t xml:space="preserve"> associated with a stable shift in that difference. </w:t>
      </w:r>
      <w:r w:rsidR="00D34417">
        <w:rPr>
          <w:b/>
          <w:bCs/>
        </w:rPr>
        <w:t>Table 3</w:t>
      </w:r>
      <w:r w:rsidRPr="00BE2842">
        <w:t xml:space="preserve"> reports the corresponding coefficient estimates and uncertainty intervals.</w:t>
      </w:r>
    </w:p>
    <w:p w14:paraId="55668FA8" w14:textId="365D452B" w:rsidR="00C338F6" w:rsidRPr="00C338F6" w:rsidRDefault="00C338F6" w:rsidP="00C338F6">
      <w:r w:rsidRPr="00C338F6">
        <w:t xml:space="preserve">Placebo models in which the inside/outside label was randomized yielded </w:t>
      </w:r>
      <w:r w:rsidR="007832B0">
        <w:t xml:space="preserve">governance profile effect </w:t>
      </w:r>
      <w:r w:rsidRPr="00C338F6">
        <w:t xml:space="preserve">estimates near zero, with bootstrap intervals spanning zero. This indicates that the observed </w:t>
      </w:r>
      <w:r w:rsidR="00EB0FE7">
        <w:t>patterns</w:t>
      </w:r>
      <w:r w:rsidRPr="00C338F6">
        <w:t xml:space="preserve"> depend on the actual park boundary rather than arising generically under arbitrary side labels (</w:t>
      </w:r>
      <w:r w:rsidR="00D34417">
        <w:rPr>
          <w:b/>
          <w:bCs/>
        </w:rPr>
        <w:t>Appendix 6.1</w:t>
      </w:r>
      <w:r w:rsidRPr="00C338F6">
        <w:t>).</w:t>
      </w:r>
    </w:p>
    <w:p w14:paraId="5AA2154B" w14:textId="130E003F" w:rsidR="00C338F6" w:rsidRPr="00C338F6" w:rsidRDefault="00136072" w:rsidP="00C338F6">
      <w:r w:rsidRPr="00136072">
        <w:t xml:space="preserve">The results indicate that the three disturbance indicators do not recover the same governance signal. Deforestation provides the clearest evidence of lower disturbance inside the park than outside, and that contrast becomes stronger under both militia-dominant and especially </w:t>
      </w:r>
      <w:r w:rsidR="00E2548B">
        <w:t>p</w:t>
      </w:r>
      <w:r w:rsidRPr="00136072">
        <w:t xml:space="preserve">ark-dominant </w:t>
      </w:r>
      <w:r w:rsidR="00E2548B">
        <w:t>governance</w:t>
      </w:r>
      <w:r w:rsidRPr="00136072">
        <w:t xml:space="preserve">. Agricultural expansion points in the same direction only for the </w:t>
      </w:r>
      <w:r w:rsidR="00E2548B">
        <w:t>p</w:t>
      </w:r>
      <w:r w:rsidRPr="00136072">
        <w:t xml:space="preserve">ark-dominant </w:t>
      </w:r>
      <w:r w:rsidR="00E2548B">
        <w:t>profile</w:t>
      </w:r>
      <w:r w:rsidR="00D67C76" w:rsidRPr="00C97029">
        <w:t xml:space="preserve">. Because the models include SESU × year fixed effects, these results are not driven by static environmental differences between inside and outside, nor by annual shocks shared across the landscape. </w:t>
      </w:r>
      <w:r w:rsidRPr="00136072">
        <w:t xml:space="preserve">Fire </w:t>
      </w:r>
      <w:r w:rsidR="00E74E06">
        <w:t>is consistently more frequent inside the park than outside, and</w:t>
      </w:r>
      <w:r w:rsidRPr="00136072">
        <w:t xml:space="preserve"> we do not detect a robust shift away from that pattern</w:t>
      </w:r>
      <w:r w:rsidR="00E74E06">
        <w:t xml:space="preserve"> under any governance profile</w:t>
      </w:r>
      <w:r w:rsidRPr="00136072">
        <w:t>. Remote sensing therefore recovers interpretable but outcome-specific signals of territorial ordering</w:t>
      </w:r>
      <w:r w:rsidR="00C338F6" w:rsidRPr="00C338F6">
        <w:t>.</w:t>
      </w:r>
    </w:p>
    <w:p w14:paraId="7CAD1AEC" w14:textId="32B403E3" w:rsidR="00FF4A3F" w:rsidRDefault="00765C52" w:rsidP="00FF4A3F">
      <w:pPr>
        <w:pStyle w:val="Heading1"/>
      </w:pPr>
      <w:r>
        <w:t xml:space="preserve">4. </w:t>
      </w:r>
      <w:r w:rsidR="00FF4A3F">
        <w:t>Discussion</w:t>
      </w:r>
    </w:p>
    <w:p w14:paraId="6FE6C614" w14:textId="617C072A" w:rsidR="00617186" w:rsidRDefault="00746C0A" w:rsidP="00617186">
      <w:pPr>
        <w:spacing w:after="160" w:line="278" w:lineRule="auto"/>
      </w:pPr>
      <w:r w:rsidRPr="00746C0A">
        <w:t xml:space="preserve">Our results show that exposure-controlled </w:t>
      </w:r>
      <w:r w:rsidR="008F36ED">
        <w:t>boundary</w:t>
      </w:r>
      <w:r w:rsidRPr="00746C0A">
        <w:t xml:space="preserve"> contrasts can recover meaningful information about territorial </w:t>
      </w:r>
      <w:r w:rsidR="003904A8">
        <w:t>control</w:t>
      </w:r>
      <w:r w:rsidRPr="00746C0A">
        <w:t xml:space="preserve"> in a conflict-affected protected area, but that t</w:t>
      </w:r>
      <w:r w:rsidR="008F36ED">
        <w:t xml:space="preserve">he </w:t>
      </w:r>
      <w:r w:rsidRPr="00746C0A">
        <w:t xml:space="preserve">interpretability is outcome-specific. </w:t>
      </w:r>
      <w:r w:rsidR="008E4494" w:rsidRPr="00136072">
        <w:t xml:space="preserve">Deforestation </w:t>
      </w:r>
      <w:r w:rsidR="00E1040D">
        <w:t>is</w:t>
      </w:r>
      <w:r w:rsidR="008E4494" w:rsidRPr="00136072">
        <w:t xml:space="preserve"> lower inside the park than outside, and that contrast becomes stronger under both the militia</w:t>
      </w:r>
      <w:r w:rsidR="002F210E">
        <w:t xml:space="preserve">- and </w:t>
      </w:r>
      <w:r w:rsidR="008E4494" w:rsidRPr="00136072">
        <w:t xml:space="preserve">the </w:t>
      </w:r>
      <w:r w:rsidR="002F210E">
        <w:t>p</w:t>
      </w:r>
      <w:r w:rsidR="008E4494" w:rsidRPr="00136072">
        <w:t xml:space="preserve">ark-dominant </w:t>
      </w:r>
      <w:r w:rsidR="002F210E">
        <w:t>profile</w:t>
      </w:r>
      <w:r w:rsidRPr="00746C0A">
        <w:t xml:space="preserve">. Agricultural expansion </w:t>
      </w:r>
      <w:r w:rsidR="002F210E">
        <w:t>produces the same result</w:t>
      </w:r>
      <w:r w:rsidR="00702660">
        <w:t xml:space="preserve"> </w:t>
      </w:r>
      <w:r w:rsidR="00126591">
        <w:t>for the park-dominant profile</w:t>
      </w:r>
      <w:r w:rsidRPr="00746C0A">
        <w:t xml:space="preserve">. </w:t>
      </w:r>
      <w:r w:rsidR="008F36ED">
        <w:t>F</w:t>
      </w:r>
      <w:r w:rsidRPr="00746C0A">
        <w:t>ire probability is higher inside the park than outside</w:t>
      </w:r>
      <w:r w:rsidR="0051323A">
        <w:t xml:space="preserve"> under the baseline </w:t>
      </w:r>
      <w:r w:rsidR="00F443F7">
        <w:t>governance profile</w:t>
      </w:r>
      <w:r w:rsidRPr="00746C0A">
        <w:t xml:space="preserve">, </w:t>
      </w:r>
      <w:r w:rsidR="00F443F7">
        <w:t>and</w:t>
      </w:r>
      <w:r w:rsidRPr="00746C0A">
        <w:t xml:space="preserve"> neither </w:t>
      </w:r>
      <w:r w:rsidR="009869F0">
        <w:t xml:space="preserve">militia- nor </w:t>
      </w:r>
      <w:r w:rsidR="00F32BA1">
        <w:t>p</w:t>
      </w:r>
      <w:r w:rsidRPr="00746C0A">
        <w:t xml:space="preserve">ark-dominant </w:t>
      </w:r>
      <w:r w:rsidR="009869F0">
        <w:t>governance</w:t>
      </w:r>
      <w:r w:rsidRPr="00746C0A">
        <w:t xml:space="preserve"> </w:t>
      </w:r>
      <w:r w:rsidR="009869F0">
        <w:t>is associated with a</w:t>
      </w:r>
      <w:r w:rsidRPr="00746C0A">
        <w:t xml:space="preserve"> robust shift away from that pattern.</w:t>
      </w:r>
    </w:p>
    <w:p w14:paraId="4ABE873F" w14:textId="59D9C82F" w:rsidR="00467660" w:rsidRDefault="00DC4FD5" w:rsidP="00617186">
      <w:pPr>
        <w:spacing w:after="160" w:line="278" w:lineRule="auto"/>
      </w:pPr>
      <w:r>
        <w:t>Additionally, t</w:t>
      </w:r>
      <w:r w:rsidR="00C46A78">
        <w:t xml:space="preserve">he data suggests that specifically under the </w:t>
      </w:r>
      <w:r w:rsidR="009923AD">
        <w:t>militia</w:t>
      </w:r>
      <w:r w:rsidR="00C46A78">
        <w:t xml:space="preserve">-dominant governance profile, absolute disturbance levels throughout the </w:t>
      </w:r>
      <w:r w:rsidR="00EB739D">
        <w:t>Upemba landscape</w:t>
      </w:r>
      <w:r w:rsidR="009923AD">
        <w:t xml:space="preserve"> (i.e., both inside and outside the park)</w:t>
      </w:r>
      <w:r w:rsidR="00EB739D">
        <w:t xml:space="preserve"> decreased (</w:t>
      </w:r>
      <w:r w:rsidR="00EB739D" w:rsidRPr="00324F71">
        <w:rPr>
          <w:b/>
          <w:bCs/>
        </w:rPr>
        <w:t>Fig. 3</w:t>
      </w:r>
      <w:r w:rsidR="00EB739D">
        <w:t xml:space="preserve">). However, we </w:t>
      </w:r>
      <w:r w:rsidR="00A04DA8">
        <w:t>focus the analysis on boundary permeability metrics to not</w:t>
      </w:r>
      <w:r w:rsidR="00467660" w:rsidRPr="00467660">
        <w:t xml:space="preserve"> interpret the mapped annual disturbance layers as unbiased estimates of true annual area change. This is consistent with established caution around area estimation from classified land-change products (Olofsson et al., 2014), with the strong climatic control of interannual fire variability in southern Africa (Archibald et al., 2010), and </w:t>
      </w:r>
      <w:r w:rsidR="007C109C">
        <w:t>because</w:t>
      </w:r>
      <w:r w:rsidR="00467660" w:rsidRPr="00467660">
        <w:t xml:space="preserve"> cropland products in Sub-Saharan Africa vary substantially in performance across landscapes (Kerner et al., 2024).</w:t>
      </w:r>
    </w:p>
    <w:p w14:paraId="43F75F7C" w14:textId="3D1AD0F6" w:rsidR="00617186" w:rsidRDefault="00165CA0" w:rsidP="00617186">
      <w:pPr>
        <w:spacing w:after="160" w:line="278" w:lineRule="auto"/>
      </w:pPr>
      <w:r>
        <w:t>F</w:t>
      </w:r>
      <w:r w:rsidR="001E44DD" w:rsidRPr="001E44DD">
        <w:t xml:space="preserve">ire remains higher inside the park than outside, and neither of the other two </w:t>
      </w:r>
      <w:r w:rsidR="00170E5D">
        <w:t>governance profiles</w:t>
      </w:r>
      <w:r w:rsidR="001E44DD" w:rsidRPr="001E44DD">
        <w:t xml:space="preserve"> shift that pattern robustly. This suggests that the process captured by dry-season fire is not regulated in the same way as clearing and cultivation. In Upemba, fire is closely tied to hunting practices, including flushing game, smoking rodents from burrows, and attracting animals to fresh regrowth (Delvaux, 1950; Van Leeuwe et al., 2009; Amoako and Gambiza, 2022). These </w:t>
      </w:r>
      <w:r w:rsidR="001E44DD" w:rsidRPr="001E44DD">
        <w:lastRenderedPageBreak/>
        <w:t xml:space="preserve">activities </w:t>
      </w:r>
      <w:r w:rsidR="003A573C">
        <w:t xml:space="preserve">are </w:t>
      </w:r>
      <w:r w:rsidR="001E44DD" w:rsidRPr="001E44DD">
        <w:t>mobile, spatially opportunistic</w:t>
      </w:r>
      <w:r w:rsidR="003A573C">
        <w:t xml:space="preserve">, and </w:t>
      </w:r>
      <w:r w:rsidR="001E44DD" w:rsidRPr="001E44DD">
        <w:t xml:space="preserve">do not require the same sustained occupation, repeated labour input, or visible site commitment as cultivation or permanent land conversion. A governance </w:t>
      </w:r>
      <w:r w:rsidR="001F2BEF">
        <w:t>profile</w:t>
      </w:r>
      <w:r w:rsidR="001E44DD" w:rsidRPr="001E44DD">
        <w:t xml:space="preserve"> may therefore be strong enough to suppress more stationary forms of land transformation without suppressing mobile extractive use to the same degree. The fire result shows that this particular indicator is less responsive, or differently responsive, to the forms of territorial control reconstructed here.</w:t>
      </w:r>
      <w:r w:rsidR="00AC5C70">
        <w:t xml:space="preserve"> It may also suggest past conservation success by indicating that the park may be more attractive </w:t>
      </w:r>
      <w:r w:rsidR="008D7820">
        <w:t>for hunting than comparable areas outside.</w:t>
      </w:r>
    </w:p>
    <w:p w14:paraId="2C71DFD6" w14:textId="116337CE" w:rsidR="001E44DD" w:rsidRPr="00C92870" w:rsidRDefault="001E44DD" w:rsidP="00617186">
      <w:pPr>
        <w:spacing w:after="160" w:line="278" w:lineRule="auto"/>
      </w:pPr>
      <w:r w:rsidRPr="001E44DD">
        <w:t xml:space="preserve">This divergence across indicators </w:t>
      </w:r>
      <w:r w:rsidR="0024597F">
        <w:t>may suggest</w:t>
      </w:r>
      <w:r w:rsidRPr="001E44DD">
        <w:t xml:space="preserve"> that different disturbance processes occupy different positions in a broader </w:t>
      </w:r>
      <w:r w:rsidR="005F69B6" w:rsidRPr="001E44DD">
        <w:t xml:space="preserve">“waves of degradation” </w:t>
      </w:r>
      <w:r w:rsidR="00C858D6">
        <w:t>sequence</w:t>
      </w:r>
      <w:r w:rsidR="005F69B6">
        <w:t xml:space="preserve"> (Ahrends et al., 2010)</w:t>
      </w:r>
      <w:r w:rsidRPr="001E44DD">
        <w:t xml:space="preserve">. Clearing and cultivation may remain relatively sensitive to changes in who controls access and settlement because </w:t>
      </w:r>
      <w:r w:rsidR="002A7B56">
        <w:t>they are at an early stage in the Upemba landscape (derived from Hansen et al., 2013; Lou et al., 2025)</w:t>
      </w:r>
      <w:r w:rsidRPr="001E44DD">
        <w:t xml:space="preserve">. By contrast, </w:t>
      </w:r>
      <w:r w:rsidR="00767D70">
        <w:t>poaching is at a much later stage, where even rodents are targeted due to depleted wildlife populations (Van Leeuwe et al., 2008)</w:t>
      </w:r>
      <w:r w:rsidRPr="001E44DD">
        <w:t xml:space="preserve">. In that sense, </w:t>
      </w:r>
      <w:r w:rsidR="003B4043">
        <w:t>earlier-stage activities may be</w:t>
      </w:r>
      <w:r w:rsidRPr="001E44DD">
        <w:t xml:space="preserve"> easier to suppress </w:t>
      </w:r>
      <w:r w:rsidR="003B4043">
        <w:t>than late-stage extraction</w:t>
      </w:r>
      <w:r w:rsidRPr="001E44DD">
        <w:t xml:space="preserve">. </w:t>
      </w:r>
      <w:r w:rsidR="003B4043">
        <w:t>This is consistent with adaptive cycle thinking, where</w:t>
      </w:r>
      <w:r w:rsidR="002D4BCB">
        <w:t xml:space="preserve"> later extractive phases are more inert to change as</w:t>
      </w:r>
      <w:r w:rsidRPr="001E44DD">
        <w:t xml:space="preserve"> repeated disturbance reorganizes the system around depleted but still exploitable resources rather than producing straightforward recovery</w:t>
      </w:r>
      <w:r w:rsidR="00F37E32">
        <w:t xml:space="preserve">, before a rapid reorganization of the system occurs around a new </w:t>
      </w:r>
      <w:r w:rsidR="006D752E">
        <w:t>resource</w:t>
      </w:r>
      <w:r w:rsidRPr="001E44DD">
        <w:t xml:space="preserve"> (Gunderson and Holling, 2002).</w:t>
      </w:r>
    </w:p>
    <w:p w14:paraId="3E551196" w14:textId="21AE03BA" w:rsidR="007018A1" w:rsidRPr="007018A1" w:rsidRDefault="006C7560" w:rsidP="00FE1299">
      <w:pPr>
        <w:spacing w:after="160" w:line="278" w:lineRule="auto"/>
        <w:rPr>
          <w:lang w:val="en-NL"/>
        </w:rPr>
      </w:pPr>
      <w:r>
        <w:rPr>
          <w:lang w:val="en-NL"/>
        </w:rPr>
        <w:t>Lower deforestation</w:t>
      </w:r>
      <w:r w:rsidR="007018A1" w:rsidRPr="007018A1">
        <w:rPr>
          <w:lang w:val="en-NL"/>
        </w:rPr>
        <w:t xml:space="preserve"> under militia-dominant </w:t>
      </w:r>
      <w:r w:rsidR="00170E5D">
        <w:rPr>
          <w:lang w:val="en-NL"/>
        </w:rPr>
        <w:t>governance</w:t>
      </w:r>
      <w:r w:rsidR="007018A1" w:rsidRPr="007018A1">
        <w:rPr>
          <w:lang w:val="en-NL"/>
        </w:rPr>
        <w:t xml:space="preserve"> does not imply legitimate conservation, pro-conservation intent, or institutional success. </w:t>
      </w:r>
      <w:r w:rsidR="009E61DE">
        <w:rPr>
          <w:lang w:val="en-NL"/>
        </w:rPr>
        <w:t>A situation of armed occupation and</w:t>
      </w:r>
      <w:r w:rsidR="007018A1" w:rsidRPr="007018A1">
        <w:rPr>
          <w:lang w:val="en-NL"/>
        </w:rPr>
        <w:t xml:space="preserve"> </w:t>
      </w:r>
      <w:r w:rsidR="000B539B">
        <w:rPr>
          <w:lang w:val="en-NL"/>
        </w:rPr>
        <w:t>p</w:t>
      </w:r>
      <w:r w:rsidR="007018A1" w:rsidRPr="007018A1">
        <w:rPr>
          <w:lang w:val="en-NL"/>
        </w:rPr>
        <w:t xml:space="preserve">ark </w:t>
      </w:r>
      <w:r w:rsidR="009E61DE">
        <w:rPr>
          <w:lang w:val="en-NL"/>
        </w:rPr>
        <w:t xml:space="preserve">authority </w:t>
      </w:r>
      <w:r w:rsidR="007018A1" w:rsidRPr="007018A1">
        <w:rPr>
          <w:lang w:val="en-NL"/>
        </w:rPr>
        <w:t xml:space="preserve">collapse may still structure who can enter, settle, clear, or cultivate </w:t>
      </w:r>
      <w:r w:rsidR="004B46CB">
        <w:rPr>
          <w:lang w:val="en-NL"/>
        </w:rPr>
        <w:t>in</w:t>
      </w:r>
      <w:r w:rsidR="007018A1" w:rsidRPr="007018A1">
        <w:rPr>
          <w:lang w:val="en-NL"/>
        </w:rPr>
        <w:t xml:space="preserve"> the landscape. Territorial control, conservation intent, and conservation legitimacy are analytically distinct. A remotely sensed reduction in disturbance can reflect restricted access, coercion, displacement, fear, or logistical barriers to land conversion. In conflict-affected protected areas, ecologically relevant outcomes may emerge from forms of territorial ordering that are not conservationist in purpose and are not socially legitimate in effect (de Merode et al., 2007; Marijnen and Verweijen, 2016; Duffy et al., 2019). Remote sensing can register </w:t>
      </w:r>
      <w:r w:rsidR="00AE25E5">
        <w:rPr>
          <w:lang w:val="en-NL"/>
        </w:rPr>
        <w:t>an</w:t>
      </w:r>
      <w:r w:rsidR="007018A1" w:rsidRPr="007018A1">
        <w:rPr>
          <w:lang w:val="en-NL"/>
        </w:rPr>
        <w:t xml:space="preserve"> outcome, but it cannot by itself tell us </w:t>
      </w:r>
      <w:r w:rsidR="0038615B">
        <w:rPr>
          <w:lang w:val="en-NL"/>
        </w:rPr>
        <w:t xml:space="preserve">about the legitimacy of </w:t>
      </w:r>
      <w:r w:rsidR="007018A1" w:rsidRPr="007018A1">
        <w:rPr>
          <w:lang w:val="en-NL"/>
        </w:rPr>
        <w:t>the underlying mechanism</w:t>
      </w:r>
      <w:r w:rsidR="00FE1299">
        <w:rPr>
          <w:lang w:val="en-NL"/>
        </w:rPr>
        <w:t>. Therefore, t</w:t>
      </w:r>
      <w:r w:rsidR="007018A1" w:rsidRPr="007018A1">
        <w:rPr>
          <w:lang w:val="en-NL"/>
        </w:rPr>
        <w:t xml:space="preserve">he methodological contribution of </w:t>
      </w:r>
      <w:r w:rsidR="00971C4D">
        <w:rPr>
          <w:lang w:val="en-NL"/>
        </w:rPr>
        <w:t xml:space="preserve">this paper </w:t>
      </w:r>
      <w:r w:rsidR="0052276A">
        <w:rPr>
          <w:lang w:val="en-NL"/>
        </w:rPr>
        <w:t>is that i</w:t>
      </w:r>
      <w:r w:rsidR="007018A1" w:rsidRPr="007018A1">
        <w:rPr>
          <w:lang w:val="en-NL"/>
        </w:rPr>
        <w:t>ndependently observable disturbance outcomes can reduce exclusive reliance on institutionally curated narratives</w:t>
      </w:r>
      <w:r w:rsidR="00B03801">
        <w:rPr>
          <w:lang w:val="en-NL"/>
        </w:rPr>
        <w:t xml:space="preserve"> of conservation outcome evaluation. </w:t>
      </w:r>
      <w:r w:rsidR="00CB0CFC">
        <w:rPr>
          <w:lang w:val="en-NL"/>
        </w:rPr>
        <w:t>Despite the turbulent recent history of Upemba</w:t>
      </w:r>
      <w:r w:rsidR="007018A1" w:rsidRPr="007018A1">
        <w:rPr>
          <w:lang w:val="en-NL"/>
        </w:rPr>
        <w:t>, that independence makes it possible to detect a consistent boundary signal for deforestation and</w:t>
      </w:r>
      <w:r w:rsidR="00FF2DAB">
        <w:rPr>
          <w:lang w:val="en-NL"/>
        </w:rPr>
        <w:t xml:space="preserve"> </w:t>
      </w:r>
      <w:r w:rsidR="007018A1" w:rsidRPr="007018A1">
        <w:rPr>
          <w:lang w:val="en-NL"/>
        </w:rPr>
        <w:t xml:space="preserve">agricultural expansion. </w:t>
      </w:r>
      <w:r w:rsidR="006E6154">
        <w:rPr>
          <w:lang w:val="en-NL"/>
        </w:rPr>
        <w:t>However, r</w:t>
      </w:r>
      <w:r w:rsidR="007018A1" w:rsidRPr="007018A1">
        <w:rPr>
          <w:lang w:val="en-NL"/>
        </w:rPr>
        <w:t>emote sensing does not directly measure governance quality, legitimacy, social acceptance</w:t>
      </w:r>
      <w:r w:rsidR="00505F22">
        <w:rPr>
          <w:lang w:val="en-NL"/>
        </w:rPr>
        <w:t xml:space="preserve">, or </w:t>
      </w:r>
      <w:r w:rsidR="007018A1" w:rsidRPr="007018A1">
        <w:rPr>
          <w:lang w:val="en-NL"/>
        </w:rPr>
        <w:t xml:space="preserve">the full range of impacts through which </w:t>
      </w:r>
      <w:r w:rsidR="00734DF8">
        <w:rPr>
          <w:lang w:val="en-NL"/>
        </w:rPr>
        <w:t>governance</w:t>
      </w:r>
      <w:r w:rsidR="007018A1" w:rsidRPr="007018A1">
        <w:rPr>
          <w:lang w:val="en-NL"/>
        </w:rPr>
        <w:t xml:space="preserve"> affects ecological outcomes. </w:t>
      </w:r>
      <w:r w:rsidR="00505F22">
        <w:rPr>
          <w:lang w:val="en-NL"/>
        </w:rPr>
        <w:t>We try to</w:t>
      </w:r>
      <w:r w:rsidR="007018A1" w:rsidRPr="007018A1">
        <w:rPr>
          <w:lang w:val="en-NL"/>
        </w:rPr>
        <w:t xml:space="preserve"> distinguish between reduced disturbance as an observed outcome, territorial control as a plausible mechanism</w:t>
      </w:r>
      <w:r w:rsidR="00505F22">
        <w:rPr>
          <w:lang w:val="en-NL"/>
        </w:rPr>
        <w:t xml:space="preserve"> explaining the outcome</w:t>
      </w:r>
      <w:r w:rsidR="007018A1" w:rsidRPr="007018A1">
        <w:rPr>
          <w:lang w:val="en-NL"/>
        </w:rPr>
        <w:t>, and legitimate conservation success as a judgment. Remote sensing strengthens accountability, but it does not resolve interpretation on its own.</w:t>
      </w:r>
    </w:p>
    <w:p w14:paraId="3DD770F1" w14:textId="0941700D" w:rsidR="00FF4A3F" w:rsidRPr="007018A1" w:rsidRDefault="007018A1" w:rsidP="00FF4A3F">
      <w:pPr>
        <w:rPr>
          <w:lang w:val="en-NL"/>
        </w:rPr>
      </w:pPr>
      <w:r w:rsidRPr="007018A1">
        <w:rPr>
          <w:lang w:val="en-NL"/>
        </w:rPr>
        <w:t xml:space="preserve">Several limitations follow. First, this is a single-case analysis, and the inferred relationships may not generalize beyond Upemba’s </w:t>
      </w:r>
      <w:r w:rsidR="000422B0">
        <w:rPr>
          <w:lang w:val="en-NL"/>
        </w:rPr>
        <w:t>context</w:t>
      </w:r>
      <w:r w:rsidRPr="007018A1">
        <w:rPr>
          <w:lang w:val="en-NL"/>
        </w:rPr>
        <w:t xml:space="preserve">. Second, the study is observational and does not </w:t>
      </w:r>
      <w:r w:rsidRPr="007018A1">
        <w:rPr>
          <w:lang w:val="en-NL"/>
        </w:rPr>
        <w:lastRenderedPageBreak/>
        <w:t xml:space="preserve">identify causal effects of </w:t>
      </w:r>
      <w:r w:rsidR="000B7DA7">
        <w:rPr>
          <w:lang w:val="en-NL"/>
        </w:rPr>
        <w:t>park or militia</w:t>
      </w:r>
      <w:r w:rsidRPr="007018A1">
        <w:rPr>
          <w:lang w:val="en-NL"/>
        </w:rPr>
        <w:t xml:space="preserve"> presence. Third, the </w:t>
      </w:r>
      <w:r w:rsidR="000B7DA7">
        <w:rPr>
          <w:lang w:val="en-NL"/>
        </w:rPr>
        <w:t xml:space="preserve">governance profile </w:t>
      </w:r>
      <w:r w:rsidRPr="007018A1">
        <w:rPr>
          <w:lang w:val="en-NL"/>
        </w:rPr>
        <w:t xml:space="preserve">reconstruction remains a historically informed simplification of more heterogeneous and spatially uneven processes. Fourth, the disturbance indicators differ in what they can plausibly register. </w:t>
      </w:r>
      <w:r w:rsidR="00912169">
        <w:rPr>
          <w:lang w:val="en-NL"/>
        </w:rPr>
        <w:t>The null</w:t>
      </w:r>
      <w:r w:rsidRPr="007018A1">
        <w:rPr>
          <w:lang w:val="en-NL"/>
        </w:rPr>
        <w:t xml:space="preserve"> result for fire does not</w:t>
      </w:r>
      <w:r w:rsidR="00912169">
        <w:rPr>
          <w:lang w:val="en-NL"/>
        </w:rPr>
        <w:t xml:space="preserve"> necessarily</w:t>
      </w:r>
      <w:r w:rsidRPr="007018A1">
        <w:rPr>
          <w:lang w:val="en-NL"/>
        </w:rPr>
        <w:t xml:space="preserve"> mean that</w:t>
      </w:r>
      <w:r w:rsidR="00912169">
        <w:rPr>
          <w:lang w:val="en-NL"/>
        </w:rPr>
        <w:t xml:space="preserve"> the</w:t>
      </w:r>
      <w:r w:rsidRPr="007018A1">
        <w:rPr>
          <w:lang w:val="en-NL"/>
        </w:rPr>
        <w:t xml:space="preserve"> governance</w:t>
      </w:r>
      <w:r w:rsidR="00912169">
        <w:rPr>
          <w:lang w:val="en-NL"/>
        </w:rPr>
        <w:t xml:space="preserve"> profile</w:t>
      </w:r>
      <w:r w:rsidRPr="007018A1">
        <w:rPr>
          <w:lang w:val="en-NL"/>
        </w:rPr>
        <w:t xml:space="preserve"> has no effect on hunting pressure. </w:t>
      </w:r>
      <w:r w:rsidR="00B3044A">
        <w:t>Despite these limitations, we have shown that r</w:t>
      </w:r>
      <w:r w:rsidR="0038667B" w:rsidRPr="0038667B">
        <w:t>emote sensing</w:t>
      </w:r>
      <w:r w:rsidR="0038667B">
        <w:t xml:space="preserve"> can</w:t>
      </w:r>
      <w:r w:rsidR="0038667B" w:rsidRPr="0038667B">
        <w:t xml:space="preserve"> reveal governance-linked territorial control signals </w:t>
      </w:r>
      <w:r w:rsidR="00B3044A">
        <w:t>in a setting where</w:t>
      </w:r>
      <w:r w:rsidR="00B3044A" w:rsidRPr="007018A1">
        <w:rPr>
          <w:lang w:val="en-NL"/>
        </w:rPr>
        <w:t xml:space="preserve"> conservation outcom</w:t>
      </w:r>
      <w:r w:rsidR="003601E7">
        <w:rPr>
          <w:lang w:val="en-NL"/>
        </w:rPr>
        <w:t>es are difficult to measure.</w:t>
      </w:r>
      <w:r w:rsidR="00FF4A3F">
        <w:br w:type="page"/>
      </w:r>
    </w:p>
    <w:p w14:paraId="1765A9CC" w14:textId="7C8816A6" w:rsidR="00E54963" w:rsidRDefault="00850D62" w:rsidP="00FF4A3F">
      <w:pPr>
        <w:pStyle w:val="Heading1"/>
      </w:pPr>
      <w:r>
        <w:lastRenderedPageBreak/>
        <w:t xml:space="preserve">5. </w:t>
      </w:r>
      <w:r w:rsidR="00E54963">
        <w:t>Bibliography</w:t>
      </w:r>
    </w:p>
    <w:p w14:paraId="5A840B8D" w14:textId="77777777" w:rsidR="00E54963" w:rsidRPr="00E54963" w:rsidRDefault="00E54963" w:rsidP="6F76731B">
      <w:r w:rsidRPr="6F76731B">
        <w:t xml:space="preserve">Abatzoglou, J.T., Dobrowski, S.Z., Parks, S.A., Hegewisch, K.C., 2018. TerraClimate, a high-resolution global dataset of monthly climate and climatic water balance from 1958-2015. Sci Data 5, 170191. </w:t>
      </w:r>
      <w:hyperlink r:id="rId17">
        <w:r w:rsidRPr="6F76731B">
          <w:rPr>
            <w:rStyle w:val="Hyperlink"/>
          </w:rPr>
          <w:t>https://doi.org/10.1038/sdata.2017.191</w:t>
        </w:r>
      </w:hyperlink>
    </w:p>
    <w:p w14:paraId="16BC09B9" w14:textId="77777777" w:rsidR="00E54963" w:rsidRDefault="00E54963" w:rsidP="00E54963">
      <w:r w:rsidRPr="00E54963">
        <w:t xml:space="preserve">Agresti, A., 2002. Categorical Data Analysis, 1st ed, Wiley Series in Probability and Statistics. Wiley. </w:t>
      </w:r>
      <w:hyperlink r:id="rId18" w:history="1">
        <w:r w:rsidRPr="00E54963">
          <w:rPr>
            <w:rStyle w:val="Hyperlink"/>
          </w:rPr>
          <w:t>https://doi.org/10.1002/0471249688</w:t>
        </w:r>
      </w:hyperlink>
    </w:p>
    <w:p w14:paraId="45FB6A5B" w14:textId="77777777" w:rsidR="00FE4185" w:rsidRPr="00FE4185" w:rsidRDefault="00FE4185" w:rsidP="00FE4185">
      <w:pPr>
        <w:rPr>
          <w:lang w:val="en-NL"/>
        </w:rPr>
      </w:pPr>
      <w:r w:rsidRPr="00FE4185">
        <w:rPr>
          <w:lang w:val="en-NL"/>
        </w:rPr>
        <w:t xml:space="preserve">Ahrends, A., Burgess, N.D., Milledge, S.A.H., Bulling, M.T., Fisher, B., Smart, J.C.R., Clarke, G.P., Mhoro, B.E., Lewis, S.L., 2010. Predictable waves of sequential forest degradation and biodiversity loss spreading from an African city. Proceedings of the National Academy of Sciences 107, 14556–14561. </w:t>
      </w:r>
      <w:hyperlink r:id="rId19" w:history="1">
        <w:r w:rsidRPr="00FE4185">
          <w:rPr>
            <w:rStyle w:val="Hyperlink"/>
            <w:lang w:val="en-NL"/>
          </w:rPr>
          <w:t>https://doi.org/10.1073/pnas.0914471107</w:t>
        </w:r>
      </w:hyperlink>
    </w:p>
    <w:p w14:paraId="46CDCE75" w14:textId="77777777" w:rsidR="00E54963" w:rsidRPr="00E54963" w:rsidRDefault="00E54963" w:rsidP="6F76731B">
      <w:r w:rsidRPr="6F76731B">
        <w:t xml:space="preserve">Amoako, E.E., Gambiza, J., 2022. Fire use practices, knowledge and perceptions in a West African savanna parkland. PLoS One 17, e0240271. </w:t>
      </w:r>
      <w:hyperlink r:id="rId20">
        <w:r w:rsidRPr="6F76731B">
          <w:rPr>
            <w:rStyle w:val="Hyperlink"/>
          </w:rPr>
          <w:t>https://doi.org/10.1371/journal.pone.0240271</w:t>
        </w:r>
      </w:hyperlink>
    </w:p>
    <w:p w14:paraId="60762695" w14:textId="4DBD54F7" w:rsidR="00E54963" w:rsidRDefault="00E54963" w:rsidP="00E54963">
      <w:r w:rsidRPr="00E54963">
        <w:t>Archibald, S., Nickless, A., Govender, N., Scholes, R.J., Lehsten, V., 2010. Climate and the inter-annual variability of fire in southern Africa: a meta-analysis using long-term field data and satellite-derived burnt area data. Global Ecology and Biogeography 19, 794</w:t>
      </w:r>
      <w:r w:rsidR="00507DA5">
        <w:t>-</w:t>
      </w:r>
      <w:r w:rsidRPr="00E54963">
        <w:t xml:space="preserve">809. </w:t>
      </w:r>
      <w:hyperlink r:id="rId21" w:history="1">
        <w:r w:rsidRPr="00E54963">
          <w:rPr>
            <w:rStyle w:val="Hyperlink"/>
          </w:rPr>
          <w:t>https://doi.org/10.1111/j.1466-8238.2010.00568.x</w:t>
        </w:r>
      </w:hyperlink>
    </w:p>
    <w:p w14:paraId="5258E597" w14:textId="68F4DF07" w:rsidR="00646E96" w:rsidRDefault="00646E96" w:rsidP="6F76731B">
      <w:r w:rsidRPr="6F76731B">
        <w:t xml:space="preserve">Bialowolski, P., Rakotobe, D., Marelli, A., Roggeri, P., Paolini, C., 2023. Use of the IMET tool in the evaluation of protected area management effectiveness in Central Africa. Journal of Environmental Management 326, 116680. </w:t>
      </w:r>
      <w:hyperlink r:id="rId22">
        <w:r w:rsidRPr="6F76731B">
          <w:rPr>
            <w:rStyle w:val="Hyperlink"/>
          </w:rPr>
          <w:t>https://doi.org/10.1016/j.jenvman.2022.116680</w:t>
        </w:r>
      </w:hyperlink>
    </w:p>
    <w:p w14:paraId="13A87C9C" w14:textId="61625C92" w:rsidR="00EC139C" w:rsidRPr="00E54963" w:rsidRDefault="00EC139C" w:rsidP="00E54963">
      <w:r w:rsidRPr="00EC139C">
        <w:t>Blankespoor, B., Dasgupta, S., Wheeler, D., 2017. Protected areas and deforestation: new results from high-resolution panel data. Natural Resources Forum 41, 55</w:t>
      </w:r>
      <w:r w:rsidR="00507DA5">
        <w:t>-</w:t>
      </w:r>
      <w:r w:rsidRPr="00EC139C">
        <w:t xml:space="preserve">68. </w:t>
      </w:r>
      <w:hyperlink r:id="rId23" w:history="1">
        <w:r w:rsidRPr="00EC139C">
          <w:rPr>
            <w:rStyle w:val="Hyperlink"/>
          </w:rPr>
          <w:t>https://doi.org/10.1111/1477-8947.12118</w:t>
        </w:r>
      </w:hyperlink>
    </w:p>
    <w:p w14:paraId="459C5417" w14:textId="45EDCFBA" w:rsidR="00E54963" w:rsidRPr="00E54963" w:rsidRDefault="00E54963" w:rsidP="6F76731B">
      <w:r w:rsidRPr="6F76731B">
        <w:t>Brooks, M.E., Kristensen, K., Benthem, K.J. van, Magnusson, A., Berg, C.W., Nielsen, A., Skaug, H.J., Mächler, M., Bolker, B.M., 2017. glmmTMB Balances Speed and Flexibility Among Packages for Zero-inflated Generalized Linear Mixed Modeling. The R Journal 9, 378</w:t>
      </w:r>
      <w:r w:rsidR="00507DA5" w:rsidRPr="6F76731B">
        <w:t>-</w:t>
      </w:r>
      <w:r w:rsidRPr="6F76731B">
        <w:t xml:space="preserve">400. </w:t>
      </w:r>
      <w:hyperlink r:id="rId24">
        <w:r w:rsidRPr="6F76731B">
          <w:rPr>
            <w:rStyle w:val="Hyperlink"/>
          </w:rPr>
          <w:t>https://doi.org/10.32614/RJ-2017-066</w:t>
        </w:r>
      </w:hyperlink>
    </w:p>
    <w:p w14:paraId="1952CDA6" w14:textId="7035BAD0" w:rsidR="00E54963" w:rsidRDefault="00E54963" w:rsidP="00E54963">
      <w:r w:rsidRPr="00E54963">
        <w:t>Brown, L.D., Cai, T.T., DasGupta, A., 2001. Interval Estimation for a Binomial Proportion. Statistical Science 16, 101</w:t>
      </w:r>
      <w:r w:rsidR="00507DA5">
        <w:t>-</w:t>
      </w:r>
      <w:r w:rsidRPr="00E54963">
        <w:t xml:space="preserve">133. </w:t>
      </w:r>
      <w:hyperlink r:id="rId25" w:history="1">
        <w:r w:rsidRPr="00E54963">
          <w:rPr>
            <w:rStyle w:val="Hyperlink"/>
          </w:rPr>
          <w:t>https://doi.org/10.1214/ss/1009213286</w:t>
        </w:r>
      </w:hyperlink>
    </w:p>
    <w:p w14:paraId="486BF767" w14:textId="032901EE" w:rsidR="005E02FB" w:rsidRPr="00E54963" w:rsidRDefault="005E02FB" w:rsidP="6F76731B">
      <w:r w:rsidRPr="6F76731B">
        <w:t>Brugière, D., 2020. Public-private partnership for protected areas: current situation and prospects in French-speaking Africa. IUCN-papaco.</w:t>
      </w:r>
    </w:p>
    <w:p w14:paraId="18A8243C" w14:textId="77777777" w:rsidR="00E54963" w:rsidRPr="00E54963" w:rsidRDefault="00E54963" w:rsidP="6F76731B">
      <w:r w:rsidRPr="6F76731B">
        <w:lastRenderedPageBreak/>
        <w:t xml:space="preserve">Chuvieco, E., Pettinari, M.L., Lizundia-Loiola, J., Storm, T., Padilla Parellada, M., 2018. ESA Fire Climate Change Initiative (Fire_cci): MODIS Fire_cci Burned Area Pixel product, version 5.1. </w:t>
      </w:r>
      <w:hyperlink r:id="rId26">
        <w:r w:rsidRPr="6F76731B">
          <w:rPr>
            <w:rStyle w:val="Hyperlink"/>
          </w:rPr>
          <w:t>https://doi.org/10.5285/58f00d8814064b79a0c49662ad3af537</w:t>
        </w:r>
      </w:hyperlink>
    </w:p>
    <w:p w14:paraId="0582DDDA" w14:textId="77777777" w:rsidR="00E54963" w:rsidRPr="00E54963" w:rsidRDefault="00E54963" w:rsidP="6F76731B">
      <w:r w:rsidRPr="6F76731B">
        <w:t xml:space="preserve">Coad, L., Leverington, F., Knights, K., Geldmann, J., Eassom, A., Kapos, V., Kingston, N., de Lima, M., Zamora, C., Cuardros, I., Nolte, C., Burgess, N.D., Hockings, M., 2015. Measuring impact of protected area management interventions: current and future use of the Global Database of Protected Area Management Effectiveness. Philosophical Transactions of the Royal Society B: Biological Sciences 370, 20140281. </w:t>
      </w:r>
      <w:hyperlink r:id="rId27">
        <w:r w:rsidRPr="6F76731B">
          <w:rPr>
            <w:rStyle w:val="Hyperlink"/>
          </w:rPr>
          <w:t>https://doi.org/10.1098/rstb.2014.0281</w:t>
        </w:r>
      </w:hyperlink>
    </w:p>
    <w:p w14:paraId="1EE5B820" w14:textId="04A13D58" w:rsidR="00E54963" w:rsidRPr="00E54963" w:rsidRDefault="00E54963" w:rsidP="00E54963">
      <w:r w:rsidRPr="005D2222">
        <w:rPr>
          <w:lang w:val="nl-NL"/>
        </w:rPr>
        <w:t xml:space="preserve">Cumming, G.S., Allen, C.R., 2017. </w:t>
      </w:r>
      <w:r w:rsidRPr="00E54963">
        <w:t>Protected areas as social-ecological systems: perspectives from resilience and social-ecological systems theory. Ecological Applications 27, 1709</w:t>
      </w:r>
      <w:r w:rsidR="00507DA5">
        <w:t>-</w:t>
      </w:r>
      <w:r w:rsidRPr="00E54963">
        <w:t xml:space="preserve">1717. </w:t>
      </w:r>
      <w:hyperlink r:id="rId28" w:history="1">
        <w:r w:rsidRPr="00E54963">
          <w:rPr>
            <w:rStyle w:val="Hyperlink"/>
          </w:rPr>
          <w:t>https://doi.org/10.1002/eap.1584</w:t>
        </w:r>
      </w:hyperlink>
    </w:p>
    <w:p w14:paraId="6DD55EBE" w14:textId="7C4C1266" w:rsidR="00E54963" w:rsidRPr="00E54963" w:rsidRDefault="00E54963" w:rsidP="00E54963">
      <w:pPr>
        <w:rPr>
          <w:lang w:val="fr-FR"/>
        </w:rPr>
      </w:pPr>
      <w:r w:rsidRPr="00E54963">
        <w:t xml:space="preserve">de Merode, E., Smith, K.H., Homewood, K., Pettifor, R., Rowcliffe, M., Cowlishaw, G., 2007. The impact of armed conflict on protected-area efficacy in Central Africa. </w:t>
      </w:r>
      <w:r w:rsidRPr="00E54963">
        <w:rPr>
          <w:lang w:val="fr-FR"/>
        </w:rPr>
        <w:t>Biol Lett 3, 299</w:t>
      </w:r>
      <w:r w:rsidR="00507DA5">
        <w:rPr>
          <w:lang w:val="fr-FR"/>
        </w:rPr>
        <w:t>-</w:t>
      </w:r>
      <w:r w:rsidRPr="00E54963">
        <w:rPr>
          <w:lang w:val="fr-FR"/>
        </w:rPr>
        <w:t xml:space="preserve">301. </w:t>
      </w:r>
      <w:hyperlink r:id="rId29" w:history="1">
        <w:r w:rsidRPr="00E54963">
          <w:rPr>
            <w:rStyle w:val="Hyperlink"/>
            <w:lang w:val="fr-FR"/>
          </w:rPr>
          <w:t>https://doi.org/10.1098/rsbl.2007.0010</w:t>
        </w:r>
      </w:hyperlink>
    </w:p>
    <w:p w14:paraId="2DA084ED" w14:textId="3784DA5B" w:rsidR="00E54963" w:rsidRDefault="00E54963" w:rsidP="00E54963">
      <w:pPr>
        <w:rPr>
          <w:lang w:val="fr-FR"/>
        </w:rPr>
      </w:pPr>
      <w:r w:rsidRPr="00E54963">
        <w:rPr>
          <w:lang w:val="fr-FR"/>
        </w:rPr>
        <w:t>Delvaux, H., 1950. L’occupation du Katanga 1891-1900; notes et souvenirs du seul survivant. Imbelco, Elisabethville.</w:t>
      </w:r>
    </w:p>
    <w:p w14:paraId="6B3B6AE6" w14:textId="56F7F422" w:rsidR="00A76410" w:rsidRPr="00A76410" w:rsidRDefault="00A76410" w:rsidP="00E54963">
      <w:r w:rsidRPr="00A76410">
        <w:rPr>
          <w:lang w:val="fr-FR"/>
        </w:rPr>
        <w:t xml:space="preserve">Duffy, R., Massé, F., Smidt, E., Marijnen, E., Büscher, B., Verweijen, J., Ramutsindela, M., Simlai, T., Joanny, L., Lunstrum, E., 2019. </w:t>
      </w:r>
      <w:r w:rsidRPr="00A76410">
        <w:t>Why we must question the militarisation of conservation. Biological Conservation 232, 66</w:t>
      </w:r>
      <w:r w:rsidR="00507DA5">
        <w:t>-</w:t>
      </w:r>
      <w:r w:rsidRPr="00A76410">
        <w:t xml:space="preserve">73. </w:t>
      </w:r>
      <w:hyperlink r:id="rId30" w:history="1">
        <w:r w:rsidRPr="00A76410">
          <w:rPr>
            <w:rStyle w:val="Hyperlink"/>
          </w:rPr>
          <w:t>https://doi.org/10.1016/j.biocon.2019.01.013</w:t>
        </w:r>
      </w:hyperlink>
    </w:p>
    <w:p w14:paraId="02185324" w14:textId="77777777" w:rsidR="00E54963" w:rsidRPr="00A01BD7" w:rsidRDefault="00E54963" w:rsidP="00E54963">
      <w:r w:rsidRPr="00B20D64">
        <w:t xml:space="preserve">European Space Agency (ESA), 2023. Copernicus Digital Elevation Model. </w:t>
      </w:r>
      <w:hyperlink r:id="rId31" w:history="1">
        <w:r w:rsidRPr="00A01BD7">
          <w:rPr>
            <w:rStyle w:val="Hyperlink"/>
          </w:rPr>
          <w:t>https://doi.org/10.5270/ESA-c5d3d65</w:t>
        </w:r>
      </w:hyperlink>
    </w:p>
    <w:p w14:paraId="25E1B091" w14:textId="77777777" w:rsidR="00E54963" w:rsidRPr="00E54963" w:rsidRDefault="00E54963" w:rsidP="00E54963">
      <w:r w:rsidRPr="002B2302">
        <w:rPr>
          <w:lang w:val="de-DE"/>
        </w:rPr>
        <w:t xml:space="preserve">Feurer, M., Markovic, J., Starke, M., Wilkes-Allemann, J., Wolf, O., 2025. </w:t>
      </w:r>
      <w:r w:rsidRPr="00E54963">
        <w:t xml:space="preserve">Drivers of deforestation and forest degradation between 1990 and 2023 - A global meta-analysis. Environmental Science &amp; Policy 173, 104242. </w:t>
      </w:r>
      <w:hyperlink r:id="rId32" w:history="1">
        <w:r w:rsidRPr="00E54963">
          <w:rPr>
            <w:rStyle w:val="Hyperlink"/>
          </w:rPr>
          <w:t>https://doi.org/10.1016/j.envsci.2025.104242</w:t>
        </w:r>
      </w:hyperlink>
    </w:p>
    <w:p w14:paraId="5E3F6F89" w14:textId="77777777" w:rsidR="00E54963" w:rsidRPr="0033141C" w:rsidRDefault="00E54963" w:rsidP="00E54963">
      <w:pPr>
        <w:rPr>
          <w:lang w:val="fr-FR"/>
        </w:rPr>
      </w:pPr>
      <w:r w:rsidRPr="00E54963">
        <w:t xml:space="preserve">Funk, C., Peterson, P., Landsfeld, M., Pedreros, D., Verdin, J., Shukla, S., Husak, G., Rowland, J., Harrison, L., Hoell, A., Michaelsen, J., 2015. The climate hazards infrared precipitation with stations--a new environmental record for monitoring extremes. </w:t>
      </w:r>
      <w:r w:rsidRPr="0033141C">
        <w:rPr>
          <w:lang w:val="fr-FR"/>
        </w:rPr>
        <w:t xml:space="preserve">Sci Data 2, 150066. </w:t>
      </w:r>
      <w:hyperlink r:id="rId33" w:history="1">
        <w:r w:rsidRPr="0033141C">
          <w:rPr>
            <w:rStyle w:val="Hyperlink"/>
            <w:lang w:val="fr-FR"/>
          </w:rPr>
          <w:t>https://doi.org/10.1038/sdata.2015.66</w:t>
        </w:r>
      </w:hyperlink>
    </w:p>
    <w:p w14:paraId="78DCFF3A" w14:textId="1B209475" w:rsidR="0097567C" w:rsidRPr="00E54963" w:rsidRDefault="0097567C" w:rsidP="00E54963">
      <w:r w:rsidRPr="0097567C">
        <w:rPr>
          <w:lang w:val="fr-FR"/>
        </w:rPr>
        <w:t xml:space="preserve">Fromont, C., Carrière, S.M., Bédécarrats, F., Razafindrakoto, M., Roubaud, F., 2024. </w:t>
      </w:r>
      <w:r w:rsidRPr="0097567C">
        <w:t xml:space="preserve">Long-term socio-environmental monitoring of protected areas is a persistent weak point in developing countries: Literature review and recommendations. Biological Conservation 290, 110434. </w:t>
      </w:r>
      <w:hyperlink r:id="rId34" w:history="1">
        <w:r w:rsidRPr="0097567C">
          <w:rPr>
            <w:rStyle w:val="Hyperlink"/>
          </w:rPr>
          <w:t>https://doi.org/10.1016/j.biocon.2023.110434</w:t>
        </w:r>
      </w:hyperlink>
    </w:p>
    <w:p w14:paraId="42A6B1D6" w14:textId="15473E1E" w:rsidR="00E54963" w:rsidRPr="002B2302" w:rsidRDefault="00E54963" w:rsidP="00E54963">
      <w:pPr>
        <w:rPr>
          <w:lang w:val="de-DE"/>
        </w:rPr>
      </w:pPr>
      <w:r w:rsidRPr="6F76731B">
        <w:lastRenderedPageBreak/>
        <w:t>Galliers, C., Cole, R., Singh, R., Ohlfs, J., Aisha, H., Koutoua, A.B., Roodt, C., Alvarez Malvido, M., 2022. Conservation casualties: an analysis of on-duty ranger fatalities (2006</w:t>
      </w:r>
      <w:r w:rsidR="00507DA5" w:rsidRPr="6F76731B">
        <w:t>-</w:t>
      </w:r>
      <w:r w:rsidRPr="6F76731B">
        <w:t>2021). Parks 39</w:t>
      </w:r>
      <w:r w:rsidR="00507DA5" w:rsidRPr="6F76731B">
        <w:t>-</w:t>
      </w:r>
      <w:r w:rsidRPr="6F76731B">
        <w:t xml:space="preserve">50. </w:t>
      </w:r>
      <w:hyperlink r:id="rId35">
        <w:r w:rsidRPr="002B2302">
          <w:rPr>
            <w:rStyle w:val="Hyperlink"/>
            <w:lang w:val="de-DE"/>
          </w:rPr>
          <w:t>https://doi.org/10.2305/IUCN.CH.2022.PARKS-28-1CG.en</w:t>
        </w:r>
      </w:hyperlink>
    </w:p>
    <w:p w14:paraId="74B33EE7" w14:textId="1EDB4A80" w:rsidR="003C3ACE" w:rsidRPr="002B2302" w:rsidRDefault="003C3ACE" w:rsidP="6F76731B">
      <w:pPr>
        <w:rPr>
          <w:lang w:val="de-DE"/>
        </w:rPr>
      </w:pPr>
      <w:r w:rsidRPr="002B2302">
        <w:rPr>
          <w:lang w:val="de-DE"/>
        </w:rPr>
        <w:t xml:space="preserve">Gohr, C., Von Wehrden, H., May, F., Ibisch, P.L., 2022. </w:t>
      </w:r>
      <w:r w:rsidRPr="6F76731B">
        <w:t xml:space="preserve">Remotely sensed effectiveness assessments of protected areas lack a common framework: A review. </w:t>
      </w:r>
      <w:r w:rsidRPr="002B2302">
        <w:rPr>
          <w:lang w:val="de-DE"/>
        </w:rPr>
        <w:t xml:space="preserve">Ecosphere 13, e4053. </w:t>
      </w:r>
      <w:hyperlink r:id="rId36">
        <w:r w:rsidRPr="002B2302">
          <w:rPr>
            <w:rStyle w:val="Hyperlink"/>
            <w:lang w:val="de-DE"/>
          </w:rPr>
          <w:t>https://doi.org/10.1002/ecs2.4053</w:t>
        </w:r>
      </w:hyperlink>
    </w:p>
    <w:p w14:paraId="10013B22" w14:textId="77777777" w:rsidR="00E54963" w:rsidRPr="00E54963" w:rsidRDefault="00E54963" w:rsidP="6F76731B">
      <w:r w:rsidRPr="002B2302">
        <w:rPr>
          <w:lang w:val="de-DE"/>
        </w:rPr>
        <w:t xml:space="preserve">Gorelick, N., Hancher, M., Dixon, M., Ilyushchenko, S., Thau, D., Moore, R., 2017. </w:t>
      </w:r>
      <w:r w:rsidRPr="6F76731B">
        <w:t xml:space="preserve">Google Earth Engine: Planetary-scale geospatial analysis for everyone [WWW Document]. URL </w:t>
      </w:r>
      <w:hyperlink r:id="rId37">
        <w:r w:rsidRPr="6F76731B">
          <w:rPr>
            <w:rStyle w:val="Hyperlink"/>
          </w:rPr>
          <w:t>https://earthengine.google.com/</w:t>
        </w:r>
      </w:hyperlink>
    </w:p>
    <w:p w14:paraId="1A463968" w14:textId="77777777" w:rsidR="00E54963" w:rsidRPr="00E54963" w:rsidRDefault="00E54963" w:rsidP="6F76731B">
      <w:r w:rsidRPr="6F76731B">
        <w:t>Gunderson, L.H., Holling, C.S. (Eds.), 2002. Panarchy: Understanding Transformations in Human and Natural Systems. Island Press, Washington, DC.</w:t>
      </w:r>
    </w:p>
    <w:p w14:paraId="13150B26" w14:textId="0F845524" w:rsidR="00E54963" w:rsidRPr="00B20D64" w:rsidRDefault="00E54963" w:rsidP="00E54963">
      <w:pPr>
        <w:rPr>
          <w:lang w:val="fr-FR"/>
        </w:rPr>
      </w:pPr>
      <w:r w:rsidRPr="00E54963">
        <w:t xml:space="preserve">Hansen, M.C., Potapov, P.V., Moore, R., Hancher, M., Turubanova, S.A., Tyukavina, A., Thau, D., Stehman, S.V., Goetz, S.J., Loveland, T.R., Kommareddy, A., Egorov, A., Chini, L., Justice, C.O., Townshend, J.R.G., 2013. High-Resolution Global Maps of 21st-Century Forest Cover Change. </w:t>
      </w:r>
      <w:r w:rsidRPr="00B20D64">
        <w:rPr>
          <w:lang w:val="fr-FR"/>
        </w:rPr>
        <w:t>Science 342, 850</w:t>
      </w:r>
      <w:r w:rsidR="00507DA5">
        <w:rPr>
          <w:lang w:val="fr-FR"/>
        </w:rPr>
        <w:t>-</w:t>
      </w:r>
      <w:r w:rsidRPr="00B20D64">
        <w:rPr>
          <w:lang w:val="fr-FR"/>
        </w:rPr>
        <w:t xml:space="preserve">853. </w:t>
      </w:r>
      <w:hyperlink r:id="rId38" w:history="1">
        <w:r w:rsidRPr="00B20D64">
          <w:rPr>
            <w:rStyle w:val="Hyperlink"/>
            <w:lang w:val="fr-FR"/>
          </w:rPr>
          <w:t>https://doi.org/10.1126/science.1244693</w:t>
        </w:r>
      </w:hyperlink>
    </w:p>
    <w:p w14:paraId="41D1849F" w14:textId="1CB1E1F9" w:rsidR="00595CA1" w:rsidRPr="00B20D64" w:rsidRDefault="00595CA1" w:rsidP="00E54963">
      <w:pPr>
        <w:rPr>
          <w:lang w:val="fr-FR"/>
        </w:rPr>
      </w:pPr>
      <w:r w:rsidRPr="00595CA1">
        <w:rPr>
          <w:lang w:val="fr-FR"/>
        </w:rPr>
        <w:t xml:space="preserve">Hasson, M., 2015. Katanga: Des animaux et des hommes, 1er édition. ed. </w:t>
      </w:r>
      <w:r w:rsidRPr="00B20D64">
        <w:rPr>
          <w:lang w:val="fr-FR"/>
        </w:rPr>
        <w:t>Musée royal de l’Afrique centrale, Tervuren, Belgium.</w:t>
      </w:r>
    </w:p>
    <w:p w14:paraId="29596568" w14:textId="77777777" w:rsidR="00E54963" w:rsidRPr="00B20D64" w:rsidRDefault="00E54963" w:rsidP="00E54963">
      <w:pPr>
        <w:rPr>
          <w:lang w:val="fr-FR"/>
        </w:rPr>
      </w:pPr>
      <w:r w:rsidRPr="00B20D64">
        <w:rPr>
          <w:lang w:val="fr-FR"/>
        </w:rPr>
        <w:t>Hijmans, R., Brown, A., Barbosa, M., 2026. terra: Spatial Data Analysis.</w:t>
      </w:r>
    </w:p>
    <w:p w14:paraId="65940DE3" w14:textId="74D7AE3F" w:rsidR="00E54963" w:rsidRPr="00E54963" w:rsidRDefault="00E54963" w:rsidP="6F76731B">
      <w:r w:rsidRPr="00C71E82">
        <w:t>Hocking</w:t>
      </w:r>
      <w:r w:rsidR="000D01DF" w:rsidRPr="00C71E82">
        <w:t>s</w:t>
      </w:r>
      <w:r w:rsidRPr="00C71E82">
        <w:t xml:space="preserve">, M., Stolton, S., Dudley, N., 2000. </w:t>
      </w:r>
      <w:r w:rsidRPr="6F76731B">
        <w:t>Evaluating Effectiveness: A Framework for Assessing the Management of Protected Areas. IUCN, Gland, Switzerland and Cambridge, UK.</w:t>
      </w:r>
    </w:p>
    <w:p w14:paraId="7BE5A5C3" w14:textId="77777777" w:rsidR="00E54963" w:rsidRPr="00E54963" w:rsidRDefault="00E54963" w:rsidP="00E54963">
      <w:r w:rsidRPr="22223E43">
        <w:t xml:space="preserve">Hogue, A.S., Breon, K., 2022. The greatest threats to species. Conservation Science and Practice 4, e12670. </w:t>
      </w:r>
      <w:hyperlink r:id="rId39">
        <w:r w:rsidRPr="22223E43">
          <w:rPr>
            <w:rStyle w:val="Hyperlink"/>
          </w:rPr>
          <w:t>https://doi.org/10.1111/csp2.12670</w:t>
        </w:r>
      </w:hyperlink>
    </w:p>
    <w:p w14:paraId="3B87D89F" w14:textId="180FDC4B" w:rsidR="22223E43" w:rsidRDefault="5DEE6AAE" w:rsidP="00CB7941">
      <w:pPr>
        <w:spacing w:after="0"/>
      </w:pPr>
      <w:r w:rsidRPr="22223E43">
        <w:rPr>
          <w:rFonts w:cs="Times New Roman"/>
          <w:szCs w:val="24"/>
        </w:rPr>
        <w:t xml:space="preserve">Kelly, L.T., Giljohann, K.M., Duane, A., Aquilué, N., Archibald, S., Batllori, E., Bennett, A.F., Buckland, S.T., Canelles, Q., Clarke, M.F., Fortin, M.-J., Hermoso, V., Herrando, S., Keane, R.E., Lake, F.K., McCarthy, M.A., Morán-Ordóñez, A., Parr, C.L., Pausas, J.G., Penman, T.D., Regos, A., Rumpff, L., Santos, J.L., Smith, A.L., Syphard, A.D., Tingley, M.W., Brotons, L., 2020. Fire and biodiversity in the Anthropocene. Science 370, eabb0355. </w:t>
      </w:r>
      <w:hyperlink r:id="rId40">
        <w:r w:rsidRPr="22223E43">
          <w:rPr>
            <w:rStyle w:val="Hyperlink"/>
            <w:rFonts w:cs="Times New Roman"/>
            <w:szCs w:val="24"/>
          </w:rPr>
          <w:t>https://doi.org/10.1126/science.abb0355</w:t>
        </w:r>
      </w:hyperlink>
    </w:p>
    <w:p w14:paraId="42C4240E" w14:textId="77777777" w:rsidR="00CB7941" w:rsidRPr="00CB7941" w:rsidRDefault="00CB7941" w:rsidP="00CB7941">
      <w:pPr>
        <w:spacing w:after="0"/>
      </w:pPr>
    </w:p>
    <w:p w14:paraId="2A14C417" w14:textId="77777777" w:rsidR="00E54963" w:rsidRPr="00E54963" w:rsidRDefault="00E54963" w:rsidP="6F76731B">
      <w:r w:rsidRPr="002B2302">
        <w:rPr>
          <w:lang w:val="de-DE"/>
        </w:rPr>
        <w:t xml:space="preserve">Kerner, H., Nakalembe, C., Yang, A., Zvonkov, I., McWeeny, R., Tseng, G., Becker-Reshef, I., 2024. </w:t>
      </w:r>
      <w:r w:rsidRPr="6F76731B">
        <w:t xml:space="preserve">How accurate are existing land cover maps for agriculture in Sub-Saharan Africa? Sci Data 11, 486. </w:t>
      </w:r>
      <w:hyperlink r:id="rId41">
        <w:r w:rsidRPr="6F76731B">
          <w:rPr>
            <w:rStyle w:val="Hyperlink"/>
          </w:rPr>
          <w:t>https://doi.org/10.1038/s41597-024-03306-z</w:t>
        </w:r>
      </w:hyperlink>
    </w:p>
    <w:p w14:paraId="79B37720" w14:textId="700E8A2C" w:rsidR="00E54963" w:rsidRPr="00E54963" w:rsidRDefault="00E54963" w:rsidP="00E54963">
      <w:r w:rsidRPr="00E54963">
        <w:lastRenderedPageBreak/>
        <w:t>Leverington, F., Costa, K.L., Pavese, H., Lisle, A., Hockings, M., 2010. A Global Analysis of Protected Area Management Effectiveness. Environmental Management 46, 685</w:t>
      </w:r>
      <w:r w:rsidR="00507DA5">
        <w:t>-</w:t>
      </w:r>
      <w:r w:rsidRPr="00E54963">
        <w:t xml:space="preserve">698. </w:t>
      </w:r>
      <w:hyperlink r:id="rId42" w:history="1">
        <w:r w:rsidRPr="00E54963">
          <w:rPr>
            <w:rStyle w:val="Hyperlink"/>
          </w:rPr>
          <w:t>https://doi.org/10.1007/s00267-010-9564-5</w:t>
        </w:r>
      </w:hyperlink>
    </w:p>
    <w:p w14:paraId="74EDFF7B" w14:textId="77777777" w:rsidR="00E54963" w:rsidRPr="00E54963" w:rsidRDefault="00E54963" w:rsidP="6F76731B">
      <w:r w:rsidRPr="6F76731B">
        <w:t>Leverington, F., Hockings, M., Pavese, H., Costa, K.L., Courrau, J., 2008. Overview of approaches and methodologies.</w:t>
      </w:r>
    </w:p>
    <w:p w14:paraId="696F116F" w14:textId="77777777" w:rsidR="00E54963" w:rsidRDefault="00E54963" w:rsidP="00E54963">
      <w:r w:rsidRPr="6F76731B">
        <w:t xml:space="preserve">Lou, Z., Peng, D., Shi, Z., Wang, H., Liu, K., Zhang, Yaqiong, Yan, X., Chen, Z., Ye, S., Yu, L., Hu, J., Lv, Y., Peng, H., Zhang, Yizhou, Zhang, B., 2025. AFCD: An Annual Cropland Extent Dataset for Africa at 30m Spatial Resolution from 2000 to 2022. </w:t>
      </w:r>
      <w:hyperlink r:id="rId43">
        <w:r w:rsidRPr="6F76731B">
          <w:rPr>
            <w:rStyle w:val="Hyperlink"/>
          </w:rPr>
          <w:t>https://doi.org/10.5281/zenodo.14920706</w:t>
        </w:r>
      </w:hyperlink>
    </w:p>
    <w:p w14:paraId="27D9D7F7" w14:textId="072873F3" w:rsidR="00361952" w:rsidRPr="00361952" w:rsidRDefault="00361952" w:rsidP="6F76731B">
      <w:r w:rsidRPr="6F76731B">
        <w:t>Marijnen, E., Verweijen, J., 2016. Selling green militarization: The discursive (re)production of militarized conservation in the Virunga National Park, Democratic Republic of the Congo. Geoforum 75, 274</w:t>
      </w:r>
      <w:r w:rsidR="00507DA5" w:rsidRPr="6F76731B">
        <w:t>-</w:t>
      </w:r>
      <w:r w:rsidRPr="6F76731B">
        <w:t xml:space="preserve">285. </w:t>
      </w:r>
      <w:hyperlink r:id="rId44">
        <w:r w:rsidRPr="6F76731B">
          <w:rPr>
            <w:rStyle w:val="Hyperlink"/>
          </w:rPr>
          <w:t>https://doi.org/10.1016/j.geoforum.2016.08.003</w:t>
        </w:r>
      </w:hyperlink>
    </w:p>
    <w:p w14:paraId="104DC9D6" w14:textId="0F1B103D" w:rsidR="00361952" w:rsidRPr="00E54963" w:rsidRDefault="00361952" w:rsidP="6F76731B">
      <w:r w:rsidRPr="6F76731B">
        <w:t>McNicol, I.M., Keane, A., Burgess, N.D., Bowers, S.J., Mitchard, E.T.A., Ryan, C.M., 2023. Protected areas reduce deforestation and degradation and enhance woody growth across African woodlands. Commun Earth Environ 4, 1</w:t>
      </w:r>
      <w:r w:rsidR="00507DA5" w:rsidRPr="6F76731B">
        <w:t>-</w:t>
      </w:r>
      <w:r w:rsidRPr="6F76731B">
        <w:t xml:space="preserve">14. </w:t>
      </w:r>
      <w:hyperlink r:id="rId45">
        <w:r w:rsidRPr="6F76731B">
          <w:rPr>
            <w:rStyle w:val="Hyperlink"/>
          </w:rPr>
          <w:t>https://doi.org/10.1038/s43247-023-01053-4</w:t>
        </w:r>
      </w:hyperlink>
    </w:p>
    <w:p w14:paraId="4FF793A1" w14:textId="77777777" w:rsidR="00E54963" w:rsidRPr="00E54963" w:rsidRDefault="00E54963" w:rsidP="6F76731B">
      <w:r w:rsidRPr="6F76731B">
        <w:t xml:space="preserve">Megevand, C., 2013. Deforestation Trends in the Congo Basin. Washington, DC:  World Bank. </w:t>
      </w:r>
      <w:hyperlink r:id="rId46">
        <w:r w:rsidRPr="6F76731B">
          <w:rPr>
            <w:rStyle w:val="Hyperlink"/>
          </w:rPr>
          <w:t>https://doi.org/10.1596/978-0-8213-9742-8</w:t>
        </w:r>
      </w:hyperlink>
    </w:p>
    <w:p w14:paraId="67E775B5" w14:textId="7A3DC2A7" w:rsidR="00E54963" w:rsidRPr="00E54963" w:rsidRDefault="00D83DB3" w:rsidP="00E54963">
      <w:r w:rsidRPr="00E54963">
        <w:rPr>
          <w:lang w:val="fr-FR"/>
        </w:rPr>
        <w:t xml:space="preserve">MPSMRM </w:t>
      </w:r>
      <w:r w:rsidR="00E54963" w:rsidRPr="00E54963">
        <w:rPr>
          <w:lang w:val="fr-FR"/>
        </w:rPr>
        <w:t>(</w:t>
      </w:r>
      <w:r w:rsidRPr="00E54963">
        <w:rPr>
          <w:lang w:val="fr-FR"/>
        </w:rPr>
        <w:t>Ministère du Plan et Suivi de la Mise en œuvre de la Révolution de la Modernité</w:t>
      </w:r>
      <w:r w:rsidR="00E54963" w:rsidRPr="00E54963">
        <w:rPr>
          <w:lang w:val="fr-FR"/>
        </w:rPr>
        <w:t xml:space="preserve">), </w:t>
      </w:r>
      <w:r>
        <w:rPr>
          <w:lang w:val="fr-FR"/>
        </w:rPr>
        <w:t>MSP (</w:t>
      </w:r>
      <w:r w:rsidR="00E54963" w:rsidRPr="00E54963">
        <w:rPr>
          <w:lang w:val="fr-FR"/>
        </w:rPr>
        <w:t xml:space="preserve">Ministère de la Santé Publique), ICF International, 2014. </w:t>
      </w:r>
      <w:r w:rsidR="00E54963" w:rsidRPr="00E54963">
        <w:t>Democratic Republic of Congo Demographic and Health Survey 2013-14:  Key Findings.</w:t>
      </w:r>
    </w:p>
    <w:p w14:paraId="359B8203" w14:textId="75533DCD" w:rsidR="00E54963" w:rsidRPr="00E54963" w:rsidRDefault="00E54963" w:rsidP="6F76731B">
      <w:r w:rsidRPr="6F76731B">
        <w:t>Olofsson, P., Foody, G.M., Herold, M., Stehman, S.V., Woodcock, C.E., Wulder, M.A., 2014. Good practices for estimating area and assessing accuracy of land change. Remote Sensing of Environment 148, 42</w:t>
      </w:r>
      <w:r w:rsidR="00507DA5" w:rsidRPr="6F76731B">
        <w:t>-</w:t>
      </w:r>
      <w:r w:rsidRPr="6F76731B">
        <w:t xml:space="preserve">57. </w:t>
      </w:r>
      <w:hyperlink r:id="rId47">
        <w:r w:rsidRPr="6F76731B">
          <w:rPr>
            <w:rStyle w:val="Hyperlink"/>
          </w:rPr>
          <w:t>https://doi.org/10.1016/j.rse.2014.02.015</w:t>
        </w:r>
      </w:hyperlink>
    </w:p>
    <w:p w14:paraId="29D77E17" w14:textId="0A0A9AA3" w:rsidR="00E54963" w:rsidRPr="00E54963" w:rsidRDefault="00E54963" w:rsidP="6F76731B">
      <w:r w:rsidRPr="6F76731B">
        <w:t>Ostrom, E., 2009. A General Framework for Analyzing Sustainability of Social-Ecological Systems. Science 325, 419</w:t>
      </w:r>
      <w:r w:rsidR="00507DA5" w:rsidRPr="6F76731B">
        <w:t>-</w:t>
      </w:r>
      <w:r w:rsidRPr="6F76731B">
        <w:t xml:space="preserve">422. </w:t>
      </w:r>
      <w:hyperlink r:id="rId48">
        <w:r w:rsidRPr="6F76731B">
          <w:rPr>
            <w:rStyle w:val="Hyperlink"/>
          </w:rPr>
          <w:t>https://doi.org/10.1126/science.1172133</w:t>
        </w:r>
      </w:hyperlink>
    </w:p>
    <w:p w14:paraId="4B0CF965" w14:textId="16210535" w:rsidR="00E54963" w:rsidRPr="00E54963" w:rsidRDefault="00E54963" w:rsidP="6F76731B">
      <w:r w:rsidRPr="6F76731B">
        <w:t>Pekel, J.-F., Cottam, A., Gorelick, N., Belward, A.S., 2016. High-resolution mapping of global surface water and its long-term changes. Nature 540, 418</w:t>
      </w:r>
      <w:r w:rsidR="00507DA5" w:rsidRPr="6F76731B">
        <w:t>-</w:t>
      </w:r>
      <w:r w:rsidRPr="6F76731B">
        <w:t xml:space="preserve">422. </w:t>
      </w:r>
      <w:hyperlink r:id="rId49">
        <w:r w:rsidRPr="6F76731B">
          <w:rPr>
            <w:rStyle w:val="Hyperlink"/>
          </w:rPr>
          <w:t>https://doi.org/10.1038/nature20584</w:t>
        </w:r>
      </w:hyperlink>
    </w:p>
    <w:p w14:paraId="4BC864A4" w14:textId="77777777" w:rsidR="00E54963" w:rsidRPr="00E54963" w:rsidRDefault="00E54963" w:rsidP="6F76731B">
      <w:r w:rsidRPr="6F76731B">
        <w:t xml:space="preserve">Pesaresi, M., Schiavina, M., Politis, P., Freire, S., Krasnodębska, K., Uhl, J.H., Carioli, A., Corbane, C., Dijkstra, L., Florio, P., Friedrich, H.K., Gao, J., Leyk, S., Lu, L., Maffenini, L., Mari-Rivero, I., Melchiorri, M., Syrris, V., Van Den Hoek, J., Kemper, T., 2024. Advances on the Global Human Settlement Layer by joint assessment of Earth Observation and population survey data. International Journal of Digital Earth 17, 2390454. </w:t>
      </w:r>
      <w:hyperlink r:id="rId50">
        <w:r w:rsidRPr="6F76731B">
          <w:rPr>
            <w:rStyle w:val="Hyperlink"/>
          </w:rPr>
          <w:t>https://doi.org/10.1080/17538947.2024.2390454</w:t>
        </w:r>
      </w:hyperlink>
    </w:p>
    <w:p w14:paraId="61C9D652" w14:textId="017E0BFE" w:rsidR="00E54963" w:rsidRPr="00E54963" w:rsidRDefault="00E54963" w:rsidP="6F76731B">
      <w:r w:rsidRPr="6F76731B">
        <w:lastRenderedPageBreak/>
        <w:t>Poggio, L., de Sousa, L.M., Batjes, N.H., Heuvelink, G.B.M., Kempen, B., Ribeiro, E., Rossiter, D., 2021. SoilGrids 2.0: producing soil information for the globe with quantified spatial uncertainty. SOIL 7, 217</w:t>
      </w:r>
      <w:r w:rsidR="00507DA5" w:rsidRPr="6F76731B">
        <w:t>-</w:t>
      </w:r>
      <w:r w:rsidRPr="6F76731B">
        <w:t xml:space="preserve">240. </w:t>
      </w:r>
      <w:hyperlink r:id="rId51">
        <w:r w:rsidRPr="6F76731B">
          <w:rPr>
            <w:rStyle w:val="Hyperlink"/>
          </w:rPr>
          <w:t>https://doi.org/10.5194/soil-7-217-2021</w:t>
        </w:r>
      </w:hyperlink>
    </w:p>
    <w:p w14:paraId="65960343" w14:textId="77777777" w:rsidR="00E54963" w:rsidRPr="00E54963" w:rsidRDefault="00E54963" w:rsidP="00E54963">
      <w:r w:rsidRPr="00E54963">
        <w:t>R Core Team, 2026. R: A language and environment for statistical computing.</w:t>
      </w:r>
    </w:p>
    <w:p w14:paraId="185B83F7" w14:textId="77777777" w:rsidR="00E54963" w:rsidRPr="00E54963" w:rsidRDefault="00E54963" w:rsidP="6F76731B">
      <w:r w:rsidRPr="00AC6798">
        <w:t xml:space="preserve">Sirko, W., Brempong, E.A., Marcos, J.T.C., Annkah, A., Korme, A., Hassen, M.A., Sapkota, K., Shekel, T., Diack, A., Nevo, S., Hickey, J., Quinn, J., 2024. </w:t>
      </w:r>
      <w:r w:rsidRPr="6F76731B">
        <w:t xml:space="preserve">High-Resolution Building and Road Detection from Sentinel-2. </w:t>
      </w:r>
      <w:hyperlink r:id="rId52">
        <w:r w:rsidRPr="6F76731B">
          <w:rPr>
            <w:rStyle w:val="Hyperlink"/>
          </w:rPr>
          <w:t>https://doi.org/10.48550/arXiv.2310.11622</w:t>
        </w:r>
      </w:hyperlink>
    </w:p>
    <w:p w14:paraId="48C285BB" w14:textId="77777777" w:rsidR="00E54963" w:rsidRPr="00B20D64" w:rsidRDefault="00E54963" w:rsidP="00E54963">
      <w:pPr>
        <w:rPr>
          <w:lang w:val="nl-NL"/>
        </w:rPr>
      </w:pPr>
      <w:r w:rsidRPr="00E54963">
        <w:t xml:space="preserve">Tshikung, K.M., Pongombo, S.E.W., Roland, L., Hornick, J.L., 2019. Consumption of Bushmeat in Lubumbashi/DR Congo: Sociocultural Approaches. JHS 7. </w:t>
      </w:r>
      <w:hyperlink r:id="rId53" w:history="1">
        <w:r w:rsidRPr="00B20D64">
          <w:rPr>
            <w:rStyle w:val="Hyperlink"/>
            <w:lang w:val="nl-NL"/>
          </w:rPr>
          <w:t>https://doi.org/10.17265/2328-7136/2019.02.003</w:t>
        </w:r>
      </w:hyperlink>
    </w:p>
    <w:p w14:paraId="56E799BD" w14:textId="34E9ED46" w:rsidR="001A603E" w:rsidRPr="001A603E" w:rsidRDefault="001A603E" w:rsidP="00E54963">
      <w:pPr>
        <w:rPr>
          <w:lang w:val="fr-FR"/>
        </w:rPr>
      </w:pPr>
      <w:r w:rsidRPr="001A603E">
        <w:rPr>
          <w:lang w:val="nl-NL"/>
        </w:rPr>
        <w:t xml:space="preserve">Van Leeuwe, H., Henschel, P., Pélissier, C., Moyer, D., 2009. </w:t>
      </w:r>
      <w:r w:rsidRPr="001A603E">
        <w:rPr>
          <w:lang w:val="fr-FR"/>
        </w:rPr>
        <w:t>Recensement des Grands Mammifères et Impacts Humains. Parcs Nationaux de L’upemba et de Kundelungu, République Démocratique du Congo.</w:t>
      </w:r>
    </w:p>
    <w:p w14:paraId="7FDE268F" w14:textId="7437B635" w:rsidR="00E54963" w:rsidRPr="00B62B20" w:rsidRDefault="001A603E" w:rsidP="00E54963">
      <w:r w:rsidRPr="00B3318D">
        <w:rPr>
          <w:lang w:val="nl-NL"/>
        </w:rPr>
        <w:t>V</w:t>
      </w:r>
      <w:r w:rsidR="00E54963" w:rsidRPr="00B3318D">
        <w:rPr>
          <w:lang w:val="nl-NL"/>
        </w:rPr>
        <w:t xml:space="preserve">an Velden, J., Wilson, K., Biggs, D., 2018. </w:t>
      </w:r>
      <w:r w:rsidR="00E54963" w:rsidRPr="00E54963">
        <w:t xml:space="preserve">The evidence for the bushmeat crisis in African savannas: A systematic quantitative literature review. </w:t>
      </w:r>
      <w:r w:rsidR="00E54963" w:rsidRPr="00B62B20">
        <w:t>Biological Conservation 221, 345</w:t>
      </w:r>
      <w:r w:rsidR="00507DA5" w:rsidRPr="00B62B20">
        <w:t>-</w:t>
      </w:r>
      <w:r w:rsidR="00E54963" w:rsidRPr="00B62B20">
        <w:t xml:space="preserve">356. </w:t>
      </w:r>
      <w:hyperlink r:id="rId54" w:history="1">
        <w:r w:rsidR="00E54963" w:rsidRPr="00B62B20">
          <w:rPr>
            <w:rStyle w:val="Hyperlink"/>
          </w:rPr>
          <w:t>https://doi.org/10.1016/j.biocon.2018.03.022</w:t>
        </w:r>
      </w:hyperlink>
    </w:p>
    <w:p w14:paraId="52C76855" w14:textId="345D3E23" w:rsidR="00E54963" w:rsidRPr="00E54963" w:rsidRDefault="00E54963" w:rsidP="00E54963">
      <w:r w:rsidRPr="5F07CC71">
        <w:t>Weiss, D.J., Nelson, A., Gibson, H.S., Temperley, W., Peedell, S., Lieber, A., Hancher, M., Poyart, E., Belchior, S., Fullman, N., Mappin, B., Dalrymple, U., Rozier, J., Lucas, T.C.D., Howes, R.E., Tusting, L.S., Kang, S.Y., Cameron, E., Bisanzio, D., Battle, K.E., Bhatt, S., Gething, P.W., 2018. A global map of travel time to cities to assess inequalities in accessibility in 2015. Nature 553, 333</w:t>
      </w:r>
      <w:r w:rsidR="00507DA5" w:rsidRPr="5F07CC71">
        <w:t>-</w:t>
      </w:r>
      <w:r w:rsidRPr="5F07CC71">
        <w:t xml:space="preserve">336. </w:t>
      </w:r>
      <w:hyperlink r:id="rId55">
        <w:r w:rsidRPr="5F07CC71">
          <w:rPr>
            <w:rStyle w:val="Hyperlink"/>
          </w:rPr>
          <w:t>https://doi.org/10.1038/nature25181</w:t>
        </w:r>
      </w:hyperlink>
    </w:p>
    <w:p w14:paraId="0D149423" w14:textId="3F38C009" w:rsidR="00FF4A3F" w:rsidRDefault="00850D62" w:rsidP="00FF4A3F">
      <w:pPr>
        <w:pStyle w:val="Heading1"/>
      </w:pPr>
      <w:r>
        <w:t xml:space="preserve">6. </w:t>
      </w:r>
      <w:r w:rsidR="00FF4A3F">
        <w:t>Appendix</w:t>
      </w:r>
    </w:p>
    <w:p w14:paraId="0E41C66B" w14:textId="69AD5E7A" w:rsidR="00C12CE0" w:rsidRDefault="00850D62" w:rsidP="00C12CE0">
      <w:pPr>
        <w:pStyle w:val="Heading2"/>
      </w:pPr>
      <w:r>
        <w:t>6.1</w:t>
      </w:r>
      <w:r w:rsidR="006B7673">
        <w:t xml:space="preserve">. </w:t>
      </w:r>
      <w:r w:rsidR="00C12CE0">
        <w:t>Extended methods</w:t>
      </w:r>
    </w:p>
    <w:p w14:paraId="2C65489E" w14:textId="3BAE7123" w:rsidR="00C12CE0" w:rsidRDefault="00C12CE0" w:rsidP="00C12CE0">
      <w:pPr>
        <w:pStyle w:val="Caption"/>
        <w:keepNext/>
      </w:pPr>
      <w:r>
        <w:t xml:space="preserve">Table </w:t>
      </w:r>
      <w:r>
        <w:fldChar w:fldCharType="begin"/>
      </w:r>
      <w:r>
        <w:instrText xml:space="preserve"> SEQ Table \* ARABIC </w:instrText>
      </w:r>
      <w:r>
        <w:fldChar w:fldCharType="separate"/>
      </w:r>
      <w:r w:rsidR="00071D6E">
        <w:rPr>
          <w:noProof/>
        </w:rPr>
        <w:t>5</w:t>
      </w:r>
      <w:r>
        <w:fldChar w:fldCharType="end"/>
      </w:r>
      <w:r>
        <w:t xml:space="preserve">: </w:t>
      </w:r>
      <w:r w:rsidRPr="001A7DF7">
        <w:rPr>
          <w:rFonts w:eastAsiaTheme="majorEastAsia"/>
        </w:rPr>
        <w:t>Mean silhouette width for k-means clustering solutions (k = 2</w:t>
      </w:r>
      <w:r w:rsidR="00507DA5">
        <w:rPr>
          <w:rFonts w:eastAsiaTheme="majorEastAsia"/>
        </w:rPr>
        <w:t>-</w:t>
      </w:r>
      <w:r w:rsidRPr="001A7DF7">
        <w:rPr>
          <w:rFonts w:eastAsiaTheme="majorEastAsia"/>
        </w:rPr>
        <w:t>10) evaluated on a random sample of 20,000 500 m cells.</w:t>
      </w:r>
      <w:r w:rsidRPr="001A7DF7">
        <w:t xml:space="preserve"> The silhouette criterion is maximized at k = 3, which we adopt for defining Socio-Ecological System Units (SESUs).</w:t>
      </w:r>
    </w:p>
    <w:tbl>
      <w:tblPr>
        <w:tblStyle w:val="TableGrid"/>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960"/>
        <w:gridCol w:w="1499"/>
      </w:tblGrid>
      <w:tr w:rsidR="00C12CE0" w:rsidRPr="00C779F7" w14:paraId="4DF282DD" w14:textId="77777777" w:rsidTr="007F2B8A">
        <w:trPr>
          <w:trHeight w:val="288"/>
        </w:trPr>
        <w:tc>
          <w:tcPr>
            <w:tcW w:w="960" w:type="dxa"/>
            <w:noWrap/>
            <w:hideMark/>
          </w:tcPr>
          <w:p w14:paraId="449FB349" w14:textId="77777777" w:rsidR="00C12CE0" w:rsidRPr="00C779F7" w:rsidRDefault="00C12CE0" w:rsidP="007F2B8A">
            <w:r w:rsidRPr="00C779F7">
              <w:t>k</w:t>
            </w:r>
          </w:p>
        </w:tc>
        <w:tc>
          <w:tcPr>
            <w:tcW w:w="1499" w:type="dxa"/>
            <w:noWrap/>
            <w:hideMark/>
          </w:tcPr>
          <w:p w14:paraId="3DADC1D9" w14:textId="77777777" w:rsidR="00C12CE0" w:rsidRPr="00C779F7" w:rsidRDefault="00C12CE0" w:rsidP="007F2B8A">
            <w:r w:rsidRPr="00C779F7">
              <w:t>Silhouette</w:t>
            </w:r>
            <w:r>
              <w:t xml:space="preserve"> </w:t>
            </w:r>
            <w:r w:rsidRPr="00C779F7">
              <w:t>mean</w:t>
            </w:r>
          </w:p>
        </w:tc>
      </w:tr>
      <w:tr w:rsidR="00C12CE0" w:rsidRPr="00C779F7" w14:paraId="07EA1981" w14:textId="77777777" w:rsidTr="007F2B8A">
        <w:trPr>
          <w:trHeight w:val="288"/>
        </w:trPr>
        <w:tc>
          <w:tcPr>
            <w:tcW w:w="960" w:type="dxa"/>
            <w:noWrap/>
            <w:hideMark/>
          </w:tcPr>
          <w:p w14:paraId="6B933ABD" w14:textId="77777777" w:rsidR="00C12CE0" w:rsidRPr="00C779F7" w:rsidRDefault="00C12CE0" w:rsidP="007F2B8A">
            <w:r w:rsidRPr="00C779F7">
              <w:t>2</w:t>
            </w:r>
          </w:p>
        </w:tc>
        <w:tc>
          <w:tcPr>
            <w:tcW w:w="1499" w:type="dxa"/>
            <w:noWrap/>
            <w:hideMark/>
          </w:tcPr>
          <w:p w14:paraId="0A41586E" w14:textId="77777777" w:rsidR="00C12CE0" w:rsidRPr="00C779F7" w:rsidRDefault="00C12CE0" w:rsidP="007F2B8A">
            <w:r w:rsidRPr="00C779F7">
              <w:t>0.251</w:t>
            </w:r>
          </w:p>
        </w:tc>
      </w:tr>
      <w:tr w:rsidR="00C12CE0" w:rsidRPr="00C779F7" w14:paraId="486D3B13" w14:textId="77777777" w:rsidTr="007F2B8A">
        <w:trPr>
          <w:trHeight w:val="288"/>
        </w:trPr>
        <w:tc>
          <w:tcPr>
            <w:tcW w:w="960" w:type="dxa"/>
            <w:noWrap/>
            <w:hideMark/>
          </w:tcPr>
          <w:p w14:paraId="3AE11D6A" w14:textId="77777777" w:rsidR="00C12CE0" w:rsidRPr="00C679BA" w:rsidRDefault="00C12CE0" w:rsidP="007F2B8A">
            <w:pPr>
              <w:rPr>
                <w:b/>
                <w:bCs/>
              </w:rPr>
            </w:pPr>
            <w:r w:rsidRPr="00C679BA">
              <w:rPr>
                <w:b/>
                <w:bCs/>
              </w:rPr>
              <w:t>3</w:t>
            </w:r>
          </w:p>
        </w:tc>
        <w:tc>
          <w:tcPr>
            <w:tcW w:w="1499" w:type="dxa"/>
            <w:noWrap/>
            <w:hideMark/>
          </w:tcPr>
          <w:p w14:paraId="69324425" w14:textId="77777777" w:rsidR="00C12CE0" w:rsidRPr="00C679BA" w:rsidRDefault="00C12CE0" w:rsidP="007F2B8A">
            <w:pPr>
              <w:rPr>
                <w:b/>
                <w:bCs/>
              </w:rPr>
            </w:pPr>
            <w:r w:rsidRPr="00C679BA">
              <w:rPr>
                <w:b/>
                <w:bCs/>
              </w:rPr>
              <w:t>0.270</w:t>
            </w:r>
          </w:p>
        </w:tc>
      </w:tr>
      <w:tr w:rsidR="00C12CE0" w:rsidRPr="00C779F7" w14:paraId="01D84575" w14:textId="77777777" w:rsidTr="007F2B8A">
        <w:trPr>
          <w:trHeight w:val="288"/>
        </w:trPr>
        <w:tc>
          <w:tcPr>
            <w:tcW w:w="960" w:type="dxa"/>
            <w:noWrap/>
            <w:hideMark/>
          </w:tcPr>
          <w:p w14:paraId="21801681" w14:textId="77777777" w:rsidR="00C12CE0" w:rsidRPr="00C779F7" w:rsidRDefault="00C12CE0" w:rsidP="007F2B8A">
            <w:r w:rsidRPr="00C779F7">
              <w:t>4</w:t>
            </w:r>
          </w:p>
        </w:tc>
        <w:tc>
          <w:tcPr>
            <w:tcW w:w="1499" w:type="dxa"/>
            <w:noWrap/>
            <w:hideMark/>
          </w:tcPr>
          <w:p w14:paraId="49EC1B18" w14:textId="77777777" w:rsidR="00C12CE0" w:rsidRPr="00C779F7" w:rsidRDefault="00C12CE0" w:rsidP="007F2B8A">
            <w:r w:rsidRPr="00C779F7">
              <w:t>0.228</w:t>
            </w:r>
          </w:p>
        </w:tc>
      </w:tr>
      <w:tr w:rsidR="00C12CE0" w:rsidRPr="00C779F7" w14:paraId="3AFB9CF1" w14:textId="77777777" w:rsidTr="007F2B8A">
        <w:trPr>
          <w:trHeight w:val="288"/>
        </w:trPr>
        <w:tc>
          <w:tcPr>
            <w:tcW w:w="960" w:type="dxa"/>
            <w:noWrap/>
            <w:hideMark/>
          </w:tcPr>
          <w:p w14:paraId="60ED55E5" w14:textId="77777777" w:rsidR="00C12CE0" w:rsidRPr="00C779F7" w:rsidRDefault="00C12CE0" w:rsidP="007F2B8A">
            <w:r w:rsidRPr="00C779F7">
              <w:t>5</w:t>
            </w:r>
          </w:p>
        </w:tc>
        <w:tc>
          <w:tcPr>
            <w:tcW w:w="1499" w:type="dxa"/>
            <w:noWrap/>
            <w:hideMark/>
          </w:tcPr>
          <w:p w14:paraId="0C051B79" w14:textId="77777777" w:rsidR="00C12CE0" w:rsidRPr="00C779F7" w:rsidRDefault="00C12CE0" w:rsidP="007F2B8A">
            <w:r w:rsidRPr="00C779F7">
              <w:t>0.234</w:t>
            </w:r>
          </w:p>
        </w:tc>
      </w:tr>
      <w:tr w:rsidR="00C12CE0" w:rsidRPr="00C779F7" w14:paraId="073BD57F" w14:textId="77777777" w:rsidTr="007F2B8A">
        <w:trPr>
          <w:trHeight w:val="288"/>
        </w:trPr>
        <w:tc>
          <w:tcPr>
            <w:tcW w:w="960" w:type="dxa"/>
            <w:noWrap/>
            <w:hideMark/>
          </w:tcPr>
          <w:p w14:paraId="61C094ED" w14:textId="77777777" w:rsidR="00C12CE0" w:rsidRPr="00C779F7" w:rsidRDefault="00C12CE0" w:rsidP="007F2B8A">
            <w:r w:rsidRPr="00C779F7">
              <w:lastRenderedPageBreak/>
              <w:t>6</w:t>
            </w:r>
          </w:p>
        </w:tc>
        <w:tc>
          <w:tcPr>
            <w:tcW w:w="1499" w:type="dxa"/>
            <w:noWrap/>
            <w:hideMark/>
          </w:tcPr>
          <w:p w14:paraId="341E3DF6" w14:textId="77777777" w:rsidR="00C12CE0" w:rsidRPr="00C779F7" w:rsidRDefault="00C12CE0" w:rsidP="007F2B8A">
            <w:r w:rsidRPr="00C779F7">
              <w:t>0.241</w:t>
            </w:r>
          </w:p>
        </w:tc>
      </w:tr>
      <w:tr w:rsidR="00C12CE0" w:rsidRPr="00C779F7" w14:paraId="319037A4" w14:textId="77777777" w:rsidTr="007F2B8A">
        <w:trPr>
          <w:trHeight w:val="288"/>
        </w:trPr>
        <w:tc>
          <w:tcPr>
            <w:tcW w:w="960" w:type="dxa"/>
            <w:noWrap/>
            <w:hideMark/>
          </w:tcPr>
          <w:p w14:paraId="1D7A156C" w14:textId="77777777" w:rsidR="00C12CE0" w:rsidRPr="00C779F7" w:rsidRDefault="00C12CE0" w:rsidP="007F2B8A">
            <w:r w:rsidRPr="00C779F7">
              <w:t>7</w:t>
            </w:r>
          </w:p>
        </w:tc>
        <w:tc>
          <w:tcPr>
            <w:tcW w:w="1499" w:type="dxa"/>
            <w:noWrap/>
            <w:hideMark/>
          </w:tcPr>
          <w:p w14:paraId="6F94911F" w14:textId="77777777" w:rsidR="00C12CE0" w:rsidRPr="00C779F7" w:rsidRDefault="00C12CE0" w:rsidP="007F2B8A">
            <w:r w:rsidRPr="00C779F7">
              <w:t>0.261</w:t>
            </w:r>
          </w:p>
        </w:tc>
      </w:tr>
      <w:tr w:rsidR="00C12CE0" w:rsidRPr="00C779F7" w14:paraId="6C0F1139" w14:textId="77777777" w:rsidTr="007F2B8A">
        <w:trPr>
          <w:trHeight w:val="288"/>
        </w:trPr>
        <w:tc>
          <w:tcPr>
            <w:tcW w:w="960" w:type="dxa"/>
            <w:noWrap/>
            <w:hideMark/>
          </w:tcPr>
          <w:p w14:paraId="04B35F48" w14:textId="77777777" w:rsidR="00C12CE0" w:rsidRPr="00C779F7" w:rsidRDefault="00C12CE0" w:rsidP="007F2B8A">
            <w:r w:rsidRPr="00C779F7">
              <w:t>8</w:t>
            </w:r>
          </w:p>
        </w:tc>
        <w:tc>
          <w:tcPr>
            <w:tcW w:w="1499" w:type="dxa"/>
            <w:noWrap/>
            <w:hideMark/>
          </w:tcPr>
          <w:p w14:paraId="705AF251" w14:textId="77777777" w:rsidR="00C12CE0" w:rsidRPr="00C779F7" w:rsidRDefault="00C12CE0" w:rsidP="007F2B8A">
            <w:r w:rsidRPr="00C779F7">
              <w:t>0.251</w:t>
            </w:r>
          </w:p>
        </w:tc>
      </w:tr>
      <w:tr w:rsidR="00C12CE0" w:rsidRPr="00C779F7" w14:paraId="09699B3E" w14:textId="77777777" w:rsidTr="007F2B8A">
        <w:trPr>
          <w:trHeight w:val="288"/>
        </w:trPr>
        <w:tc>
          <w:tcPr>
            <w:tcW w:w="960" w:type="dxa"/>
            <w:noWrap/>
            <w:hideMark/>
          </w:tcPr>
          <w:p w14:paraId="1914A508" w14:textId="77777777" w:rsidR="00C12CE0" w:rsidRPr="00C779F7" w:rsidRDefault="00C12CE0" w:rsidP="007F2B8A">
            <w:r w:rsidRPr="00C779F7">
              <w:t>9</w:t>
            </w:r>
          </w:p>
        </w:tc>
        <w:tc>
          <w:tcPr>
            <w:tcW w:w="1499" w:type="dxa"/>
            <w:noWrap/>
            <w:hideMark/>
          </w:tcPr>
          <w:p w14:paraId="480BD7FB" w14:textId="77777777" w:rsidR="00C12CE0" w:rsidRPr="00C779F7" w:rsidRDefault="00C12CE0" w:rsidP="007F2B8A">
            <w:r w:rsidRPr="00C779F7">
              <w:t>0.238</w:t>
            </w:r>
          </w:p>
        </w:tc>
      </w:tr>
      <w:tr w:rsidR="00C12CE0" w:rsidRPr="00C779F7" w14:paraId="37EE4EA9" w14:textId="77777777" w:rsidTr="007F2B8A">
        <w:trPr>
          <w:trHeight w:val="288"/>
        </w:trPr>
        <w:tc>
          <w:tcPr>
            <w:tcW w:w="960" w:type="dxa"/>
            <w:noWrap/>
            <w:hideMark/>
          </w:tcPr>
          <w:p w14:paraId="337551F2" w14:textId="77777777" w:rsidR="00C12CE0" w:rsidRPr="00C779F7" w:rsidRDefault="00C12CE0" w:rsidP="007F2B8A">
            <w:r w:rsidRPr="00C779F7">
              <w:t>10</w:t>
            </w:r>
          </w:p>
        </w:tc>
        <w:tc>
          <w:tcPr>
            <w:tcW w:w="1499" w:type="dxa"/>
            <w:noWrap/>
            <w:hideMark/>
          </w:tcPr>
          <w:p w14:paraId="36D58223" w14:textId="77777777" w:rsidR="00C12CE0" w:rsidRPr="00C779F7" w:rsidRDefault="00C12CE0" w:rsidP="007F2B8A">
            <w:r w:rsidRPr="00C779F7">
              <w:t>0.223</w:t>
            </w:r>
          </w:p>
        </w:tc>
      </w:tr>
    </w:tbl>
    <w:p w14:paraId="2A8AB20E" w14:textId="6D363EE4" w:rsidR="00C12CE0" w:rsidRDefault="00C12CE0" w:rsidP="00C12CE0">
      <w:pPr>
        <w:pStyle w:val="Caption"/>
        <w:keepNext/>
      </w:pPr>
      <w:r>
        <w:t xml:space="preserve">Table </w:t>
      </w:r>
      <w:r>
        <w:fldChar w:fldCharType="begin"/>
      </w:r>
      <w:r>
        <w:instrText xml:space="preserve"> SEQ Table \* ARABIC </w:instrText>
      </w:r>
      <w:r>
        <w:fldChar w:fldCharType="separate"/>
      </w:r>
      <w:r w:rsidR="00071D6E">
        <w:rPr>
          <w:noProof/>
        </w:rPr>
        <w:t>6</w:t>
      </w:r>
      <w:r>
        <w:fldChar w:fldCharType="end"/>
      </w:r>
      <w:r>
        <w:t xml:space="preserve">: </w:t>
      </w:r>
      <w:r w:rsidR="00486206">
        <w:t>S</w:t>
      </w:r>
      <w:r w:rsidRPr="00CA303A">
        <w:t xml:space="preserve">ample sizes by socio-ecological system unit (SESU) and National Park side (inside vs. outside), reported as the number of contributing 500 m cells after applying the SESU classification, </w:t>
      </w:r>
      <w:r w:rsidR="002D0916">
        <w:t xml:space="preserve">and </w:t>
      </w:r>
      <w:r w:rsidRPr="00CA303A">
        <w:t>signed-distance side assignment</w:t>
      </w:r>
      <w:r>
        <w:t>.</w:t>
      </w:r>
    </w:p>
    <w:tbl>
      <w:tblPr>
        <w:tblW w:w="0" w:type="auto"/>
        <w:tblBorders>
          <w:insideH w:val="single" w:sz="4" w:space="0" w:color="auto"/>
        </w:tblBorders>
        <w:tblCellMar>
          <w:left w:w="70" w:type="dxa"/>
          <w:right w:w="70" w:type="dxa"/>
        </w:tblCellMar>
        <w:tblLook w:val="04A0" w:firstRow="1" w:lastRow="0" w:firstColumn="1" w:lastColumn="0" w:noHBand="0" w:noVBand="1"/>
      </w:tblPr>
      <w:tblGrid>
        <w:gridCol w:w="727"/>
        <w:gridCol w:w="1205"/>
        <w:gridCol w:w="860"/>
        <w:gridCol w:w="1361"/>
        <w:gridCol w:w="1481"/>
      </w:tblGrid>
      <w:tr w:rsidR="00C12CE0" w:rsidRPr="00CA303A" w14:paraId="50BB7015" w14:textId="77777777" w:rsidTr="00403532">
        <w:trPr>
          <w:trHeight w:val="288"/>
        </w:trPr>
        <w:tc>
          <w:tcPr>
            <w:tcW w:w="0" w:type="auto"/>
            <w:noWrap/>
            <w:vAlign w:val="bottom"/>
            <w:hideMark/>
          </w:tcPr>
          <w:p w14:paraId="25DD7DD5" w14:textId="77777777" w:rsidR="00C12CE0" w:rsidRPr="00CA303A" w:rsidRDefault="00C12CE0" w:rsidP="007F2B8A">
            <w:pPr>
              <w:spacing w:line="240" w:lineRule="auto"/>
              <w:rPr>
                <w:lang w:val="nl-NL" w:eastAsia="nl-NL"/>
              </w:rPr>
            </w:pPr>
            <w:r w:rsidRPr="00CA303A">
              <w:rPr>
                <w:lang w:val="nl-NL" w:eastAsia="nl-NL"/>
              </w:rPr>
              <w:t>SESU</w:t>
            </w:r>
          </w:p>
        </w:tc>
        <w:tc>
          <w:tcPr>
            <w:tcW w:w="0" w:type="auto"/>
          </w:tcPr>
          <w:p w14:paraId="4940D287" w14:textId="20F30D03" w:rsidR="00C0743A" w:rsidRDefault="00C0743A" w:rsidP="00BA455B">
            <w:pPr>
              <w:spacing w:line="240" w:lineRule="auto"/>
              <w:rPr>
                <w:lang w:val="nl-NL" w:eastAsia="nl-NL"/>
              </w:rPr>
            </w:pPr>
            <w:r>
              <w:rPr>
                <w:lang w:val="nl-NL" w:eastAsia="nl-NL"/>
              </w:rPr>
              <w:t>Area [km²]</w:t>
            </w:r>
          </w:p>
        </w:tc>
        <w:tc>
          <w:tcPr>
            <w:tcW w:w="0" w:type="auto"/>
          </w:tcPr>
          <w:p w14:paraId="5247FF82" w14:textId="028321FE" w:rsidR="00C0743A" w:rsidRDefault="00C0743A" w:rsidP="00BA455B">
            <w:pPr>
              <w:spacing w:line="240" w:lineRule="auto"/>
              <w:rPr>
                <w:lang w:val="nl-NL" w:eastAsia="nl-NL"/>
              </w:rPr>
            </w:pPr>
            <w:r>
              <w:rPr>
                <w:lang w:val="nl-NL" w:eastAsia="nl-NL"/>
              </w:rPr>
              <w:t>Pixels</w:t>
            </w:r>
          </w:p>
        </w:tc>
        <w:tc>
          <w:tcPr>
            <w:tcW w:w="0" w:type="auto"/>
            <w:noWrap/>
            <w:vAlign w:val="bottom"/>
            <w:hideMark/>
          </w:tcPr>
          <w:p w14:paraId="3D311771" w14:textId="60B9C85A" w:rsidR="00C12CE0" w:rsidRPr="00CA303A" w:rsidRDefault="00C0743A" w:rsidP="007F2B8A">
            <w:pPr>
              <w:spacing w:line="240" w:lineRule="auto"/>
              <w:rPr>
                <w:lang w:val="nl-NL" w:eastAsia="nl-NL"/>
              </w:rPr>
            </w:pPr>
            <w:r>
              <w:rPr>
                <w:lang w:val="nl-NL" w:eastAsia="nl-NL"/>
              </w:rPr>
              <w:t>Pixels ins</w:t>
            </w:r>
            <w:r w:rsidRPr="00CA303A">
              <w:rPr>
                <w:lang w:val="nl-NL" w:eastAsia="nl-NL"/>
              </w:rPr>
              <w:t>ide</w:t>
            </w:r>
          </w:p>
        </w:tc>
        <w:tc>
          <w:tcPr>
            <w:tcW w:w="0" w:type="auto"/>
          </w:tcPr>
          <w:p w14:paraId="42731761" w14:textId="241F757B" w:rsidR="00C0743A" w:rsidRDefault="00C0743A" w:rsidP="00BA455B">
            <w:pPr>
              <w:spacing w:line="240" w:lineRule="auto"/>
              <w:rPr>
                <w:lang w:val="nl-NL" w:eastAsia="nl-NL"/>
              </w:rPr>
            </w:pPr>
            <w:r>
              <w:rPr>
                <w:lang w:val="nl-NL" w:eastAsia="nl-NL"/>
              </w:rPr>
              <w:t>Pixels outside</w:t>
            </w:r>
          </w:p>
        </w:tc>
      </w:tr>
      <w:tr w:rsidR="00C12CE0" w:rsidRPr="00CA303A" w14:paraId="15A1DCC3" w14:textId="77777777" w:rsidTr="00403532">
        <w:trPr>
          <w:trHeight w:val="288"/>
        </w:trPr>
        <w:tc>
          <w:tcPr>
            <w:tcW w:w="0" w:type="auto"/>
            <w:noWrap/>
            <w:vAlign w:val="bottom"/>
            <w:hideMark/>
          </w:tcPr>
          <w:p w14:paraId="41C7A50E" w14:textId="77777777" w:rsidR="00C12CE0" w:rsidRPr="00CA303A" w:rsidRDefault="00C12CE0" w:rsidP="007F2B8A">
            <w:pPr>
              <w:spacing w:line="240" w:lineRule="auto"/>
              <w:rPr>
                <w:lang w:val="nl-NL" w:eastAsia="nl-NL"/>
              </w:rPr>
            </w:pPr>
            <w:r w:rsidRPr="00CA303A">
              <w:rPr>
                <w:lang w:val="nl-NL" w:eastAsia="nl-NL"/>
              </w:rPr>
              <w:t>1</w:t>
            </w:r>
          </w:p>
        </w:tc>
        <w:tc>
          <w:tcPr>
            <w:tcW w:w="0" w:type="auto"/>
          </w:tcPr>
          <w:p w14:paraId="3AC7BFE5" w14:textId="79C786EF" w:rsidR="00C0743A" w:rsidRPr="00E5245A" w:rsidRDefault="00C0743A" w:rsidP="000F07B1">
            <w:pPr>
              <w:spacing w:line="240" w:lineRule="auto"/>
              <w:rPr>
                <w:lang w:val="nl-NL" w:eastAsia="nl-NL"/>
              </w:rPr>
            </w:pPr>
            <w:r w:rsidRPr="00E5245A">
              <w:rPr>
                <w:lang w:val="nl-NL" w:eastAsia="nl-NL"/>
              </w:rPr>
              <w:t>30878</w:t>
            </w:r>
          </w:p>
        </w:tc>
        <w:tc>
          <w:tcPr>
            <w:tcW w:w="0" w:type="auto"/>
          </w:tcPr>
          <w:p w14:paraId="084F2B59" w14:textId="220A1376" w:rsidR="00C0743A" w:rsidRPr="00E5245A" w:rsidRDefault="00C0743A" w:rsidP="000F07B1">
            <w:pPr>
              <w:spacing w:line="240" w:lineRule="auto"/>
              <w:rPr>
                <w:lang w:val="nl-NL" w:eastAsia="nl-NL"/>
              </w:rPr>
            </w:pPr>
            <w:r w:rsidRPr="00E5245A">
              <w:rPr>
                <w:lang w:val="nl-NL" w:eastAsia="nl-NL"/>
              </w:rPr>
              <w:t>123513</w:t>
            </w:r>
          </w:p>
        </w:tc>
        <w:tc>
          <w:tcPr>
            <w:tcW w:w="0" w:type="auto"/>
            <w:noWrap/>
            <w:vAlign w:val="bottom"/>
            <w:hideMark/>
          </w:tcPr>
          <w:p w14:paraId="2313D23E" w14:textId="123B4EEA" w:rsidR="00C12CE0" w:rsidRPr="00CA303A" w:rsidRDefault="00C0743A" w:rsidP="007F2B8A">
            <w:pPr>
              <w:spacing w:line="240" w:lineRule="auto"/>
              <w:rPr>
                <w:lang w:val="nl-NL" w:eastAsia="nl-NL"/>
              </w:rPr>
            </w:pPr>
            <w:r w:rsidRPr="00CA303A">
              <w:rPr>
                <w:lang w:val="nl-NL" w:eastAsia="nl-NL"/>
              </w:rPr>
              <w:t>12245</w:t>
            </w:r>
          </w:p>
        </w:tc>
        <w:tc>
          <w:tcPr>
            <w:tcW w:w="0" w:type="auto"/>
            <w:vAlign w:val="bottom"/>
          </w:tcPr>
          <w:p w14:paraId="4397B9AD" w14:textId="007DCA1B" w:rsidR="00C0743A" w:rsidRPr="001B2434" w:rsidRDefault="00C0743A" w:rsidP="000F07B1">
            <w:pPr>
              <w:spacing w:line="240" w:lineRule="auto"/>
              <w:rPr>
                <w:lang w:val="nl-NL" w:eastAsia="nl-NL"/>
              </w:rPr>
            </w:pPr>
            <w:r w:rsidRPr="001B2434">
              <w:rPr>
                <w:lang w:val="nl-NL" w:eastAsia="nl-NL"/>
              </w:rPr>
              <w:t>111268</w:t>
            </w:r>
          </w:p>
        </w:tc>
      </w:tr>
      <w:tr w:rsidR="00C12CE0" w:rsidRPr="00CA303A" w14:paraId="05EDF381" w14:textId="77777777" w:rsidTr="00403532">
        <w:trPr>
          <w:trHeight w:val="288"/>
        </w:trPr>
        <w:tc>
          <w:tcPr>
            <w:tcW w:w="0" w:type="auto"/>
            <w:noWrap/>
            <w:vAlign w:val="bottom"/>
            <w:hideMark/>
          </w:tcPr>
          <w:p w14:paraId="053B02E4" w14:textId="77777777" w:rsidR="00C12CE0" w:rsidRPr="00F514A5" w:rsidRDefault="00C12CE0" w:rsidP="007F2B8A">
            <w:pPr>
              <w:spacing w:line="240" w:lineRule="auto"/>
              <w:rPr>
                <w:lang w:val="nl-NL" w:eastAsia="nl-NL"/>
              </w:rPr>
            </w:pPr>
            <w:r w:rsidRPr="00F514A5">
              <w:rPr>
                <w:lang w:val="nl-NL" w:eastAsia="nl-NL"/>
              </w:rPr>
              <w:t>2</w:t>
            </w:r>
          </w:p>
        </w:tc>
        <w:tc>
          <w:tcPr>
            <w:tcW w:w="0" w:type="auto"/>
          </w:tcPr>
          <w:p w14:paraId="6B75381B" w14:textId="5BCC272A" w:rsidR="00C0743A" w:rsidRPr="00F514A5" w:rsidRDefault="00C0743A" w:rsidP="000F07B1">
            <w:pPr>
              <w:spacing w:line="240" w:lineRule="auto"/>
              <w:rPr>
                <w:lang w:val="nl-NL" w:eastAsia="nl-NL"/>
              </w:rPr>
            </w:pPr>
            <w:r w:rsidRPr="00F514A5">
              <w:rPr>
                <w:lang w:val="nl-NL" w:eastAsia="nl-NL"/>
              </w:rPr>
              <w:t>11006</w:t>
            </w:r>
          </w:p>
        </w:tc>
        <w:tc>
          <w:tcPr>
            <w:tcW w:w="0" w:type="auto"/>
          </w:tcPr>
          <w:p w14:paraId="08E504ED" w14:textId="58DDFDEF" w:rsidR="00C0743A" w:rsidRPr="00F514A5" w:rsidRDefault="00C0743A" w:rsidP="000F07B1">
            <w:pPr>
              <w:spacing w:line="240" w:lineRule="auto"/>
              <w:rPr>
                <w:lang w:val="nl-NL" w:eastAsia="nl-NL"/>
              </w:rPr>
            </w:pPr>
            <w:r w:rsidRPr="00F514A5">
              <w:rPr>
                <w:lang w:val="nl-NL" w:eastAsia="nl-NL"/>
              </w:rPr>
              <w:t>44024</w:t>
            </w:r>
          </w:p>
        </w:tc>
        <w:tc>
          <w:tcPr>
            <w:tcW w:w="0" w:type="auto"/>
            <w:noWrap/>
            <w:vAlign w:val="bottom"/>
            <w:hideMark/>
          </w:tcPr>
          <w:p w14:paraId="43EA8C64" w14:textId="04609948" w:rsidR="00C12CE0" w:rsidRPr="00F514A5" w:rsidRDefault="00C0743A" w:rsidP="007F2B8A">
            <w:pPr>
              <w:spacing w:line="240" w:lineRule="auto"/>
              <w:rPr>
                <w:b/>
                <w:lang w:val="nl-NL" w:eastAsia="nl-NL"/>
              </w:rPr>
            </w:pPr>
            <w:r w:rsidRPr="00F514A5">
              <w:rPr>
                <w:b/>
                <w:bCs/>
                <w:color w:val="FF0000"/>
                <w:lang w:val="nl-NL" w:eastAsia="nl-NL"/>
              </w:rPr>
              <w:t>1648</w:t>
            </w:r>
          </w:p>
        </w:tc>
        <w:tc>
          <w:tcPr>
            <w:tcW w:w="0" w:type="auto"/>
          </w:tcPr>
          <w:p w14:paraId="7060423B" w14:textId="0B220B7A" w:rsidR="00C0743A" w:rsidRPr="00F514A5" w:rsidRDefault="00C0743A" w:rsidP="000F07B1">
            <w:pPr>
              <w:spacing w:line="240" w:lineRule="auto"/>
              <w:rPr>
                <w:lang w:val="nl-NL" w:eastAsia="nl-NL"/>
              </w:rPr>
            </w:pPr>
            <w:r w:rsidRPr="00F514A5">
              <w:rPr>
                <w:lang w:val="nl-NL" w:eastAsia="nl-NL"/>
              </w:rPr>
              <w:t>42376</w:t>
            </w:r>
          </w:p>
        </w:tc>
      </w:tr>
      <w:tr w:rsidR="00C12CE0" w:rsidRPr="00CA303A" w14:paraId="3DD984DA" w14:textId="77777777" w:rsidTr="00403532">
        <w:trPr>
          <w:trHeight w:val="288"/>
        </w:trPr>
        <w:tc>
          <w:tcPr>
            <w:tcW w:w="0" w:type="auto"/>
            <w:noWrap/>
            <w:vAlign w:val="bottom"/>
            <w:hideMark/>
          </w:tcPr>
          <w:p w14:paraId="57725708" w14:textId="77777777" w:rsidR="00C12CE0" w:rsidRPr="00CA303A" w:rsidRDefault="00C12CE0" w:rsidP="007F2B8A">
            <w:pPr>
              <w:spacing w:line="240" w:lineRule="auto"/>
              <w:rPr>
                <w:lang w:val="nl-NL" w:eastAsia="nl-NL"/>
              </w:rPr>
            </w:pPr>
            <w:r w:rsidRPr="00CA303A">
              <w:rPr>
                <w:lang w:val="nl-NL" w:eastAsia="nl-NL"/>
              </w:rPr>
              <w:t>3</w:t>
            </w:r>
          </w:p>
        </w:tc>
        <w:tc>
          <w:tcPr>
            <w:tcW w:w="0" w:type="auto"/>
          </w:tcPr>
          <w:p w14:paraId="523ED856" w14:textId="5D0FE6A7" w:rsidR="00C0743A" w:rsidRPr="00C0743A" w:rsidRDefault="00C0743A" w:rsidP="000F07B1">
            <w:pPr>
              <w:spacing w:line="240" w:lineRule="auto"/>
              <w:rPr>
                <w:lang w:val="nl-NL" w:eastAsia="nl-NL"/>
              </w:rPr>
            </w:pPr>
            <w:r w:rsidRPr="00C0743A">
              <w:rPr>
                <w:lang w:val="nl-NL" w:eastAsia="nl-NL"/>
              </w:rPr>
              <w:t>2022</w:t>
            </w:r>
            <w:r w:rsidR="00415E16">
              <w:rPr>
                <w:lang w:val="nl-NL" w:eastAsia="nl-NL"/>
              </w:rPr>
              <w:t>5</w:t>
            </w:r>
          </w:p>
        </w:tc>
        <w:tc>
          <w:tcPr>
            <w:tcW w:w="0" w:type="auto"/>
          </w:tcPr>
          <w:p w14:paraId="574ACCB6" w14:textId="3F34C898" w:rsidR="00C0743A" w:rsidRPr="00E5245A" w:rsidRDefault="00C0743A" w:rsidP="000F07B1">
            <w:pPr>
              <w:spacing w:line="240" w:lineRule="auto"/>
              <w:rPr>
                <w:lang w:val="nl-NL" w:eastAsia="nl-NL"/>
              </w:rPr>
            </w:pPr>
            <w:r w:rsidRPr="00E5245A">
              <w:rPr>
                <w:lang w:val="nl-NL" w:eastAsia="nl-NL"/>
              </w:rPr>
              <w:t>80898</w:t>
            </w:r>
          </w:p>
        </w:tc>
        <w:tc>
          <w:tcPr>
            <w:tcW w:w="0" w:type="auto"/>
            <w:noWrap/>
            <w:vAlign w:val="bottom"/>
            <w:hideMark/>
          </w:tcPr>
          <w:p w14:paraId="5881A39F" w14:textId="1BBA5B3C" w:rsidR="00C12CE0" w:rsidRPr="00CA303A" w:rsidRDefault="00C0743A" w:rsidP="007F2B8A">
            <w:pPr>
              <w:spacing w:line="240" w:lineRule="auto"/>
              <w:rPr>
                <w:lang w:val="nl-NL" w:eastAsia="nl-NL"/>
              </w:rPr>
            </w:pPr>
            <w:r w:rsidRPr="00CA303A">
              <w:rPr>
                <w:lang w:val="nl-NL" w:eastAsia="nl-NL"/>
              </w:rPr>
              <w:t>25718</w:t>
            </w:r>
          </w:p>
        </w:tc>
        <w:tc>
          <w:tcPr>
            <w:tcW w:w="0" w:type="auto"/>
          </w:tcPr>
          <w:p w14:paraId="3186EEEE" w14:textId="5282E6FB" w:rsidR="00C0743A" w:rsidRPr="00E36247" w:rsidRDefault="00C0743A" w:rsidP="000F07B1">
            <w:pPr>
              <w:spacing w:line="240" w:lineRule="auto"/>
              <w:rPr>
                <w:lang w:val="nl-NL" w:eastAsia="nl-NL"/>
              </w:rPr>
            </w:pPr>
            <w:r w:rsidRPr="00E36247">
              <w:rPr>
                <w:lang w:val="nl-NL" w:eastAsia="nl-NL"/>
              </w:rPr>
              <w:t>55180</w:t>
            </w:r>
          </w:p>
        </w:tc>
      </w:tr>
    </w:tbl>
    <w:p w14:paraId="200D3BDB" w14:textId="0034F2CF" w:rsidR="002A1E62" w:rsidRDefault="002A1E62" w:rsidP="002A1E62">
      <w:pPr>
        <w:pStyle w:val="Caption"/>
        <w:keepNext/>
        <w:rPr>
          <w:b w:val="0"/>
          <w:bCs w:val="0"/>
        </w:rPr>
      </w:pPr>
      <w:commentRangeStart w:id="39"/>
      <w:r>
        <w:t xml:space="preserve">Table </w:t>
      </w:r>
      <w:r w:rsidR="003461A6">
        <w:t>5</w:t>
      </w:r>
      <w:r>
        <w:t>:</w:t>
      </w:r>
      <w:r w:rsidR="007C304E">
        <w:t xml:space="preserve"> </w:t>
      </w:r>
      <w:commentRangeEnd w:id="39"/>
      <w:r w:rsidR="007B2647">
        <w:rPr>
          <w:rStyle w:val="CommentReference"/>
          <w:sz w:val="18"/>
          <w:szCs w:val="18"/>
        </w:rPr>
        <w:commentReference w:id="39"/>
      </w:r>
      <w:r w:rsidR="00F565F3">
        <w:t>P</w:t>
      </w:r>
      <w:r w:rsidR="000F415E" w:rsidRPr="000F415E">
        <w:t xml:space="preserve">lacebo beta-binomial boundary-permeability models under random side assignment within SESUs. </w:t>
      </w:r>
      <w:r w:rsidR="000F415E" w:rsidRPr="00F565F3">
        <w:rPr>
          <w:b w:val="0"/>
          <w:bCs w:val="0"/>
        </w:rPr>
        <w:t xml:space="preserve">The response is the number of disturbed pixel-years out of pixel-years at risk in each SESU × year × placebo-side stratum. Placebo side was generated by permuting the inside/outside label within each SESU while preserving the observed number of inside pixels per SESU, so the side term represents a null log-odds difference under arbitrary side assignment rather than the National Park boundary contrast. </w:t>
      </w:r>
      <w:r w:rsidR="008660ED">
        <w:rPr>
          <w:b w:val="0"/>
          <w:bCs w:val="0"/>
        </w:rPr>
        <w:t>The governance profiles</w:t>
      </w:r>
      <w:r w:rsidR="000F415E" w:rsidRPr="00F565F3">
        <w:rPr>
          <w:b w:val="0"/>
          <w:bCs w:val="0"/>
        </w:rPr>
        <w:t xml:space="preserve"> quantify how governance intensity shifts this placebo side contrast (entered only as placebo-side interactions). Standard errors, Wald z-statistics, p-values, and 95% Wald confidence intervals are model-based. Models were fit separately for each placebo replicate, and the table reports the corresponding coefficient estimates for comparison against the observed-boundary models.</w:t>
      </w:r>
    </w:p>
    <w:tbl>
      <w:tblPr>
        <w:tblStyle w:val="PlainTable2"/>
        <w:tblW w:w="0" w:type="auto"/>
        <w:tblLook w:val="04A0" w:firstRow="1" w:lastRow="0" w:firstColumn="1" w:lastColumn="0" w:noHBand="0" w:noVBand="1"/>
      </w:tblPr>
      <w:tblGrid>
        <w:gridCol w:w="1531"/>
        <w:gridCol w:w="925"/>
        <w:gridCol w:w="1054"/>
        <w:gridCol w:w="900"/>
        <w:gridCol w:w="810"/>
        <w:gridCol w:w="841"/>
        <w:gridCol w:w="1514"/>
        <w:gridCol w:w="1573"/>
      </w:tblGrid>
      <w:tr w:rsidR="006C2233" w:rsidRPr="007608B9" w14:paraId="22674278" w14:textId="77777777" w:rsidTr="00DB727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69376D20" w14:textId="77777777" w:rsidR="006C2233" w:rsidRPr="007608B9" w:rsidRDefault="006C2233" w:rsidP="00DB7271">
            <w:pPr>
              <w:rPr>
                <w:sz w:val="22"/>
                <w:szCs w:val="20"/>
              </w:rPr>
            </w:pPr>
            <w:r w:rsidRPr="007608B9">
              <w:rPr>
                <w:sz w:val="22"/>
                <w:szCs w:val="20"/>
              </w:rPr>
              <w:t>Disturbance</w:t>
            </w:r>
          </w:p>
        </w:tc>
        <w:tc>
          <w:tcPr>
            <w:tcW w:w="925" w:type="dxa"/>
            <w:hideMark/>
          </w:tcPr>
          <w:p w14:paraId="0E624D27" w14:textId="77777777"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Pr>
                <w:sz w:val="22"/>
                <w:szCs w:val="20"/>
              </w:rPr>
              <w:t>Gov. profile</w:t>
            </w:r>
          </w:p>
        </w:tc>
        <w:tc>
          <w:tcPr>
            <w:tcW w:w="1054" w:type="dxa"/>
            <w:hideMark/>
          </w:tcPr>
          <w:p w14:paraId="6C36938D" w14:textId="77777777"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Estimate (logit)</w:t>
            </w:r>
          </w:p>
        </w:tc>
        <w:tc>
          <w:tcPr>
            <w:tcW w:w="900" w:type="dxa"/>
            <w:hideMark/>
          </w:tcPr>
          <w:p w14:paraId="04C785E2" w14:textId="77777777"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SE (Wald)</w:t>
            </w:r>
          </w:p>
        </w:tc>
        <w:tc>
          <w:tcPr>
            <w:tcW w:w="810" w:type="dxa"/>
            <w:hideMark/>
          </w:tcPr>
          <w:p w14:paraId="7567D3BD" w14:textId="77777777"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z</w:t>
            </w:r>
          </w:p>
        </w:tc>
        <w:tc>
          <w:tcPr>
            <w:tcW w:w="841" w:type="dxa"/>
            <w:hideMark/>
          </w:tcPr>
          <w:p w14:paraId="2B32F30C" w14:textId="77777777"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p</w:t>
            </w:r>
          </w:p>
        </w:tc>
        <w:tc>
          <w:tcPr>
            <w:tcW w:w="1514" w:type="dxa"/>
            <w:hideMark/>
          </w:tcPr>
          <w:p w14:paraId="5CA2D0B9" w14:textId="5DF62D75"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 xml:space="preserve">95% CI </w:t>
            </w:r>
            <w:r w:rsidR="00233C3E">
              <w:rPr>
                <w:sz w:val="22"/>
                <w:szCs w:val="20"/>
              </w:rPr>
              <w:t>lower</w:t>
            </w:r>
          </w:p>
        </w:tc>
        <w:tc>
          <w:tcPr>
            <w:tcW w:w="0" w:type="auto"/>
            <w:hideMark/>
          </w:tcPr>
          <w:p w14:paraId="6D2E4057" w14:textId="0E2E66CC" w:rsidR="006C2233" w:rsidRPr="007608B9" w:rsidRDefault="006C2233" w:rsidP="00DB7271">
            <w:pPr>
              <w:cnfStyle w:val="100000000000" w:firstRow="1" w:lastRow="0" w:firstColumn="0" w:lastColumn="0" w:oddVBand="0" w:evenVBand="0" w:oddHBand="0" w:evenHBand="0" w:firstRowFirstColumn="0" w:firstRowLastColumn="0" w:lastRowFirstColumn="0" w:lastRowLastColumn="0"/>
              <w:rPr>
                <w:sz w:val="22"/>
                <w:szCs w:val="20"/>
              </w:rPr>
            </w:pPr>
            <w:r w:rsidRPr="007608B9">
              <w:rPr>
                <w:sz w:val="22"/>
                <w:szCs w:val="20"/>
              </w:rPr>
              <w:t>95% CI</w:t>
            </w:r>
            <w:r w:rsidR="00233C3E">
              <w:rPr>
                <w:sz w:val="22"/>
                <w:szCs w:val="20"/>
              </w:rPr>
              <w:t xml:space="preserve"> upper</w:t>
            </w:r>
          </w:p>
        </w:tc>
      </w:tr>
      <w:tr w:rsidR="006C2233" w:rsidRPr="007608B9" w14:paraId="132428DE" w14:textId="77777777" w:rsidTr="00DB7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6E6DA89E" w14:textId="77777777" w:rsidR="006C2233" w:rsidRPr="007608B9" w:rsidRDefault="006C2233" w:rsidP="006C2233">
            <w:pPr>
              <w:rPr>
                <w:sz w:val="22"/>
                <w:szCs w:val="20"/>
              </w:rPr>
            </w:pPr>
            <w:r w:rsidRPr="007608B9">
              <w:rPr>
                <w:sz w:val="22"/>
                <w:szCs w:val="20"/>
              </w:rPr>
              <w:t>Fire</w:t>
            </w:r>
          </w:p>
        </w:tc>
        <w:tc>
          <w:tcPr>
            <w:tcW w:w="925" w:type="dxa"/>
            <w:hideMark/>
          </w:tcPr>
          <w:p w14:paraId="7FEAA9FC" w14:textId="77777777" w:rsidR="006C2233" w:rsidRPr="007608B9" w:rsidRDefault="006C2233" w:rsidP="006C2233">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A</w:t>
            </w:r>
          </w:p>
        </w:tc>
        <w:tc>
          <w:tcPr>
            <w:tcW w:w="1054" w:type="dxa"/>
            <w:hideMark/>
          </w:tcPr>
          <w:p w14:paraId="68881AA9" w14:textId="484FA600"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-0.001</w:t>
            </w:r>
          </w:p>
        </w:tc>
        <w:tc>
          <w:tcPr>
            <w:tcW w:w="900" w:type="dxa"/>
            <w:hideMark/>
          </w:tcPr>
          <w:p w14:paraId="4873B7CF" w14:textId="45561294"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0.001</w:t>
            </w:r>
          </w:p>
        </w:tc>
        <w:tc>
          <w:tcPr>
            <w:tcW w:w="810" w:type="dxa"/>
            <w:hideMark/>
          </w:tcPr>
          <w:p w14:paraId="1A5F680D" w14:textId="14B44E40"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-0.378</w:t>
            </w:r>
          </w:p>
        </w:tc>
        <w:tc>
          <w:tcPr>
            <w:tcW w:w="841" w:type="dxa"/>
            <w:hideMark/>
          </w:tcPr>
          <w:p w14:paraId="59278B1F" w14:textId="52CF2C75"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0.706</w:t>
            </w:r>
          </w:p>
        </w:tc>
        <w:tc>
          <w:tcPr>
            <w:tcW w:w="1514" w:type="dxa"/>
            <w:hideMark/>
          </w:tcPr>
          <w:p w14:paraId="5D10FA47" w14:textId="640B9361"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-0.003</w:t>
            </w:r>
          </w:p>
        </w:tc>
        <w:tc>
          <w:tcPr>
            <w:tcW w:w="0" w:type="auto"/>
            <w:hideMark/>
          </w:tcPr>
          <w:p w14:paraId="6F5E63B6" w14:textId="4E46056A"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0.002</w:t>
            </w:r>
          </w:p>
        </w:tc>
      </w:tr>
      <w:tr w:rsidR="006C2233" w:rsidRPr="007608B9" w14:paraId="56BD33D5" w14:textId="77777777" w:rsidTr="00DB7271">
        <w:tc>
          <w:tcPr>
            <w:cnfStyle w:val="001000000000" w:firstRow="0" w:lastRow="0" w:firstColumn="1" w:lastColumn="0" w:oddVBand="0" w:evenVBand="0" w:oddHBand="0" w:evenHBand="0" w:firstRowFirstColumn="0" w:firstRowLastColumn="0" w:lastRowFirstColumn="0" w:lastRowLastColumn="0"/>
            <w:tcW w:w="1531" w:type="dxa"/>
            <w:hideMark/>
          </w:tcPr>
          <w:p w14:paraId="6D4087EA" w14:textId="77777777" w:rsidR="006C2233" w:rsidRPr="007608B9" w:rsidRDefault="006C2233" w:rsidP="006C2233">
            <w:pPr>
              <w:rPr>
                <w:sz w:val="22"/>
                <w:szCs w:val="20"/>
              </w:rPr>
            </w:pPr>
          </w:p>
        </w:tc>
        <w:tc>
          <w:tcPr>
            <w:tcW w:w="925" w:type="dxa"/>
            <w:hideMark/>
          </w:tcPr>
          <w:p w14:paraId="5FAB0FD8" w14:textId="77777777" w:rsidR="006C2233" w:rsidRPr="007608B9" w:rsidRDefault="006C2233" w:rsidP="006C2233">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B</w:t>
            </w:r>
          </w:p>
        </w:tc>
        <w:tc>
          <w:tcPr>
            <w:tcW w:w="1054" w:type="dxa"/>
            <w:hideMark/>
          </w:tcPr>
          <w:p w14:paraId="408BCAC7" w14:textId="43E946BC"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-0.002</w:t>
            </w:r>
          </w:p>
        </w:tc>
        <w:tc>
          <w:tcPr>
            <w:tcW w:w="900" w:type="dxa"/>
            <w:hideMark/>
          </w:tcPr>
          <w:p w14:paraId="4DEF110E" w14:textId="5611E49C"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0.002</w:t>
            </w:r>
          </w:p>
        </w:tc>
        <w:tc>
          <w:tcPr>
            <w:tcW w:w="810" w:type="dxa"/>
            <w:hideMark/>
          </w:tcPr>
          <w:p w14:paraId="676E1AFA" w14:textId="3C991106"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-1.100</w:t>
            </w:r>
          </w:p>
        </w:tc>
        <w:tc>
          <w:tcPr>
            <w:tcW w:w="841" w:type="dxa"/>
            <w:hideMark/>
          </w:tcPr>
          <w:p w14:paraId="060DE14F" w14:textId="3B060FFE"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0.271</w:t>
            </w:r>
          </w:p>
        </w:tc>
        <w:tc>
          <w:tcPr>
            <w:tcW w:w="1514" w:type="dxa"/>
            <w:hideMark/>
          </w:tcPr>
          <w:p w14:paraId="5D894A2C" w14:textId="1B20155E"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-0.006</w:t>
            </w:r>
          </w:p>
        </w:tc>
        <w:tc>
          <w:tcPr>
            <w:tcW w:w="0" w:type="auto"/>
            <w:hideMark/>
          </w:tcPr>
          <w:p w14:paraId="76EF55D8" w14:textId="163EB897"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0.002</w:t>
            </w:r>
          </w:p>
        </w:tc>
      </w:tr>
      <w:tr w:rsidR="006C2233" w:rsidRPr="007608B9" w14:paraId="63B28BB2" w14:textId="77777777" w:rsidTr="00DB7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337A4FAA" w14:textId="77777777" w:rsidR="006C2233" w:rsidRPr="007608B9" w:rsidRDefault="006C2233" w:rsidP="006C2233">
            <w:pPr>
              <w:rPr>
                <w:sz w:val="22"/>
                <w:szCs w:val="20"/>
              </w:rPr>
            </w:pPr>
          </w:p>
        </w:tc>
        <w:tc>
          <w:tcPr>
            <w:tcW w:w="925" w:type="dxa"/>
            <w:hideMark/>
          </w:tcPr>
          <w:p w14:paraId="764F0C10" w14:textId="77777777" w:rsidR="006C2233" w:rsidRPr="007608B9" w:rsidRDefault="006C2233" w:rsidP="006C2233">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C</w:t>
            </w:r>
          </w:p>
        </w:tc>
        <w:tc>
          <w:tcPr>
            <w:tcW w:w="1054" w:type="dxa"/>
            <w:hideMark/>
          </w:tcPr>
          <w:p w14:paraId="518EC3D0" w14:textId="0DEFE9E6"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0.000</w:t>
            </w:r>
          </w:p>
        </w:tc>
        <w:tc>
          <w:tcPr>
            <w:tcW w:w="900" w:type="dxa"/>
            <w:hideMark/>
          </w:tcPr>
          <w:p w14:paraId="6CFAE218" w14:textId="64710381"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0.002</w:t>
            </w:r>
          </w:p>
        </w:tc>
        <w:tc>
          <w:tcPr>
            <w:tcW w:w="810" w:type="dxa"/>
            <w:hideMark/>
          </w:tcPr>
          <w:p w14:paraId="6FC0A342" w14:textId="4A44E685"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-0.143</w:t>
            </w:r>
          </w:p>
        </w:tc>
        <w:tc>
          <w:tcPr>
            <w:tcW w:w="841" w:type="dxa"/>
            <w:hideMark/>
          </w:tcPr>
          <w:p w14:paraId="4C441496" w14:textId="1E88EC10"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0.887</w:t>
            </w:r>
          </w:p>
        </w:tc>
        <w:tc>
          <w:tcPr>
            <w:tcW w:w="1514" w:type="dxa"/>
            <w:hideMark/>
          </w:tcPr>
          <w:p w14:paraId="6AD690D6" w14:textId="449FB1FB"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-0.004</w:t>
            </w:r>
          </w:p>
        </w:tc>
        <w:tc>
          <w:tcPr>
            <w:tcW w:w="0" w:type="auto"/>
            <w:hideMark/>
          </w:tcPr>
          <w:p w14:paraId="447F537C" w14:textId="4DAF07C9"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0.004</w:t>
            </w:r>
          </w:p>
        </w:tc>
      </w:tr>
      <w:tr w:rsidR="006C2233" w:rsidRPr="007608B9" w14:paraId="3E8CABDC" w14:textId="77777777" w:rsidTr="00DB7271">
        <w:tc>
          <w:tcPr>
            <w:cnfStyle w:val="001000000000" w:firstRow="0" w:lastRow="0" w:firstColumn="1" w:lastColumn="0" w:oddVBand="0" w:evenVBand="0" w:oddHBand="0" w:evenHBand="0" w:firstRowFirstColumn="0" w:firstRowLastColumn="0" w:lastRowFirstColumn="0" w:lastRowLastColumn="0"/>
            <w:tcW w:w="1531" w:type="dxa"/>
            <w:hideMark/>
          </w:tcPr>
          <w:p w14:paraId="53A608B9" w14:textId="77777777" w:rsidR="006C2233" w:rsidRPr="007608B9" w:rsidRDefault="006C2233" w:rsidP="006C2233">
            <w:pPr>
              <w:rPr>
                <w:sz w:val="22"/>
                <w:szCs w:val="20"/>
              </w:rPr>
            </w:pPr>
            <w:r w:rsidRPr="007608B9">
              <w:rPr>
                <w:sz w:val="22"/>
                <w:szCs w:val="20"/>
              </w:rPr>
              <w:t>Deforestation</w:t>
            </w:r>
          </w:p>
        </w:tc>
        <w:tc>
          <w:tcPr>
            <w:tcW w:w="925" w:type="dxa"/>
            <w:hideMark/>
          </w:tcPr>
          <w:p w14:paraId="23A991FA" w14:textId="77777777" w:rsidR="006C2233" w:rsidRPr="007608B9" w:rsidRDefault="006C2233" w:rsidP="006C2233">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A</w:t>
            </w:r>
          </w:p>
        </w:tc>
        <w:tc>
          <w:tcPr>
            <w:tcW w:w="1054" w:type="dxa"/>
            <w:hideMark/>
          </w:tcPr>
          <w:p w14:paraId="3B51E575" w14:textId="146040F2"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-0.049</w:t>
            </w:r>
          </w:p>
        </w:tc>
        <w:tc>
          <w:tcPr>
            <w:tcW w:w="900" w:type="dxa"/>
            <w:hideMark/>
          </w:tcPr>
          <w:p w14:paraId="4FDC97D7" w14:textId="0E50B54A"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0.021</w:t>
            </w:r>
          </w:p>
        </w:tc>
        <w:tc>
          <w:tcPr>
            <w:tcW w:w="810" w:type="dxa"/>
            <w:hideMark/>
          </w:tcPr>
          <w:p w14:paraId="5CB9E0E1" w14:textId="59D6AD4A"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-2.292</w:t>
            </w:r>
          </w:p>
        </w:tc>
        <w:tc>
          <w:tcPr>
            <w:tcW w:w="841" w:type="dxa"/>
            <w:hideMark/>
          </w:tcPr>
          <w:p w14:paraId="61F50668" w14:textId="1CC9D879"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0.022</w:t>
            </w:r>
          </w:p>
        </w:tc>
        <w:tc>
          <w:tcPr>
            <w:tcW w:w="1514" w:type="dxa"/>
            <w:hideMark/>
          </w:tcPr>
          <w:p w14:paraId="1003A87D" w14:textId="1B9AF4DF"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-0.090</w:t>
            </w:r>
          </w:p>
        </w:tc>
        <w:tc>
          <w:tcPr>
            <w:tcW w:w="0" w:type="auto"/>
            <w:hideMark/>
          </w:tcPr>
          <w:p w14:paraId="77637BAE" w14:textId="73D6F36C"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-0.007</w:t>
            </w:r>
          </w:p>
        </w:tc>
      </w:tr>
      <w:tr w:rsidR="006C2233" w:rsidRPr="007608B9" w14:paraId="36DD60F4" w14:textId="77777777" w:rsidTr="00DB7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35A9F542" w14:textId="77777777" w:rsidR="006C2233" w:rsidRPr="007608B9" w:rsidRDefault="006C2233" w:rsidP="006C2233">
            <w:pPr>
              <w:rPr>
                <w:sz w:val="22"/>
                <w:szCs w:val="20"/>
              </w:rPr>
            </w:pPr>
          </w:p>
        </w:tc>
        <w:tc>
          <w:tcPr>
            <w:tcW w:w="925" w:type="dxa"/>
            <w:hideMark/>
          </w:tcPr>
          <w:p w14:paraId="5432B2C0" w14:textId="77777777" w:rsidR="006C2233" w:rsidRPr="007608B9" w:rsidRDefault="006C2233" w:rsidP="006C2233">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B</w:t>
            </w:r>
          </w:p>
        </w:tc>
        <w:tc>
          <w:tcPr>
            <w:tcW w:w="1054" w:type="dxa"/>
            <w:hideMark/>
          </w:tcPr>
          <w:p w14:paraId="38005E6B" w14:textId="530368EA"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0.055</w:t>
            </w:r>
          </w:p>
        </w:tc>
        <w:tc>
          <w:tcPr>
            <w:tcW w:w="900" w:type="dxa"/>
            <w:hideMark/>
          </w:tcPr>
          <w:p w14:paraId="01331394" w14:textId="61DFDF57"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0.039</w:t>
            </w:r>
          </w:p>
        </w:tc>
        <w:tc>
          <w:tcPr>
            <w:tcW w:w="810" w:type="dxa"/>
            <w:hideMark/>
          </w:tcPr>
          <w:p w14:paraId="1F82CD0A" w14:textId="4CC013AA"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1.403</w:t>
            </w:r>
          </w:p>
        </w:tc>
        <w:tc>
          <w:tcPr>
            <w:tcW w:w="841" w:type="dxa"/>
            <w:hideMark/>
          </w:tcPr>
          <w:p w14:paraId="7800BBEB" w14:textId="651B3E0E"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0.161</w:t>
            </w:r>
          </w:p>
        </w:tc>
        <w:tc>
          <w:tcPr>
            <w:tcW w:w="1514" w:type="dxa"/>
            <w:hideMark/>
          </w:tcPr>
          <w:p w14:paraId="4F36100F" w14:textId="39E94EF0"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-0.022</w:t>
            </w:r>
          </w:p>
        </w:tc>
        <w:tc>
          <w:tcPr>
            <w:tcW w:w="0" w:type="auto"/>
            <w:hideMark/>
          </w:tcPr>
          <w:p w14:paraId="6812DE0C" w14:textId="22C7F266"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0.131</w:t>
            </w:r>
          </w:p>
        </w:tc>
      </w:tr>
      <w:tr w:rsidR="006C2233" w:rsidRPr="007608B9" w14:paraId="3A16542D" w14:textId="77777777" w:rsidTr="00DB7271">
        <w:tc>
          <w:tcPr>
            <w:cnfStyle w:val="001000000000" w:firstRow="0" w:lastRow="0" w:firstColumn="1" w:lastColumn="0" w:oddVBand="0" w:evenVBand="0" w:oddHBand="0" w:evenHBand="0" w:firstRowFirstColumn="0" w:firstRowLastColumn="0" w:lastRowFirstColumn="0" w:lastRowLastColumn="0"/>
            <w:tcW w:w="1531" w:type="dxa"/>
            <w:hideMark/>
          </w:tcPr>
          <w:p w14:paraId="65DD4E60" w14:textId="77777777" w:rsidR="006C2233" w:rsidRPr="007608B9" w:rsidRDefault="006C2233" w:rsidP="006C2233">
            <w:pPr>
              <w:rPr>
                <w:sz w:val="22"/>
                <w:szCs w:val="20"/>
              </w:rPr>
            </w:pPr>
          </w:p>
        </w:tc>
        <w:tc>
          <w:tcPr>
            <w:tcW w:w="925" w:type="dxa"/>
            <w:hideMark/>
          </w:tcPr>
          <w:p w14:paraId="76149BA1" w14:textId="77777777" w:rsidR="006C2233" w:rsidRPr="007608B9" w:rsidRDefault="006C2233" w:rsidP="006C2233">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C</w:t>
            </w:r>
          </w:p>
        </w:tc>
        <w:tc>
          <w:tcPr>
            <w:tcW w:w="1054" w:type="dxa"/>
            <w:hideMark/>
          </w:tcPr>
          <w:p w14:paraId="0FA358C4" w14:textId="6C4BC462"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0.010</w:t>
            </w:r>
          </w:p>
        </w:tc>
        <w:tc>
          <w:tcPr>
            <w:tcW w:w="900" w:type="dxa"/>
            <w:hideMark/>
          </w:tcPr>
          <w:p w14:paraId="089112A0" w14:textId="412C0131"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0.029</w:t>
            </w:r>
          </w:p>
        </w:tc>
        <w:tc>
          <w:tcPr>
            <w:tcW w:w="810" w:type="dxa"/>
            <w:hideMark/>
          </w:tcPr>
          <w:p w14:paraId="4084392D" w14:textId="54D2005E"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0.346</w:t>
            </w:r>
          </w:p>
        </w:tc>
        <w:tc>
          <w:tcPr>
            <w:tcW w:w="841" w:type="dxa"/>
            <w:hideMark/>
          </w:tcPr>
          <w:p w14:paraId="2B923DE7" w14:textId="154C3A9D"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0.729</w:t>
            </w:r>
          </w:p>
        </w:tc>
        <w:tc>
          <w:tcPr>
            <w:tcW w:w="1514" w:type="dxa"/>
            <w:hideMark/>
          </w:tcPr>
          <w:p w14:paraId="245D967E" w14:textId="19E43858"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-0.047</w:t>
            </w:r>
          </w:p>
        </w:tc>
        <w:tc>
          <w:tcPr>
            <w:tcW w:w="0" w:type="auto"/>
            <w:hideMark/>
          </w:tcPr>
          <w:p w14:paraId="356335DE" w14:textId="659F8BFF"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0.067</w:t>
            </w:r>
          </w:p>
        </w:tc>
      </w:tr>
      <w:tr w:rsidR="006C2233" w:rsidRPr="007608B9" w14:paraId="3DA90939" w14:textId="77777777" w:rsidTr="00DB7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05A8039D" w14:textId="77777777" w:rsidR="006C2233" w:rsidRPr="007608B9" w:rsidRDefault="006C2233" w:rsidP="006C2233">
            <w:pPr>
              <w:rPr>
                <w:sz w:val="22"/>
                <w:szCs w:val="20"/>
              </w:rPr>
            </w:pPr>
            <w:r w:rsidRPr="007608B9">
              <w:rPr>
                <w:sz w:val="22"/>
                <w:szCs w:val="20"/>
              </w:rPr>
              <w:t>Agricultural expansion</w:t>
            </w:r>
          </w:p>
        </w:tc>
        <w:tc>
          <w:tcPr>
            <w:tcW w:w="925" w:type="dxa"/>
            <w:hideMark/>
          </w:tcPr>
          <w:p w14:paraId="199F5988" w14:textId="77777777" w:rsidR="006C2233" w:rsidRPr="007608B9" w:rsidRDefault="006C2233" w:rsidP="006C2233">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A</w:t>
            </w:r>
          </w:p>
        </w:tc>
        <w:tc>
          <w:tcPr>
            <w:tcW w:w="1054" w:type="dxa"/>
            <w:hideMark/>
          </w:tcPr>
          <w:p w14:paraId="113A726D" w14:textId="0308DA49"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-0.070</w:t>
            </w:r>
          </w:p>
        </w:tc>
        <w:tc>
          <w:tcPr>
            <w:tcW w:w="900" w:type="dxa"/>
            <w:hideMark/>
          </w:tcPr>
          <w:p w14:paraId="0A448609" w14:textId="076D1778"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0.050</w:t>
            </w:r>
          </w:p>
        </w:tc>
        <w:tc>
          <w:tcPr>
            <w:tcW w:w="810" w:type="dxa"/>
            <w:hideMark/>
          </w:tcPr>
          <w:p w14:paraId="01D6B0DC" w14:textId="0974F9E1"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-1.408</w:t>
            </w:r>
          </w:p>
        </w:tc>
        <w:tc>
          <w:tcPr>
            <w:tcW w:w="841" w:type="dxa"/>
            <w:hideMark/>
          </w:tcPr>
          <w:p w14:paraId="244B9422" w14:textId="6F38675F"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0.159</w:t>
            </w:r>
          </w:p>
        </w:tc>
        <w:tc>
          <w:tcPr>
            <w:tcW w:w="1514" w:type="dxa"/>
            <w:hideMark/>
          </w:tcPr>
          <w:p w14:paraId="027E9647" w14:textId="2696B452"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-0.168</w:t>
            </w:r>
          </w:p>
        </w:tc>
        <w:tc>
          <w:tcPr>
            <w:tcW w:w="0" w:type="auto"/>
            <w:hideMark/>
          </w:tcPr>
          <w:p w14:paraId="4D57D591" w14:textId="05ADCB55"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0.028</w:t>
            </w:r>
          </w:p>
        </w:tc>
      </w:tr>
      <w:tr w:rsidR="006C2233" w:rsidRPr="007608B9" w14:paraId="3D4CFAD6" w14:textId="77777777" w:rsidTr="00DB7271">
        <w:tc>
          <w:tcPr>
            <w:cnfStyle w:val="001000000000" w:firstRow="0" w:lastRow="0" w:firstColumn="1" w:lastColumn="0" w:oddVBand="0" w:evenVBand="0" w:oddHBand="0" w:evenHBand="0" w:firstRowFirstColumn="0" w:firstRowLastColumn="0" w:lastRowFirstColumn="0" w:lastRowLastColumn="0"/>
            <w:tcW w:w="1531" w:type="dxa"/>
            <w:hideMark/>
          </w:tcPr>
          <w:p w14:paraId="18D3AF9E" w14:textId="77777777" w:rsidR="006C2233" w:rsidRPr="007608B9" w:rsidRDefault="006C2233" w:rsidP="006C2233">
            <w:pPr>
              <w:rPr>
                <w:sz w:val="22"/>
                <w:szCs w:val="20"/>
              </w:rPr>
            </w:pPr>
          </w:p>
        </w:tc>
        <w:tc>
          <w:tcPr>
            <w:tcW w:w="925" w:type="dxa"/>
            <w:hideMark/>
          </w:tcPr>
          <w:p w14:paraId="0C05070F" w14:textId="77777777" w:rsidR="006C2233" w:rsidRPr="007608B9" w:rsidRDefault="006C2233" w:rsidP="006C2233">
            <w:pPr>
              <w:cnfStyle w:val="000000000000" w:firstRow="0" w:lastRow="0" w:firstColumn="0" w:lastColumn="0" w:oddVBand="0" w:evenVBand="0" w:oddHBand="0" w:evenHBand="0" w:firstRowFirstColumn="0" w:firstRowLastColumn="0" w:lastRowFirstColumn="0" w:lastRowLastColumn="0"/>
              <w:rPr>
                <w:sz w:val="22"/>
                <w:szCs w:val="20"/>
              </w:rPr>
            </w:pPr>
            <w:r w:rsidRPr="007608B9">
              <w:rPr>
                <w:sz w:val="22"/>
                <w:szCs w:val="20"/>
              </w:rPr>
              <w:t>B</w:t>
            </w:r>
          </w:p>
        </w:tc>
        <w:tc>
          <w:tcPr>
            <w:tcW w:w="1054" w:type="dxa"/>
            <w:hideMark/>
          </w:tcPr>
          <w:p w14:paraId="37EC88F1" w14:textId="4FEFA1BA"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0.100</w:t>
            </w:r>
          </w:p>
        </w:tc>
        <w:tc>
          <w:tcPr>
            <w:tcW w:w="900" w:type="dxa"/>
            <w:hideMark/>
          </w:tcPr>
          <w:p w14:paraId="084E4BC3" w14:textId="50070FD3"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0.060</w:t>
            </w:r>
          </w:p>
        </w:tc>
        <w:tc>
          <w:tcPr>
            <w:tcW w:w="810" w:type="dxa"/>
            <w:hideMark/>
          </w:tcPr>
          <w:p w14:paraId="3EBD32E2" w14:textId="52899D5D"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1.671</w:t>
            </w:r>
          </w:p>
        </w:tc>
        <w:tc>
          <w:tcPr>
            <w:tcW w:w="841" w:type="dxa"/>
            <w:hideMark/>
          </w:tcPr>
          <w:p w14:paraId="7B55E708" w14:textId="7A6B561C"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0.095</w:t>
            </w:r>
          </w:p>
        </w:tc>
        <w:tc>
          <w:tcPr>
            <w:tcW w:w="1514" w:type="dxa"/>
            <w:hideMark/>
          </w:tcPr>
          <w:p w14:paraId="298D236E" w14:textId="753FB13A"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-0.017</w:t>
            </w:r>
          </w:p>
        </w:tc>
        <w:tc>
          <w:tcPr>
            <w:tcW w:w="0" w:type="auto"/>
            <w:hideMark/>
          </w:tcPr>
          <w:p w14:paraId="269500D0" w14:textId="49E2C3BC" w:rsidR="006C2233" w:rsidRPr="00233C3E" w:rsidRDefault="006C2233" w:rsidP="006C2233">
            <w:pPr>
              <w:cnfStyle w:val="000000000000" w:firstRow="0" w:lastRow="0" w:firstColumn="0" w:lastColumn="0" w:oddVBand="0" w:evenVBand="0" w:oddHBand="0" w:evenHBand="0" w:firstRowFirstColumn="0" w:firstRowLastColumn="0" w:lastRowFirstColumn="0" w:lastRowLastColumn="0"/>
              <w:rPr>
                <w:sz w:val="22"/>
              </w:rPr>
            </w:pPr>
            <w:r w:rsidRPr="00233C3E">
              <w:rPr>
                <w:sz w:val="22"/>
              </w:rPr>
              <w:t>0.217</w:t>
            </w:r>
          </w:p>
        </w:tc>
      </w:tr>
      <w:tr w:rsidR="006C2233" w:rsidRPr="007608B9" w14:paraId="4F8C80F0" w14:textId="77777777" w:rsidTr="00DB727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31" w:type="dxa"/>
            <w:hideMark/>
          </w:tcPr>
          <w:p w14:paraId="4D3FC453" w14:textId="77777777" w:rsidR="006C2233" w:rsidRPr="007608B9" w:rsidRDefault="006C2233" w:rsidP="006C2233">
            <w:pPr>
              <w:rPr>
                <w:sz w:val="22"/>
                <w:szCs w:val="20"/>
              </w:rPr>
            </w:pPr>
          </w:p>
        </w:tc>
        <w:tc>
          <w:tcPr>
            <w:tcW w:w="925" w:type="dxa"/>
            <w:hideMark/>
          </w:tcPr>
          <w:p w14:paraId="225B832A" w14:textId="77777777" w:rsidR="006C2233" w:rsidRPr="007608B9" w:rsidRDefault="006C2233" w:rsidP="006C2233">
            <w:pPr>
              <w:cnfStyle w:val="000000100000" w:firstRow="0" w:lastRow="0" w:firstColumn="0" w:lastColumn="0" w:oddVBand="0" w:evenVBand="0" w:oddHBand="1" w:evenHBand="0" w:firstRowFirstColumn="0" w:firstRowLastColumn="0" w:lastRowFirstColumn="0" w:lastRowLastColumn="0"/>
              <w:rPr>
                <w:sz w:val="22"/>
                <w:szCs w:val="20"/>
              </w:rPr>
            </w:pPr>
            <w:r w:rsidRPr="007608B9">
              <w:rPr>
                <w:sz w:val="22"/>
                <w:szCs w:val="20"/>
              </w:rPr>
              <w:t>C</w:t>
            </w:r>
          </w:p>
        </w:tc>
        <w:tc>
          <w:tcPr>
            <w:tcW w:w="1054" w:type="dxa"/>
            <w:hideMark/>
          </w:tcPr>
          <w:p w14:paraId="2BC3A206" w14:textId="02A51A8F"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0.045</w:t>
            </w:r>
          </w:p>
        </w:tc>
        <w:tc>
          <w:tcPr>
            <w:tcW w:w="900" w:type="dxa"/>
            <w:hideMark/>
          </w:tcPr>
          <w:p w14:paraId="0B2B89C3" w14:textId="626565FC"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0.058</w:t>
            </w:r>
          </w:p>
        </w:tc>
        <w:tc>
          <w:tcPr>
            <w:tcW w:w="810" w:type="dxa"/>
            <w:hideMark/>
          </w:tcPr>
          <w:p w14:paraId="2050BF8E" w14:textId="7C2DC537"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0.773</w:t>
            </w:r>
          </w:p>
        </w:tc>
        <w:tc>
          <w:tcPr>
            <w:tcW w:w="841" w:type="dxa"/>
            <w:hideMark/>
          </w:tcPr>
          <w:p w14:paraId="54D16986" w14:textId="5CE1C118"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0.440</w:t>
            </w:r>
          </w:p>
        </w:tc>
        <w:tc>
          <w:tcPr>
            <w:tcW w:w="1514" w:type="dxa"/>
            <w:hideMark/>
          </w:tcPr>
          <w:p w14:paraId="00CA29B4" w14:textId="78F683DC"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-0.069</w:t>
            </w:r>
          </w:p>
        </w:tc>
        <w:tc>
          <w:tcPr>
            <w:tcW w:w="0" w:type="auto"/>
            <w:hideMark/>
          </w:tcPr>
          <w:p w14:paraId="66AE80B5" w14:textId="010F84DD" w:rsidR="006C2233" w:rsidRPr="00233C3E" w:rsidRDefault="006C2233" w:rsidP="006C2233">
            <w:pPr>
              <w:cnfStyle w:val="000000100000" w:firstRow="0" w:lastRow="0" w:firstColumn="0" w:lastColumn="0" w:oddVBand="0" w:evenVBand="0" w:oddHBand="1" w:evenHBand="0" w:firstRowFirstColumn="0" w:firstRowLastColumn="0" w:lastRowFirstColumn="0" w:lastRowLastColumn="0"/>
              <w:rPr>
                <w:sz w:val="22"/>
              </w:rPr>
            </w:pPr>
            <w:r w:rsidRPr="00233C3E">
              <w:rPr>
                <w:sz w:val="22"/>
              </w:rPr>
              <w:t>0.160</w:t>
            </w:r>
          </w:p>
        </w:tc>
      </w:tr>
    </w:tbl>
    <w:p w14:paraId="053C6A0F" w14:textId="716656B1" w:rsidR="008541E2" w:rsidRDefault="006B7673" w:rsidP="00324513">
      <w:pPr>
        <w:pStyle w:val="Heading2"/>
      </w:pPr>
      <w:r>
        <w:lastRenderedPageBreak/>
        <w:t xml:space="preserve">6.2. </w:t>
      </w:r>
      <w:commentRangeStart w:id="40"/>
      <w:r w:rsidR="008541E2">
        <w:t>Governance data</w:t>
      </w:r>
      <w:commentRangeEnd w:id="40"/>
      <w:r w:rsidR="001A26ED">
        <w:rPr>
          <w:rStyle w:val="CommentReference"/>
          <w:sz w:val="32"/>
          <w:szCs w:val="32"/>
        </w:rPr>
        <w:commentReference w:id="40"/>
      </w:r>
    </w:p>
    <w:p w14:paraId="5CC2102F" w14:textId="3F9C947F" w:rsidR="00672CF1" w:rsidRDefault="00ED35AD" w:rsidP="00701977">
      <w:r>
        <w:t xml:space="preserve">In </w:t>
      </w:r>
      <w:r w:rsidR="00D71597">
        <w:t>this section we</w:t>
      </w:r>
      <w:r w:rsidR="00ED17DB" w:rsidRPr="00ED17DB">
        <w:t xml:space="preserve"> document </w:t>
      </w:r>
      <w:r>
        <w:t xml:space="preserve">the </w:t>
      </w:r>
      <w:r w:rsidR="00ED17DB" w:rsidRPr="00ED17DB">
        <w:t xml:space="preserve">construction of the governance </w:t>
      </w:r>
      <w:r w:rsidR="004A025F">
        <w:t>profiles</w:t>
      </w:r>
      <w:r w:rsidR="00ED17DB" w:rsidRPr="00ED17DB">
        <w:t xml:space="preserve"> used in the main analyses.</w:t>
      </w:r>
      <w:r w:rsidR="00D71597">
        <w:t xml:space="preserve"> </w:t>
      </w:r>
      <w:r w:rsidR="00170E5D">
        <w:t>Governance profile</w:t>
      </w:r>
      <w:r w:rsidR="00D0787E" w:rsidRPr="00D0787E">
        <w:t xml:space="preserve"> assignments were made by triangulating across archival and technical reports, park and NGO documentation, humanitarian reporting, and journalistic coverage</w:t>
      </w:r>
      <w:r w:rsidR="00CE4B6A" w:rsidRPr="00CE4B6A">
        <w:t xml:space="preserve">. </w:t>
      </w:r>
      <w:r w:rsidR="0016252E" w:rsidRPr="0016252E">
        <w:t>Greater weight was given to dated primary or technical sources directly attributable to the relevant SESU-year or transition</w:t>
      </w:r>
      <w:r w:rsidR="00CE4B6A" w:rsidRPr="00CE4B6A">
        <w:t>.</w:t>
      </w:r>
      <w:r w:rsidR="00C81C7C">
        <w:t xml:space="preserve"> </w:t>
      </w:r>
      <w:r w:rsidR="00153709">
        <w:t>We assigned r</w:t>
      </w:r>
      <w:r w:rsidR="0064084C" w:rsidRPr="008B0713">
        <w:t>ecurrent episodes with the same operative configuration</w:t>
      </w:r>
      <w:r w:rsidR="005832B9">
        <w:t xml:space="preserve"> </w:t>
      </w:r>
      <w:r w:rsidR="0064084C" w:rsidRPr="008B0713">
        <w:t xml:space="preserve">to the same </w:t>
      </w:r>
      <w:r w:rsidR="00170E5D">
        <w:t>governance profile</w:t>
      </w:r>
      <w:r w:rsidR="0064084C" w:rsidRPr="008B0713">
        <w:t xml:space="preserve"> even when they are temporally discontinuous.</w:t>
      </w:r>
      <w:r w:rsidR="007C1D85">
        <w:t xml:space="preserve"> SESU1 corresponds to the Kamalondo Depression, including the localities of Mabwe, Mbwe, Malemba-Nkulu, Bukama, Luena and Katala. SESU3 designates the plateaus, including Mitwaba and Lusinga on the Kibara Plateau (</w:t>
      </w:r>
      <w:r w:rsidR="000D14BA">
        <w:rPr>
          <w:b/>
          <w:bCs/>
        </w:rPr>
        <w:t>Fig. 2</w:t>
      </w:r>
      <w:r w:rsidR="007C1D85">
        <w:t>).</w:t>
      </w:r>
    </w:p>
    <w:p w14:paraId="6983BA3C" w14:textId="0E46BFEE" w:rsidR="00FF4A3F" w:rsidRDefault="00FF4A3F" w:rsidP="006D1B0C">
      <w:pPr>
        <w:pStyle w:val="Heading4"/>
      </w:pPr>
      <w:commentRangeStart w:id="41"/>
      <w:r w:rsidRPr="003D1AAA">
        <w:t>200</w:t>
      </w:r>
      <w:r w:rsidR="00D019D3">
        <w:t>1</w:t>
      </w:r>
      <w:r w:rsidRPr="003D1AAA">
        <w:t>-2003 - Second Congo War</w:t>
      </w:r>
      <w:commentRangeEnd w:id="41"/>
      <w:r w:rsidR="00F16EA3">
        <w:rPr>
          <w:rStyle w:val="CommentReference"/>
          <w:sz w:val="24"/>
          <w:szCs w:val="22"/>
        </w:rPr>
        <w:commentReference w:id="41"/>
      </w:r>
    </w:p>
    <w:p w14:paraId="7D8C807C" w14:textId="3E21AC43" w:rsidR="00FF4A3F" w:rsidRPr="00EA2EAE" w:rsidRDefault="00FF4A3F" w:rsidP="00FF4A3F">
      <w:commentRangeStart w:id="42"/>
      <w:r w:rsidRPr="00EA2EAE">
        <w:t xml:space="preserve">Between February 2000 and October 2002, UN forces were deployed in </w:t>
      </w:r>
      <w:r>
        <w:t xml:space="preserve">the Upemba </w:t>
      </w:r>
      <w:r w:rsidR="00CA24CB">
        <w:t>landscape</w:t>
      </w:r>
      <w:r w:rsidRPr="00EA2EAE">
        <w:t xml:space="preserve"> to support government efforts to </w:t>
      </w:r>
      <w:r w:rsidR="003977E4">
        <w:t>regain</w:t>
      </w:r>
      <w:r w:rsidRPr="00EA2EAE">
        <w:t xml:space="preserve"> territorial control. The mission ended </w:t>
      </w:r>
      <w:r>
        <w:t>following</w:t>
      </w:r>
      <w:r w:rsidRPr="00EA2EAE">
        <w:t xml:space="preserve"> the Sun City agreements signed in February 2002 (Hasson 2015). Following the withdrawal, </w:t>
      </w:r>
      <w:r>
        <w:t>FAP</w:t>
      </w:r>
      <w:r w:rsidR="00CA24CB">
        <w:t xml:space="preserve"> groups</w:t>
      </w:r>
      <w:r>
        <w:t xml:space="preserve"> (Forces d’Autodéfense Populaire), </w:t>
      </w:r>
      <w:r w:rsidR="00CA24CB">
        <w:t>civilians that were armed by the president</w:t>
      </w:r>
      <w:r>
        <w:t>,</w:t>
      </w:r>
      <w:r w:rsidRPr="00EA2EAE">
        <w:t xml:space="preserve"> were effectively abandoned, subsequently initiating an insurgency against the Congolese government from 2003</w:t>
      </w:r>
      <w:r>
        <w:t xml:space="preserve"> and becoming the “Mai-Mai militia”</w:t>
      </w:r>
      <w:r w:rsidRPr="00EA2EAE">
        <w:t xml:space="preserve">. These armed actors are reported </w:t>
      </w:r>
      <w:r w:rsidR="00910CCC">
        <w:t>using</w:t>
      </w:r>
      <w:r w:rsidRPr="00EA2EAE">
        <w:t xml:space="preserve"> Upemba </w:t>
      </w:r>
      <w:r w:rsidR="00910CCC">
        <w:t>as refuge</w:t>
      </w:r>
      <w:r w:rsidR="00F86A40">
        <w:t xml:space="preserve"> from 2002</w:t>
      </w:r>
      <w:r w:rsidRPr="00EA2EAE">
        <w:t xml:space="preserve">, where they engaged in poaching (Hasson </w:t>
      </w:r>
      <w:r w:rsidR="00F86A40">
        <w:t xml:space="preserve">2003; </w:t>
      </w:r>
      <w:r w:rsidRPr="00EA2EAE">
        <w:t>Hasson 2015).</w:t>
      </w:r>
      <w:commentRangeEnd w:id="42"/>
      <w:r w:rsidR="00C12166" w:rsidRPr="00EA2EAE">
        <w:rPr>
          <w:rStyle w:val="CommentReference"/>
          <w:sz w:val="24"/>
          <w:szCs w:val="22"/>
        </w:rPr>
        <w:commentReference w:id="42"/>
      </w:r>
    </w:p>
    <w:p w14:paraId="122A1C72" w14:textId="456B3994" w:rsidR="00FF4A3F" w:rsidRDefault="00FF4A3F" w:rsidP="00FF4A3F">
      <w:r w:rsidRPr="00EA2EAE">
        <w:t xml:space="preserve">Emergency relief and follow-up provisioning in the early 2000s are documented as enabling a partial resumption of patrol activity </w:t>
      </w:r>
      <w:r w:rsidR="00D948E9">
        <w:t>on the plateau</w:t>
      </w:r>
      <w:r w:rsidRPr="00EA2EAE">
        <w:t xml:space="preserve"> after the late-1990s collapse (Hasson 2003; Van Leeuwe et al. 2009). The evidence base treats these inputs as modest but sustained operational support rather than a single </w:t>
      </w:r>
      <w:r w:rsidR="00B01620">
        <w:t>episode</w:t>
      </w:r>
      <w:r w:rsidR="00E12923">
        <w:t xml:space="preserve"> </w:t>
      </w:r>
      <w:r w:rsidRPr="00EA2EAE">
        <w:t>(Hasson 2003; Nouvelles Approches 2002</w:t>
      </w:r>
      <w:r w:rsidR="00507DA5">
        <w:t>-</w:t>
      </w:r>
      <w:r w:rsidRPr="00EA2EAE">
        <w:t>2004; Van Leeuwe et al. 2009). ICCN leadership during the period is described as relying substantially on negotiation and ongoing contact with armed actors, rather than coercive capacity (Van Leeuwe et al. 2009)</w:t>
      </w:r>
      <w:r>
        <w:t>.</w:t>
      </w:r>
    </w:p>
    <w:p w14:paraId="7491FD94" w14:textId="5CBBFD01" w:rsidR="00FF4A3F" w:rsidRPr="00EA2EAE" w:rsidRDefault="00BC7F5A" w:rsidP="00FF4A3F">
      <w:pPr>
        <w:spacing w:after="160" w:line="278" w:lineRule="auto"/>
      </w:pPr>
      <w:r>
        <w:t xml:space="preserve">The NGO </w:t>
      </w:r>
      <w:r w:rsidR="00FF4A3F" w:rsidRPr="00EA2EAE">
        <w:t xml:space="preserve">OKA Kanyundu is documented as brokering governance arrangements involving customary authorities and ICCN, </w:t>
      </w:r>
      <w:r w:rsidR="00FF4A3F" w:rsidRPr="00C93CBE">
        <w:t>including a table ronde with chiefs</w:t>
      </w:r>
      <w:r w:rsidR="00FF4A3F" w:rsidRPr="00EA2EAE">
        <w:t xml:space="preserve"> (November 2003) and a subsequent OKA</w:t>
      </w:r>
      <w:r w:rsidR="00507DA5">
        <w:t>-</w:t>
      </w:r>
      <w:r w:rsidR="00FF4A3F" w:rsidRPr="00EA2EAE">
        <w:t>ICCN protocol (November 2008) addressing anti-poaching measures and artisanal mining</w:t>
      </w:r>
      <w:r w:rsidR="00FF4A3F">
        <w:t xml:space="preserve"> </w:t>
      </w:r>
      <w:r w:rsidR="00BE3A8B">
        <w:t>in SESU1</w:t>
      </w:r>
      <w:r w:rsidR="00FF4A3F" w:rsidRPr="00EA2EAE">
        <w:t xml:space="preserve"> (OKA Kanyundu 2018).</w:t>
      </w:r>
    </w:p>
    <w:p w14:paraId="1FBA1180" w14:textId="1E4FE422" w:rsidR="00FF4A3F" w:rsidRPr="00324513" w:rsidRDefault="00FF4A3F" w:rsidP="006D1B0C">
      <w:pPr>
        <w:pStyle w:val="Heading4"/>
        <w:rPr>
          <w:rStyle w:val="Heading2Char"/>
          <w:rFonts w:ascii="Times New Roman" w:hAnsi="Times New Roman"/>
          <w:sz w:val="28"/>
          <w:szCs w:val="28"/>
        </w:rPr>
      </w:pPr>
      <w:r w:rsidRPr="00324513">
        <w:rPr>
          <w:rStyle w:val="Heading2Char"/>
          <w:rFonts w:ascii="Times New Roman" w:hAnsi="Times New Roman"/>
          <w:sz w:val="28"/>
          <w:szCs w:val="28"/>
        </w:rPr>
        <w:t>2004-2006 - Triangle of Death</w:t>
      </w:r>
    </w:p>
    <w:p w14:paraId="403E235B" w14:textId="3DE78B3F" w:rsidR="00FF4A3F" w:rsidRDefault="00FF4A3F" w:rsidP="00FF4A3F">
      <w:r w:rsidRPr="003E5DDE">
        <w:t>On 28 May 2004, Lusinga station (Upemba’s headquarters) was attacked</w:t>
      </w:r>
      <w:r w:rsidR="00F0029F">
        <w:t xml:space="preserve"> by Mai</w:t>
      </w:r>
      <w:r w:rsidR="00601707">
        <w:t>-</w:t>
      </w:r>
      <w:r w:rsidR="00F0029F">
        <w:t>Mai</w:t>
      </w:r>
      <w:r w:rsidRPr="003E5DDE">
        <w:t xml:space="preserve">, resulting in five reported deaths and triggering a retreat of ICCN/park presence from the Kamalondo Depression. </w:t>
      </w:r>
      <w:r w:rsidR="00F666A6">
        <w:t>I</w:t>
      </w:r>
      <w:r w:rsidRPr="003E5DDE">
        <w:t>nfrastructure destruction, staff deaths, and the flight of staff families are reported to have precipitated a collapse of routine enforcement presence and a marked deterioration of institutional credibility (Hasson 2016; Nouvelles Approches 2002</w:t>
      </w:r>
      <w:r w:rsidR="00507DA5">
        <w:t>-</w:t>
      </w:r>
      <w:r w:rsidRPr="003E5DDE">
        <w:t>2004; Van Leeuwe et al. 2009).</w:t>
      </w:r>
    </w:p>
    <w:p w14:paraId="2ADF3B51" w14:textId="493970DC" w:rsidR="00FF4A3F" w:rsidRPr="003E5DDE" w:rsidRDefault="00FF4A3F" w:rsidP="00FF4A3F">
      <w:pPr>
        <w:spacing w:after="160" w:line="278" w:lineRule="auto"/>
      </w:pPr>
      <w:r w:rsidRPr="003E5DDE">
        <w:lastRenderedPageBreak/>
        <w:t xml:space="preserve">Following the lethal attack, the Congolese government </w:t>
      </w:r>
      <w:r w:rsidR="00662CA8">
        <w:t>d</w:t>
      </w:r>
      <w:r w:rsidRPr="003E5DDE">
        <w:t>eployed a</w:t>
      </w:r>
      <w:r w:rsidR="00236F1F">
        <w:t xml:space="preserve"> FARDC (Congolese </w:t>
      </w:r>
      <w:r w:rsidR="00662CA8">
        <w:t>army</w:t>
      </w:r>
      <w:r w:rsidR="00236F1F">
        <w:t>)</w:t>
      </w:r>
      <w:r w:rsidR="00662CA8">
        <w:t xml:space="preserve"> </w:t>
      </w:r>
      <w:r w:rsidRPr="003E5DDE">
        <w:t>detachment to Lusinga, described as roughly 85</w:t>
      </w:r>
      <w:r w:rsidR="00601707">
        <w:t>-</w:t>
      </w:r>
      <w:r w:rsidRPr="003E5DDE">
        <w:t xml:space="preserve">100 soldiers, for approximately 24 months (Van Leeuwe et al. 2009; Hasson 2016). </w:t>
      </w:r>
      <w:r w:rsidR="00F414BF">
        <w:t xml:space="preserve">The deployment </w:t>
      </w:r>
      <w:r w:rsidR="000D5F79">
        <w:t>caused</w:t>
      </w:r>
      <w:r w:rsidRPr="003E5DDE">
        <w:t xml:space="preserve"> heavy poaching and associated predation dynamics involving soldiers, which would have further undermined ranger operational capacity, and constrained any reassertion of lawful authority (Hasson 2016; Van Leeuwe et al. 2009).</w:t>
      </w:r>
    </w:p>
    <w:p w14:paraId="50F3636C" w14:textId="5094CEDA" w:rsidR="00FF4A3F" w:rsidRPr="003E5DDE" w:rsidRDefault="00FF4A3F" w:rsidP="00FF4A3F">
      <w:pPr>
        <w:spacing w:after="160" w:line="278" w:lineRule="auto"/>
      </w:pPr>
      <w:r w:rsidRPr="003E5DDE">
        <w:t xml:space="preserve">In parallel, the period is described as coinciding with peak Mai-Mai strength in the Mitwaba zone (sometimes framed </w:t>
      </w:r>
      <w:r w:rsidRPr="00CA09D0">
        <w:t xml:space="preserve">as the </w:t>
      </w:r>
      <w:r w:rsidR="001C3ECF">
        <w:t>“</w:t>
      </w:r>
      <w:r w:rsidRPr="00CA09D0">
        <w:t xml:space="preserve">Triangle </w:t>
      </w:r>
      <w:r w:rsidR="001C3ECF">
        <w:t>of death”</w:t>
      </w:r>
      <w:r w:rsidRPr="00CA09D0">
        <w:t>), with</w:t>
      </w:r>
      <w:r w:rsidRPr="003E5DDE">
        <w:t xml:space="preserve"> extensive displacement and mass village exodus.</w:t>
      </w:r>
      <w:r w:rsidR="00223679">
        <w:t xml:space="preserve"> </w:t>
      </w:r>
      <w:r w:rsidR="00223679" w:rsidRPr="00223679">
        <w:t>Hecht (2006) describes the Mitwaba</w:t>
      </w:r>
      <w:r w:rsidR="00507DA5">
        <w:t>-</w:t>
      </w:r>
      <w:r w:rsidR="00223679" w:rsidRPr="00223679">
        <w:t>Pweto</w:t>
      </w:r>
      <w:r w:rsidR="00507DA5">
        <w:t>-</w:t>
      </w:r>
      <w:r w:rsidR="00223679" w:rsidRPr="00223679">
        <w:t>Manono triangle as an active conflict zone in which FARDC operations against Mai-Mai forces generated extensive civilian displacement, repeated village looting and burning, and weakly consolidated government control. The same account documents the spread of violence westward toward Lake Upemba</w:t>
      </w:r>
      <w:r w:rsidR="004E3917">
        <w:t xml:space="preserve"> (SESU</w:t>
      </w:r>
      <w:r w:rsidR="00E04C18">
        <w:t>1</w:t>
      </w:r>
      <w:r w:rsidR="002216A9">
        <w:t>)</w:t>
      </w:r>
      <w:r w:rsidR="00223679" w:rsidRPr="00223679">
        <w:t>, including mass displacement into marsh and island refuges, Mai-Mai crossings of the lake, and attacks on settlements</w:t>
      </w:r>
      <w:r w:rsidR="002216A9">
        <w:t xml:space="preserve"> along the shore. </w:t>
      </w:r>
      <w:r w:rsidRPr="003E5DDE">
        <w:t>A further reported consequence is the loss of functional access along the</w:t>
      </w:r>
      <w:r w:rsidR="00926439">
        <w:t xml:space="preserve"> park’s main </w:t>
      </w:r>
      <w:r w:rsidR="00E34210">
        <w:t>supply</w:t>
      </w:r>
      <w:r w:rsidRPr="003E5DDE">
        <w:t xml:space="preserve"> axis, limiting ranger movement and resupply into the </w:t>
      </w:r>
      <w:r w:rsidR="00F72683">
        <w:t>park</w:t>
      </w:r>
      <w:r w:rsidR="00FE4178">
        <w:t xml:space="preserve"> (Hasson, 2015)</w:t>
      </w:r>
      <w:r w:rsidRPr="003E5DDE">
        <w:t>.</w:t>
      </w:r>
    </w:p>
    <w:p w14:paraId="243A0DA3" w14:textId="155CDEB7" w:rsidR="00FF4A3F" w:rsidRPr="003E5DDE" w:rsidRDefault="00FF4A3F" w:rsidP="00FF4A3F">
      <w:pPr>
        <w:spacing w:after="160" w:line="278" w:lineRule="auto"/>
      </w:pPr>
      <w:r w:rsidRPr="003E5DDE">
        <w:t>The end of the FARDC posting is contemporaneous with reporting that Mai-Mai elements “finally surrendered” to MONUC in Mitwaba (Van Leeuwe et al. 2009).</w:t>
      </w:r>
      <w:r w:rsidR="00C90211">
        <w:t xml:space="preserve"> </w:t>
      </w:r>
      <w:r w:rsidRPr="003E5DDE">
        <w:t>2006 is marked by</w:t>
      </w:r>
      <w:r w:rsidR="00C90211">
        <w:t xml:space="preserve"> the region’s principal warlord</w:t>
      </w:r>
      <w:r w:rsidRPr="003E5DDE">
        <w:t xml:space="preserve"> Gédéon’s surrender to MONUC at Mitwaba and an extreme degradation of the settlement landscape</w:t>
      </w:r>
      <w:r w:rsidR="00CA09D0">
        <w:t xml:space="preserve">, </w:t>
      </w:r>
      <w:r w:rsidRPr="003E5DDE">
        <w:t>described as the absence of intact villages between Mitwaba and Kiubo and the desertion of Mabwe.</w:t>
      </w:r>
    </w:p>
    <w:p w14:paraId="7E628100" w14:textId="10C6A913" w:rsidR="00FF4A3F" w:rsidRDefault="00FF4A3F" w:rsidP="006D1B0C">
      <w:pPr>
        <w:pStyle w:val="Heading4"/>
      </w:pPr>
      <w:r w:rsidRPr="003D1AAA">
        <w:t>2007-2010</w:t>
      </w:r>
      <w:r w:rsidRPr="003D1AAA">
        <w:rPr>
          <w:rFonts w:eastAsia="Times New Roman" w:cs="Times New Roman"/>
          <w:lang w:eastAsia="nl-NL"/>
        </w:rPr>
        <w:t xml:space="preserve"> </w:t>
      </w:r>
      <w:r w:rsidRPr="003D1AAA">
        <w:t>- Road to international part</w:t>
      </w:r>
      <w:commentRangeStart w:id="43"/>
      <w:r w:rsidRPr="003D1AAA">
        <w:t>nerships</w:t>
      </w:r>
      <w:commentRangeEnd w:id="43"/>
      <w:r w:rsidR="00B62404">
        <w:rPr>
          <w:rStyle w:val="CommentReference"/>
          <w:sz w:val="24"/>
          <w:szCs w:val="22"/>
        </w:rPr>
        <w:commentReference w:id="43"/>
      </w:r>
    </w:p>
    <w:p w14:paraId="23FBC8AD" w14:textId="10ED86AD" w:rsidR="00FF4A3F" w:rsidRPr="00E972C8" w:rsidRDefault="00FF4A3F" w:rsidP="00FF4A3F">
      <w:pPr>
        <w:spacing w:after="160" w:line="278" w:lineRule="auto"/>
      </w:pPr>
      <w:r w:rsidRPr="00E972C8">
        <w:t xml:space="preserve">In 2007, </w:t>
      </w:r>
      <w:r w:rsidR="00FC4FC2">
        <w:t xml:space="preserve">the NGO </w:t>
      </w:r>
      <w:r w:rsidRPr="00E972C8">
        <w:t>BAK</w:t>
      </w:r>
      <w:r w:rsidR="00FC4FC2">
        <w:t xml:space="preserve"> (Biodiversité au Katanga)</w:t>
      </w:r>
      <w:r w:rsidRPr="00E972C8">
        <w:t xml:space="preserve"> initiated lobbying for European Union funding for Upemba </w:t>
      </w:r>
      <w:r>
        <w:t>National Park</w:t>
      </w:r>
      <w:r w:rsidRPr="00E972C8">
        <w:t>, with a formal BAK</w:t>
      </w:r>
      <w:r w:rsidR="00507DA5">
        <w:t>-</w:t>
      </w:r>
      <w:r w:rsidRPr="00E972C8">
        <w:t xml:space="preserve">ICCN contract signed in April 2008. This period also saw renewed external technical presence, including FZS </w:t>
      </w:r>
      <w:r w:rsidR="0098603D">
        <w:t>(Frankfort Zoological Society)</w:t>
      </w:r>
      <w:r w:rsidRPr="00E972C8">
        <w:t xml:space="preserve"> scouting activities in 2008 and a WCS </w:t>
      </w:r>
      <w:r w:rsidR="0098603D">
        <w:t>(World Conservation Society)</w:t>
      </w:r>
      <w:r w:rsidRPr="00E972C8">
        <w:t xml:space="preserve"> survey in 2008. </w:t>
      </w:r>
      <w:r w:rsidR="009A3CE8">
        <w:t xml:space="preserve">These </w:t>
      </w:r>
      <w:r w:rsidRPr="00E972C8">
        <w:t xml:space="preserve">engagements </w:t>
      </w:r>
      <w:r w:rsidR="009A3CE8">
        <w:t xml:space="preserve">produce </w:t>
      </w:r>
      <w:r w:rsidRPr="00E972C8">
        <w:t>reports of “catastrophic” governance conditions and allegations of rent-seeking practices by ICCN officials</w:t>
      </w:r>
      <w:r w:rsidR="007D60A9">
        <w:t xml:space="preserve">, such as the sale of hunting permits </w:t>
      </w:r>
      <w:r w:rsidRPr="00E972C8">
        <w:t>(Van Leeuwe et al. 2009).</w:t>
      </w:r>
    </w:p>
    <w:p w14:paraId="0D4E4913" w14:textId="543698DC" w:rsidR="00FF4A3F" w:rsidRPr="00E972C8" w:rsidRDefault="0030584F" w:rsidP="00FF4A3F">
      <w:pPr>
        <w:spacing w:after="160" w:line="278" w:lineRule="auto"/>
      </w:pPr>
      <w:r>
        <w:t>An</w:t>
      </w:r>
      <w:r w:rsidR="00FF4A3F" w:rsidRPr="00E972C8">
        <w:t xml:space="preserve"> IPIS map dated August 2007 identifies principal Mai-Mai concentrations inside the </w:t>
      </w:r>
      <w:r w:rsidR="00FF4A3F">
        <w:t>National Park</w:t>
      </w:r>
      <w:r w:rsidR="00FF4A3F" w:rsidRPr="00E972C8">
        <w:t xml:space="preserve"> and in the south and northeast of Mitwaba, and logs incidents in both Mitwaba and Malemba-Nkulu </w:t>
      </w:r>
      <w:r w:rsidR="00867A64">
        <w:t xml:space="preserve">territories (both SESUs; </w:t>
      </w:r>
      <w:r w:rsidR="00FF4A3F" w:rsidRPr="00E972C8">
        <w:t>IPIS 2007). By 2008, Van Leeuwe et al. report that “only 200</w:t>
      </w:r>
      <w:r w:rsidR="00507DA5">
        <w:t>-</w:t>
      </w:r>
      <w:r w:rsidR="00FF4A3F" w:rsidRPr="00E972C8">
        <w:t>300 Mai-Mai remain in the park,” describing the residual group as based in Mbwe along the Lufira River. In the same account, ICCN is reported to maintain contact with this group, which is characterized as “quiet,” consistent with a governance strategy centered on communication and negotiated coexistence rather than coercive displacement (Van Leeuwe et al. 2009).</w:t>
      </w:r>
    </w:p>
    <w:p w14:paraId="775DBFF2" w14:textId="1C0A309B" w:rsidR="00FF4A3F" w:rsidRDefault="00FF4A3F" w:rsidP="006D1B0C">
      <w:pPr>
        <w:pStyle w:val="Heading4"/>
      </w:pPr>
      <w:r w:rsidRPr="003D1AAA">
        <w:lastRenderedPageBreak/>
        <w:t>2011-201</w:t>
      </w:r>
      <w:r w:rsidR="00A425A3">
        <w:t>3</w:t>
      </w:r>
      <w:r w:rsidR="00915E2E">
        <w:t xml:space="preserve"> </w:t>
      </w:r>
      <w:r w:rsidR="00507DA5">
        <w:t>-</w:t>
      </w:r>
      <w:r w:rsidR="00915E2E">
        <w:t xml:space="preserve"> Frankfort Zoological Society </w:t>
      </w:r>
    </w:p>
    <w:p w14:paraId="62999F3F" w14:textId="10E95275" w:rsidR="00FF4A3F" w:rsidRDefault="00FF4A3F" w:rsidP="00FF4A3F">
      <w:r w:rsidRPr="00A12E80">
        <w:t>January 2011</w:t>
      </w:r>
      <w:r w:rsidR="00507DA5">
        <w:t>-</w:t>
      </w:r>
      <w:r w:rsidRPr="00A12E80">
        <w:t xml:space="preserve">August 2013 </w:t>
      </w:r>
      <w:r>
        <w:t xml:space="preserve">was </w:t>
      </w:r>
      <w:r w:rsidRPr="00A12E80">
        <w:t xml:space="preserve">a phase of donor-supported engagement under </w:t>
      </w:r>
      <w:r w:rsidR="00CE5445">
        <w:t>F</w:t>
      </w:r>
      <w:r w:rsidR="00251DF8">
        <w:t>rancfort Zoological Society (FZS)</w:t>
      </w:r>
      <w:r w:rsidRPr="00A12E80">
        <w:t>, with investments in Lusinga infrastructure, ranger capacity, and management systems</w:t>
      </w:r>
      <w:r w:rsidR="00CC1D10">
        <w:t>, but almost exclusively focused</w:t>
      </w:r>
      <w:r w:rsidRPr="00A12E80">
        <w:t xml:space="preserve"> on the </w:t>
      </w:r>
      <w:r w:rsidR="00CC1D10">
        <w:t>Kibara and Manika Plateaus (SESU3)</w:t>
      </w:r>
      <w:r w:rsidR="00DD16F8">
        <w:t xml:space="preserve">. </w:t>
      </w:r>
      <w:r w:rsidR="00CC1D10">
        <w:t>I</w:t>
      </w:r>
      <w:r w:rsidRPr="00A12E80">
        <w:t>nsecurity persisted despite the programme, including Mai-Mai raid</w:t>
      </w:r>
      <w:r w:rsidR="00126EEC">
        <w:t>s</w:t>
      </w:r>
      <w:r w:rsidRPr="00A12E80">
        <w:t xml:space="preserve"> on the Lusinga headquarters in July </w:t>
      </w:r>
      <w:r w:rsidR="00126EEC">
        <w:t xml:space="preserve">and October </w:t>
      </w:r>
      <w:r w:rsidRPr="00A12E80">
        <w:t xml:space="preserve">2012 involving theft of equipment, </w:t>
      </w:r>
      <w:r w:rsidR="00126EEC">
        <w:t>but no</w:t>
      </w:r>
      <w:r w:rsidRPr="00A12E80">
        <w:t xml:space="preserve"> fatalities</w:t>
      </w:r>
      <w:r w:rsidR="00126EEC">
        <w:t xml:space="preserve"> (Hasson 2015). Hence,</w:t>
      </w:r>
      <w:r w:rsidRPr="00A12E80">
        <w:t xml:space="preserve"> material and managerial reinforcement did not translate into credible deterrence or secure control of key nodes (Mongabay 26 Jul 2012; 19 Sep 2012; Hance 2012a; 2012b). A further governance constraint is indicated by a January 2012 information report alleging that ICCN agents around Lusinga facilitated internal poaching and professional poachers, while linking insecurity at patrol posts to wider dynamics of ammunition circulation and disguised armed actors (Aerden 2012). </w:t>
      </w:r>
      <w:r w:rsidR="00E1679F">
        <w:t>Partly salary payment resumption from 2012 likely</w:t>
      </w:r>
      <w:r w:rsidRPr="00A12E80">
        <w:t xml:space="preserve"> improved discipline and reduced ranger</w:t>
      </w:r>
      <w:r w:rsidR="00601707">
        <w:t>-</w:t>
      </w:r>
      <w:r w:rsidRPr="00A12E80">
        <w:t>facilitated poaching</w:t>
      </w:r>
      <w:r w:rsidR="00516C06">
        <w:t xml:space="preserve"> </w:t>
      </w:r>
      <w:r w:rsidRPr="00A12E80">
        <w:t>(Hance 2012b). Gédéon’s reported prison escape in September 2011 (</w:t>
      </w:r>
      <w:r>
        <w:t>Hasson, 2015</w:t>
      </w:r>
      <w:r w:rsidRPr="00A12E80">
        <w:t>) and</w:t>
      </w:r>
      <w:r w:rsidR="00411867">
        <w:t xml:space="preserve"> </w:t>
      </w:r>
      <w:r w:rsidRPr="00A12E80">
        <w:t>the</w:t>
      </w:r>
      <w:r w:rsidR="00411867">
        <w:t xml:space="preserve"> murder of</w:t>
      </w:r>
      <w:r w:rsidRPr="00A12E80">
        <w:t xml:space="preserve"> Upemba</w:t>
      </w:r>
      <w:r w:rsidR="00AA3A67">
        <w:t>’s</w:t>
      </w:r>
      <w:r w:rsidRPr="00A12E80">
        <w:t xml:space="preserve"> park </w:t>
      </w:r>
      <w:r w:rsidR="00AA3A67">
        <w:t xml:space="preserve">manager in </w:t>
      </w:r>
      <w:r w:rsidRPr="00A12E80">
        <w:t xml:space="preserve">December 2012 </w:t>
      </w:r>
      <w:r w:rsidR="00AA3A67">
        <w:t xml:space="preserve">mark a </w:t>
      </w:r>
      <w:r w:rsidR="00516C06">
        <w:t xml:space="preserve">new </w:t>
      </w:r>
      <w:r w:rsidR="00AA3A67">
        <w:t xml:space="preserve">degradation of the security situation </w:t>
      </w:r>
      <w:r w:rsidRPr="00A12E80">
        <w:t>(Radio Okapi, 18/12/2012).</w:t>
      </w:r>
    </w:p>
    <w:p w14:paraId="3A7F294D" w14:textId="4CC11C5C" w:rsidR="00FF4A3F" w:rsidRDefault="00FF4A3F" w:rsidP="006D1B0C">
      <w:pPr>
        <w:pStyle w:val="Heading4"/>
      </w:pPr>
      <w:r w:rsidRPr="003D1AAA">
        <w:t>201</w:t>
      </w:r>
      <w:r w:rsidR="0035589F">
        <w:t>4</w:t>
      </w:r>
      <w:r w:rsidRPr="003D1AAA">
        <w:t>-2015 - Triangle of Death 2</w:t>
      </w:r>
    </w:p>
    <w:p w14:paraId="3B603AA7" w14:textId="6EA1C6B0" w:rsidR="00FF4A3F" w:rsidRPr="002C3DD4" w:rsidRDefault="00FF4A3F" w:rsidP="00FF4A3F">
      <w:pPr>
        <w:spacing w:after="160" w:line="278" w:lineRule="auto"/>
      </w:pPr>
      <w:r w:rsidRPr="002C3DD4">
        <w:t>OCHA</w:t>
      </w:r>
      <w:r w:rsidR="00444599">
        <w:t xml:space="preserve"> (</w:t>
      </w:r>
      <w:r w:rsidR="00444599" w:rsidRPr="00444599">
        <w:t>United Nations Office for the Coordination of Humanitarian Affair</w:t>
      </w:r>
      <w:r w:rsidR="00444599">
        <w:t>s)</w:t>
      </w:r>
      <w:r w:rsidRPr="002C3DD4">
        <w:t xml:space="preserve"> reporting frames a second phase of insecurity</w:t>
      </w:r>
      <w:r w:rsidR="004C339E">
        <w:t xml:space="preserve">, </w:t>
      </w:r>
      <w:r w:rsidRPr="002C3DD4">
        <w:t>less intense than the earlier mid-2000s rupture</w:t>
      </w:r>
      <w:r w:rsidR="001D7047">
        <w:t xml:space="preserve">, </w:t>
      </w:r>
      <w:r w:rsidRPr="002C3DD4">
        <w:t xml:space="preserve">emerging after Gédéon’s September 2011 prison escape, followed by remobilisation and recruitment; violence </w:t>
      </w:r>
      <w:r w:rsidR="00672870">
        <w:t>was</w:t>
      </w:r>
      <w:r w:rsidRPr="002C3DD4">
        <w:t xml:space="preserve"> described as concentrated in the Manono</w:t>
      </w:r>
      <w:r w:rsidR="00507DA5">
        <w:t>-</w:t>
      </w:r>
      <w:r w:rsidRPr="002C3DD4">
        <w:t>Mitwaba</w:t>
      </w:r>
      <w:r w:rsidR="00507DA5">
        <w:t>-</w:t>
      </w:r>
      <w:r w:rsidRPr="002C3DD4">
        <w:t xml:space="preserve">Pweto “triangle of death” (SESU3), with spillovers toward SESU1, producing large-scale displacement and persistent protection failures. </w:t>
      </w:r>
      <w:r w:rsidR="00BA06EF">
        <w:t>Reports document</w:t>
      </w:r>
      <w:r w:rsidRPr="002C3DD4">
        <w:t xml:space="preserve"> &gt;1,000 houses burned in 70 villages between October 2013 and mid-January 2014 across </w:t>
      </w:r>
      <w:r w:rsidR="001D7861">
        <w:t>the area</w:t>
      </w:r>
      <w:r w:rsidRPr="002C3DD4">
        <w:t xml:space="preserve"> (OCHA, 10 Apr 2013; OCHA, 30 May 2014; Asmani 2015).</w:t>
      </w:r>
    </w:p>
    <w:p w14:paraId="75B6DDAD" w14:textId="58837040" w:rsidR="00FF4A3F" w:rsidRPr="002C3DD4" w:rsidRDefault="00FF4A3F" w:rsidP="00FF4A3F">
      <w:pPr>
        <w:spacing w:after="160" w:line="278" w:lineRule="auto"/>
      </w:pPr>
      <w:r w:rsidRPr="002C3DD4">
        <w:t xml:space="preserve">Radio Okapi reports the surrender in August 2012 of twelve militiamen in Mitwaba described as coming from Upemba. MONUSCO reports the separation of 82 children from </w:t>
      </w:r>
      <w:r w:rsidR="00BE09A7">
        <w:t>Mai-Mai</w:t>
      </w:r>
      <w:r w:rsidRPr="002C3DD4">
        <w:t xml:space="preserve"> in August 2013. Radio Okapi also links the Mbwe corridor</w:t>
      </w:r>
      <w:r w:rsidR="00BE09A7">
        <w:t xml:space="preserve"> inside Upemba</w:t>
      </w:r>
      <w:r w:rsidRPr="002C3DD4">
        <w:t xml:space="preserve"> to </w:t>
      </w:r>
      <w:r w:rsidR="00BE09A7">
        <w:t>Mai-Mai</w:t>
      </w:r>
      <w:r w:rsidRPr="002C3DD4">
        <w:t xml:space="preserve"> territorial and extractive control, describing it in April 2013 as a former stronghold associated with artisanal gold exploitation and poaching, and noting recent FARDC operations that had re-entered or “liberated” the zone (Radio Okapi, 05/08/2012; MONUSCO 2013; Radio Okapi, 22/04/2013).</w:t>
      </w:r>
    </w:p>
    <w:p w14:paraId="03631ADB" w14:textId="5AE86E34" w:rsidR="00FF4A3F" w:rsidRPr="002C3DD4" w:rsidRDefault="00FF4A3F" w:rsidP="00FF4A3F">
      <w:pPr>
        <w:spacing w:after="160" w:line="278" w:lineRule="auto"/>
      </w:pPr>
      <w:r w:rsidRPr="002C3DD4">
        <w:t xml:space="preserve">By 2014, public reporting </w:t>
      </w:r>
      <w:r w:rsidR="00172D0A">
        <w:t>documents</w:t>
      </w:r>
      <w:r w:rsidRPr="002C3DD4">
        <w:t xml:space="preserve"> a </w:t>
      </w:r>
      <w:r w:rsidR="00172D0A">
        <w:t>tense situation</w:t>
      </w:r>
      <w:r w:rsidRPr="002C3DD4">
        <w:t xml:space="preserve"> around park positions in </w:t>
      </w:r>
      <w:r w:rsidR="00E145BE">
        <w:t>SESU3 and</w:t>
      </w:r>
      <w:r w:rsidRPr="002C3DD4">
        <w:t xml:space="preserve"> a contraction of ICCN spatial reach. Radio Okapi reports repeated attacks attributed to Mai-Mai involving ambushes, hostage-taking, and theft of firearms, and describes the burning </w:t>
      </w:r>
      <w:r w:rsidR="00AF298B">
        <w:t>of a patrol post close to Lusinga</w:t>
      </w:r>
      <w:r w:rsidRPr="002C3DD4">
        <w:t xml:space="preserve">, followed by abandonment of guard posts and the retreat of guards and families to Lusinga; the same reporting notes the deployment of a FARDC company to Lusinga to secure the park following repeated attacks on posts. Separately, Radio Okapi reports a FARDC offensive dislodging </w:t>
      </w:r>
      <w:r w:rsidR="00436353">
        <w:t>Mai-Mai</w:t>
      </w:r>
      <w:r w:rsidRPr="002C3DD4">
        <w:t xml:space="preserve"> elements from Musumari after a</w:t>
      </w:r>
      <w:r w:rsidR="007A3BB1">
        <w:t xml:space="preserve"> shoot-out</w:t>
      </w:r>
      <w:r w:rsidRPr="002C3DD4">
        <w:t>. In March 2014, Radio Okapi relays ICCN claims that former inhabitants of Mbwe</w:t>
      </w:r>
      <w:r w:rsidR="007A3BB1">
        <w:t xml:space="preserve">, </w:t>
      </w:r>
      <w:r w:rsidRPr="002C3DD4">
        <w:t xml:space="preserve">whose village had been </w:t>
      </w:r>
      <w:r w:rsidRPr="002C3DD4">
        <w:lastRenderedPageBreak/>
        <w:t>razed by FARDC in 2012 on suspicion of Mai-Mai links</w:t>
      </w:r>
      <w:r w:rsidR="007A3BB1">
        <w:t xml:space="preserve">, </w:t>
      </w:r>
      <w:r w:rsidRPr="002C3DD4">
        <w:t xml:space="preserve">had resettled along the Munte River </w:t>
      </w:r>
      <w:r w:rsidR="004346C7">
        <w:t>in SESU3</w:t>
      </w:r>
      <w:r w:rsidRPr="002C3DD4">
        <w:t xml:space="preserve"> and were hunting in a fauna-rich zone described as escaping managerial control</w:t>
      </w:r>
      <w:r w:rsidR="00903C76">
        <w:t xml:space="preserve"> (</w:t>
      </w:r>
      <w:r w:rsidR="00903C76" w:rsidRPr="002C3DD4">
        <w:t>Radio Okapi, 14/03/2014</w:t>
      </w:r>
      <w:r w:rsidR="00903C76">
        <w:t>).</w:t>
      </w:r>
      <w:r w:rsidRPr="002C3DD4">
        <w:t xml:space="preserve"> Interview-based chronology subsequently indicates declining Mai-Mai activity from 2015 (Radio Okapi, 04/11/2014; Radio Okapi, 05/11/2014; Radio Okapi, 12/11/2014; Huisman 2017).</w:t>
      </w:r>
    </w:p>
    <w:p w14:paraId="0C09F158" w14:textId="531837C3" w:rsidR="00FF4A3F" w:rsidRDefault="00FF4A3F" w:rsidP="006D1B0C">
      <w:pPr>
        <w:pStyle w:val="Heading4"/>
      </w:pPr>
      <w:r w:rsidRPr="003D1AAA">
        <w:t xml:space="preserve">2016-2023 </w:t>
      </w:r>
      <w:r w:rsidR="00507DA5">
        <w:t>-</w:t>
      </w:r>
      <w:r w:rsidRPr="003D1AAA">
        <w:t xml:space="preserve"> P</w:t>
      </w:r>
      <w:r w:rsidR="0019595F">
        <w:t>ublic-private partnership</w:t>
      </w:r>
    </w:p>
    <w:p w14:paraId="747C6FC4" w14:textId="4D343216" w:rsidR="00FF4A3F" w:rsidRPr="00451621" w:rsidRDefault="00FF4A3F" w:rsidP="00FF4A3F">
      <w:pPr>
        <w:spacing w:after="160" w:line="278" w:lineRule="auto"/>
      </w:pPr>
      <w:r w:rsidRPr="00451621">
        <w:t>Gédéon is surrender</w:t>
      </w:r>
      <w:r w:rsidR="00944362">
        <w:t>ing</w:t>
      </w:r>
      <w:r w:rsidRPr="00451621">
        <w:t xml:space="preserve"> again in October 2016. </w:t>
      </w:r>
      <w:r w:rsidR="006B5CED">
        <w:t>Rodrigue Katembo</w:t>
      </w:r>
      <w:r w:rsidR="006B5CED" w:rsidRPr="00451621">
        <w:t xml:space="preserve"> is reported to have arrived from Virunga, and financing arrangements involving IUCN NL</w:t>
      </w:r>
      <w:r w:rsidR="008864C3">
        <w:t xml:space="preserve"> (International Union for the Conservation of Nature, Netherlands)</w:t>
      </w:r>
      <w:r w:rsidR="006B5CED" w:rsidRPr="00451621">
        <w:t xml:space="preserve"> and partners are documented as facilitating targeted elephant</w:t>
      </w:r>
      <w:r w:rsidR="00601707">
        <w:t>-</w:t>
      </w:r>
      <w:r w:rsidR="006B5CED" w:rsidRPr="00451621">
        <w:t xml:space="preserve">protection operations (Katembo 2016; 2017). </w:t>
      </w:r>
      <w:r w:rsidR="000B67D3">
        <w:t xml:space="preserve">For the first </w:t>
      </w:r>
      <w:r w:rsidR="00C23523">
        <w:t>time in year</w:t>
      </w:r>
      <w:r w:rsidR="00E62C05">
        <w:t>s</w:t>
      </w:r>
      <w:r w:rsidR="00C23523">
        <w:t xml:space="preserve">, </w:t>
      </w:r>
      <w:r w:rsidR="00835B4F">
        <w:t>systematic patrols cover portions</w:t>
      </w:r>
      <w:r w:rsidRPr="00451621">
        <w:t xml:space="preserve"> of </w:t>
      </w:r>
      <w:r w:rsidR="00835B4F">
        <w:t xml:space="preserve">the </w:t>
      </w:r>
      <w:r w:rsidRPr="00451621">
        <w:t>park</w:t>
      </w:r>
      <w:r w:rsidR="00835B4F">
        <w:t xml:space="preserve"> beyond </w:t>
      </w:r>
      <w:r w:rsidR="009D7774">
        <w:t>the plateau, and extending into SESU1</w:t>
      </w:r>
      <w:r w:rsidR="00EF4C5B">
        <w:t xml:space="preserve">. </w:t>
      </w:r>
      <w:r w:rsidR="006B5CED">
        <w:t>A</w:t>
      </w:r>
      <w:r w:rsidRPr="00451621">
        <w:t xml:space="preserve"> late-2016 operation reportedly deployed 60 rangers </w:t>
      </w:r>
      <w:r w:rsidR="004F42E5">
        <w:t xml:space="preserve">and produced </w:t>
      </w:r>
      <w:r w:rsidRPr="00451621">
        <w:t>arrests and seizures</w:t>
      </w:r>
      <w:r w:rsidR="007C3E0B">
        <w:t xml:space="preserve"> </w:t>
      </w:r>
      <w:r w:rsidRPr="00451621">
        <w:t xml:space="preserve">(Katembo 2016). A follow-up operation in early 2017 deployed 40 guards </w:t>
      </w:r>
      <w:r w:rsidR="00261B1C">
        <w:t>but reported</w:t>
      </w:r>
      <w:r w:rsidRPr="00451621">
        <w:t xml:space="preserve"> operational interference by provincial authorities/police (Katembo 2017).</w:t>
      </w:r>
    </w:p>
    <w:p w14:paraId="59B1DEAA" w14:textId="2690CEC4" w:rsidR="006E1206" w:rsidRDefault="00FF4A3F" w:rsidP="00FF4A3F">
      <w:pPr>
        <w:spacing w:after="160" w:line="278" w:lineRule="auto"/>
      </w:pPr>
      <w:r w:rsidRPr="00451621">
        <w:t>From 2017 onward, sources describe a step-change in governance authority via a public</w:t>
      </w:r>
      <w:r w:rsidR="00507DA5">
        <w:t>-</w:t>
      </w:r>
      <w:r w:rsidRPr="00451621">
        <w:t>private partnership (PPP) in which ICCN delegates management responsibility to the Forgotten Parks Foundation (FPF) (Brugièr</w:t>
      </w:r>
      <w:r w:rsidR="00B20D64">
        <w:t>e, 2020</w:t>
      </w:r>
      <w:r w:rsidRPr="00451621">
        <w:t>).</w:t>
      </w:r>
      <w:r w:rsidR="00B22D1B">
        <w:t xml:space="preserve"> </w:t>
      </w:r>
      <w:r w:rsidRPr="00451621">
        <w:t xml:space="preserve">Capacity-building is documented through completion of a three-month ranger training programme, with a first cohort of 50 reportedly certified in December 2019 (Villaespesa 2020). </w:t>
      </w:r>
      <w:r w:rsidR="00605CDD">
        <w:t>The</w:t>
      </w:r>
      <w:r w:rsidRPr="00451621">
        <w:t xml:space="preserve"> arrest of Rombeau (Rombo) Lunda Ngandu</w:t>
      </w:r>
      <w:r w:rsidR="00CD5FC1">
        <w:t xml:space="preserve"> improves the elephant poaching situation. Rombo is</w:t>
      </w:r>
      <w:r w:rsidR="00726819">
        <w:t xml:space="preserve"> </w:t>
      </w:r>
      <w:r w:rsidRPr="00451621">
        <w:t>described as linked to the royal family of the Kinkonja chiefdom and alleged leader of elephant-poaching networks active during 2009</w:t>
      </w:r>
      <w:r w:rsidR="00507DA5">
        <w:t>-</w:t>
      </w:r>
      <w:r w:rsidRPr="00451621">
        <w:t>2017</w:t>
      </w:r>
      <w:r w:rsidR="0005450A">
        <w:t xml:space="preserve">. He is </w:t>
      </w:r>
      <w:r w:rsidRPr="00451621">
        <w:t>convict</w:t>
      </w:r>
      <w:r w:rsidR="0005450A">
        <w:t>ed</w:t>
      </w:r>
      <w:r w:rsidRPr="00451621">
        <w:t xml:space="preserve"> by the Kamina military tribunal in February 2021 (Elephant Crisis Fund, 25 Jan 2018; IUCN NL, 31 May 2021).</w:t>
      </w:r>
    </w:p>
    <w:p w14:paraId="69214770" w14:textId="5948C0DD" w:rsidR="00FF4A3F" w:rsidRPr="00451621" w:rsidRDefault="00312DB6" w:rsidP="00FF4A3F">
      <w:pPr>
        <w:spacing w:after="160" w:line="278" w:lineRule="auto"/>
      </w:pPr>
      <w:r>
        <w:t xml:space="preserve">Despite these efforts, </w:t>
      </w:r>
      <w:r w:rsidR="00E62C05">
        <w:t>insecurity</w:t>
      </w:r>
      <w:r>
        <w:t xml:space="preserve"> persists:</w:t>
      </w:r>
      <w:r w:rsidR="006E1206">
        <w:t xml:space="preserve"> Sources</w:t>
      </w:r>
      <w:r w:rsidR="00FF4A3F" w:rsidRPr="00451621">
        <w:t xml:space="preserve"> report an attack on 30 November 2021 in which one </w:t>
      </w:r>
      <w:r w:rsidR="00783AAC">
        <w:t>ranger</w:t>
      </w:r>
      <w:r w:rsidR="00FF4A3F" w:rsidRPr="00451621">
        <w:t xml:space="preserve"> was killed and three injured, and early February 2022 reporting describes </w:t>
      </w:r>
      <w:r w:rsidR="00212A6F">
        <w:t>Mai-Mai</w:t>
      </w:r>
      <w:r w:rsidR="00FF4A3F" w:rsidRPr="00451621">
        <w:t xml:space="preserve"> activity aimed at taking control of Mitwaba alongside FARDC disarmament actions over 1</w:t>
      </w:r>
      <w:r w:rsidR="00507DA5">
        <w:t>-</w:t>
      </w:r>
      <w:r w:rsidR="00FF4A3F" w:rsidRPr="00451621">
        <w:t xml:space="preserve">2 February 2022 (MONUSCO 2022a; 2022b). </w:t>
      </w:r>
      <w:r w:rsidR="00245B96">
        <w:t xml:space="preserve">Incidents involving the </w:t>
      </w:r>
      <w:r w:rsidR="006B2825">
        <w:t>death of park staff continue</w:t>
      </w:r>
      <w:r w:rsidR="00212E45">
        <w:t xml:space="preserve"> beyond</w:t>
      </w:r>
      <w:r w:rsidR="006B2825">
        <w:t xml:space="preserve"> 2022</w:t>
      </w:r>
      <w:r w:rsidR="00645979">
        <w:t xml:space="preserve"> </w:t>
      </w:r>
      <w:r w:rsidR="00FF4A3F" w:rsidRPr="00451621">
        <w:t xml:space="preserve">(Upemba </w:t>
      </w:r>
      <w:r w:rsidR="00FF4A3F">
        <w:t>National Park</w:t>
      </w:r>
      <w:r w:rsidR="00FF4A3F" w:rsidRPr="00451621">
        <w:t xml:space="preserve"> 2024; Cunningham 2024; Livingstone 2024).</w:t>
      </w:r>
    </w:p>
    <w:p w14:paraId="3CBE8BDF" w14:textId="77777777" w:rsidR="00FF4A3F" w:rsidRPr="00A01BD7" w:rsidRDefault="00FF4A3F" w:rsidP="00BD5C04">
      <w:pPr>
        <w:pStyle w:val="Heading3"/>
        <w:rPr>
          <w:lang w:eastAsia="nl-NL"/>
        </w:rPr>
      </w:pPr>
      <w:r w:rsidRPr="00A01BD7">
        <w:rPr>
          <w:lang w:eastAsia="nl-NL"/>
        </w:rPr>
        <w:t>Literature</w:t>
      </w:r>
    </w:p>
    <w:p w14:paraId="0B2FD4B4" w14:textId="77777777" w:rsidR="00AE7629" w:rsidRPr="006B7673" w:rsidRDefault="00AE7629" w:rsidP="00AE7629">
      <w:pPr>
        <w:rPr>
          <w:rFonts w:cs="Times New Roman"/>
          <w:szCs w:val="24"/>
          <w:lang w:eastAsia="nl-NL"/>
        </w:rPr>
      </w:pPr>
      <w:r w:rsidRPr="006B7673">
        <w:rPr>
          <w:rFonts w:cs="Times New Roman"/>
          <w:szCs w:val="24"/>
          <w:lang w:eastAsia="nl-NL"/>
        </w:rPr>
        <w:t>Aerden, L. (2012). Rapport d’information n°26/2012. OKA.</w:t>
      </w:r>
    </w:p>
    <w:p w14:paraId="44FFC28D" w14:textId="4EC2ED24" w:rsidR="00AE7629" w:rsidRPr="006B7673" w:rsidRDefault="00AE7629" w:rsidP="00AE7629">
      <w:pPr>
        <w:rPr>
          <w:rFonts w:cs="Times New Roman"/>
          <w:szCs w:val="24"/>
          <w:lang w:eastAsia="nl-NL"/>
        </w:rPr>
      </w:pPr>
      <w:r w:rsidRPr="006B7673">
        <w:rPr>
          <w:rFonts w:cs="Times New Roman"/>
          <w:szCs w:val="24"/>
          <w:lang w:eastAsia="nl-NL"/>
        </w:rPr>
        <w:t xml:space="preserve">Asmani, M. (2015). Violence, displacement and humanitarian action in Katanga. OCHA. URL </w:t>
      </w:r>
      <w:hyperlink r:id="rId56" w:tgtFrame="_new" w:history="1">
        <w:r w:rsidRPr="006B7673">
          <w:rPr>
            <w:rStyle w:val="Hyperlink"/>
            <w:rFonts w:cs="Times New Roman"/>
            <w:szCs w:val="24"/>
            <w:lang w:eastAsia="nl-NL"/>
          </w:rPr>
          <w:t>https://www.ecoi.net/en/file/local/1095206/1930_1401096604_kantaga-report-2014-final-english-22052014-001.pdf</w:t>
        </w:r>
      </w:hyperlink>
      <w:r w:rsidRPr="006B7673">
        <w:rPr>
          <w:rFonts w:cs="Times New Roman"/>
          <w:szCs w:val="24"/>
          <w:lang w:eastAsia="nl-NL"/>
        </w:rPr>
        <w:t xml:space="preserve"> (accessed 1.19.26).</w:t>
      </w:r>
    </w:p>
    <w:p w14:paraId="28DDDBE8" w14:textId="5A15ED8A" w:rsidR="00482D2F" w:rsidRPr="006B7673" w:rsidRDefault="00482D2F" w:rsidP="00AE7629">
      <w:pPr>
        <w:rPr>
          <w:szCs w:val="24"/>
        </w:rPr>
      </w:pPr>
      <w:r w:rsidRPr="006B7673">
        <w:rPr>
          <w:szCs w:val="24"/>
        </w:rPr>
        <w:t>Brugière, D., 2020. Public-private partnership for protected areas: current situation and prospects in French-speaking Africa. IUCN-papaco.</w:t>
      </w:r>
    </w:p>
    <w:p w14:paraId="22D767CD" w14:textId="66CF8DB5" w:rsidR="00AE7629" w:rsidRPr="006B7673" w:rsidRDefault="00AE7629" w:rsidP="00AE7629">
      <w:pPr>
        <w:rPr>
          <w:rFonts w:cs="Times New Roman"/>
          <w:szCs w:val="24"/>
          <w:lang w:eastAsia="nl-NL"/>
        </w:rPr>
      </w:pPr>
      <w:r w:rsidRPr="006B7673">
        <w:rPr>
          <w:rFonts w:cs="Times New Roman"/>
          <w:szCs w:val="24"/>
          <w:lang w:eastAsia="nl-NL"/>
        </w:rPr>
        <w:lastRenderedPageBreak/>
        <w:t>Cunningham, H.K. (2024). The rangers turning the DRC’s ‘triangle of death’ back into a thriving wildlife reserve. The Guardian.</w:t>
      </w:r>
      <w:r w:rsidR="00D918D2" w:rsidRPr="006B7673">
        <w:rPr>
          <w:rFonts w:cs="Times New Roman"/>
          <w:szCs w:val="24"/>
          <w:lang w:eastAsia="nl-NL"/>
        </w:rPr>
        <w:t xml:space="preserve"> URL </w:t>
      </w:r>
      <w:hyperlink r:id="rId57" w:history="1">
        <w:r w:rsidR="00D918D2" w:rsidRPr="006B7673">
          <w:rPr>
            <w:rStyle w:val="Hyperlink"/>
            <w:rFonts w:cs="Times New Roman"/>
            <w:szCs w:val="24"/>
            <w:lang w:eastAsia="nl-NL"/>
          </w:rPr>
          <w:t>https://www.theguardian.com/environment/article/2024/aug/20/drc-wildlife-reserve-upemba</w:t>
        </w:r>
      </w:hyperlink>
      <w:r w:rsidR="00D918D2" w:rsidRPr="006B7673">
        <w:rPr>
          <w:rFonts w:cs="Times New Roman"/>
          <w:szCs w:val="24"/>
          <w:lang w:eastAsia="nl-NL"/>
        </w:rPr>
        <w:t xml:space="preserve"> (accessed 2.6.26).</w:t>
      </w:r>
    </w:p>
    <w:p w14:paraId="3CB5EF60" w14:textId="77777777" w:rsidR="00AE7629" w:rsidRPr="006B7673" w:rsidRDefault="00AE7629" w:rsidP="00AE7629">
      <w:pPr>
        <w:rPr>
          <w:rFonts w:cs="Times New Roman"/>
          <w:szCs w:val="24"/>
          <w:lang w:eastAsia="nl-NL"/>
        </w:rPr>
      </w:pPr>
      <w:r w:rsidRPr="006B7673">
        <w:rPr>
          <w:rFonts w:cs="Times New Roman"/>
          <w:szCs w:val="24"/>
          <w:lang w:eastAsia="nl-NL"/>
        </w:rPr>
        <w:t>D’Huart, J.P. (2017). PAG.</w:t>
      </w:r>
    </w:p>
    <w:p w14:paraId="2AAD0FCA" w14:textId="118AC1EA" w:rsidR="00AE7629" w:rsidRPr="006B7673" w:rsidRDefault="00AE7629" w:rsidP="00AE7629">
      <w:pPr>
        <w:rPr>
          <w:rFonts w:cs="Times New Roman"/>
          <w:szCs w:val="24"/>
          <w:lang w:eastAsia="nl-NL"/>
        </w:rPr>
      </w:pPr>
      <w:r w:rsidRPr="006B7673">
        <w:rPr>
          <w:rFonts w:cs="Times New Roman"/>
          <w:szCs w:val="24"/>
          <w:lang w:eastAsia="nl-NL"/>
        </w:rPr>
        <w:t>FZS. (2009). Projet 10e FED - Narrative Report. Internal project document, Frankfurt Zoological Society, Kinshasa.</w:t>
      </w:r>
    </w:p>
    <w:p w14:paraId="4C439106" w14:textId="6405DD15" w:rsidR="00AE7629" w:rsidRPr="006B7673" w:rsidRDefault="00AE7629" w:rsidP="00AE7629">
      <w:pPr>
        <w:rPr>
          <w:rFonts w:cs="Times New Roman"/>
          <w:szCs w:val="24"/>
          <w:lang w:eastAsia="nl-NL"/>
        </w:rPr>
      </w:pPr>
      <w:r w:rsidRPr="006B7673">
        <w:rPr>
          <w:rFonts w:cs="Times New Roman"/>
          <w:szCs w:val="24"/>
          <w:lang w:eastAsia="nl-NL"/>
        </w:rPr>
        <w:t xml:space="preserve">Hance, J. (2012a). Gang raids remote National Park in the Democratic Republic of the Congo. Conservation news. URL </w:t>
      </w:r>
      <w:hyperlink r:id="rId58" w:tgtFrame="_new" w:history="1">
        <w:r w:rsidRPr="006B7673">
          <w:rPr>
            <w:rStyle w:val="Hyperlink"/>
            <w:rFonts w:cs="Times New Roman"/>
            <w:szCs w:val="24"/>
            <w:lang w:eastAsia="nl-NL"/>
          </w:rPr>
          <w:t>https://news.mongabay.com/2012/07/gang-raids-remote-national-park-in-the-democratic-republic-of-the-congo/</w:t>
        </w:r>
      </w:hyperlink>
      <w:r w:rsidRPr="006B7673">
        <w:rPr>
          <w:rFonts w:cs="Times New Roman"/>
          <w:szCs w:val="24"/>
          <w:lang w:eastAsia="nl-NL"/>
        </w:rPr>
        <w:t xml:space="preserve"> (accessed 1.19.26).</w:t>
      </w:r>
    </w:p>
    <w:p w14:paraId="571F6872" w14:textId="17FC1950" w:rsidR="00AE7629" w:rsidRPr="006B7673" w:rsidRDefault="00AE7629" w:rsidP="00AE7629">
      <w:pPr>
        <w:rPr>
          <w:rFonts w:cs="Times New Roman"/>
          <w:szCs w:val="24"/>
          <w:lang w:eastAsia="nl-NL"/>
        </w:rPr>
      </w:pPr>
      <w:r w:rsidRPr="006B7673">
        <w:rPr>
          <w:rFonts w:cs="Times New Roman"/>
          <w:szCs w:val="24"/>
          <w:lang w:eastAsia="nl-NL"/>
        </w:rPr>
        <w:t xml:space="preserve">Hance, J. (2012b). Conflict and perseverance: rehabilitating a forgotten park in the Congo. Conservation news. URL </w:t>
      </w:r>
      <w:hyperlink r:id="rId59" w:tgtFrame="_new" w:history="1">
        <w:r w:rsidRPr="006B7673">
          <w:rPr>
            <w:rStyle w:val="Hyperlink"/>
            <w:rFonts w:cs="Times New Roman"/>
            <w:szCs w:val="24"/>
            <w:lang w:eastAsia="nl-NL"/>
          </w:rPr>
          <w:t>https://news.mongabay.com/2012/09/conflict-and-perseverance-rehabilitating-a-forgotten-park-in-the-congo/</w:t>
        </w:r>
      </w:hyperlink>
      <w:r w:rsidRPr="006B7673">
        <w:rPr>
          <w:rFonts w:cs="Times New Roman"/>
          <w:szCs w:val="24"/>
          <w:lang w:eastAsia="nl-NL"/>
        </w:rPr>
        <w:t xml:space="preserve"> (accessed 1.19.26).</w:t>
      </w:r>
    </w:p>
    <w:p w14:paraId="6AF6D260" w14:textId="77777777" w:rsidR="00AE7629" w:rsidRPr="006B7673" w:rsidRDefault="00AE7629" w:rsidP="00AE7629">
      <w:pPr>
        <w:rPr>
          <w:rFonts w:cs="Times New Roman"/>
          <w:szCs w:val="24"/>
          <w:lang w:val="fr-FR" w:eastAsia="nl-NL"/>
        </w:rPr>
      </w:pPr>
      <w:r w:rsidRPr="006B7673">
        <w:rPr>
          <w:rFonts w:cs="Times New Roman"/>
          <w:szCs w:val="24"/>
          <w:lang w:val="fr-FR" w:eastAsia="nl-NL"/>
        </w:rPr>
        <w:t>Hasson, M. (2003). Upemba, le parc oublié. Brussels: Nouvelles Approches.</w:t>
      </w:r>
    </w:p>
    <w:p w14:paraId="71B51CF3" w14:textId="77777777" w:rsidR="00AE7629" w:rsidRPr="006B7673" w:rsidRDefault="00AE7629" w:rsidP="00AE7629">
      <w:pPr>
        <w:rPr>
          <w:rFonts w:cs="Times New Roman"/>
          <w:szCs w:val="24"/>
          <w:lang w:eastAsia="nl-NL"/>
        </w:rPr>
      </w:pPr>
      <w:r w:rsidRPr="006B7673">
        <w:rPr>
          <w:rFonts w:cs="Times New Roman"/>
          <w:szCs w:val="24"/>
          <w:lang w:val="fr-FR" w:eastAsia="nl-NL"/>
        </w:rPr>
        <w:t xml:space="preserve">Hasson, M. (2015). </w:t>
      </w:r>
      <w:r w:rsidRPr="006B7673">
        <w:rPr>
          <w:rFonts w:cs="Times New Roman"/>
          <w:szCs w:val="24"/>
          <w:lang w:val="de-DE" w:eastAsia="nl-NL"/>
        </w:rPr>
        <w:t xml:space="preserve">Katanga. Des animaux et des hommes. </w:t>
      </w:r>
      <w:r w:rsidRPr="006B7673">
        <w:rPr>
          <w:rFonts w:cs="Times New Roman"/>
          <w:szCs w:val="24"/>
          <w:lang w:val="fr-FR" w:eastAsia="nl-NL"/>
        </w:rPr>
        <w:t xml:space="preserve">Vol. 1: Les animaux et la société. </w:t>
      </w:r>
      <w:r w:rsidRPr="006B7673">
        <w:rPr>
          <w:rFonts w:cs="Times New Roman"/>
          <w:szCs w:val="24"/>
          <w:lang w:eastAsia="nl-NL"/>
        </w:rPr>
        <w:t>Tervuren: Musée royal de l’Afrique centrale (MRAC).</w:t>
      </w:r>
    </w:p>
    <w:p w14:paraId="16FAE13D" w14:textId="2E51DFF5" w:rsidR="00824B8E" w:rsidRPr="006B7673" w:rsidRDefault="00824B8E" w:rsidP="6F76731B">
      <w:pPr>
        <w:rPr>
          <w:rFonts w:cs="Times New Roman"/>
          <w:szCs w:val="24"/>
          <w:lang w:eastAsia="nl-NL"/>
        </w:rPr>
      </w:pPr>
      <w:r w:rsidRPr="006B7673">
        <w:rPr>
          <w:rFonts w:cs="Times New Roman"/>
          <w:szCs w:val="24"/>
          <w:lang w:eastAsia="nl-NL"/>
        </w:rPr>
        <w:t xml:space="preserve">Hecht, D. </w:t>
      </w:r>
      <w:r w:rsidR="006911E9" w:rsidRPr="006B7673">
        <w:rPr>
          <w:rFonts w:cs="Times New Roman"/>
          <w:szCs w:val="24"/>
          <w:lang w:eastAsia="nl-NL"/>
        </w:rPr>
        <w:t>(</w:t>
      </w:r>
      <w:r w:rsidRPr="006B7673">
        <w:rPr>
          <w:rFonts w:cs="Times New Roman"/>
          <w:szCs w:val="24"/>
          <w:lang w:eastAsia="nl-NL"/>
        </w:rPr>
        <w:t>2006</w:t>
      </w:r>
      <w:r w:rsidR="006911E9" w:rsidRPr="006B7673">
        <w:rPr>
          <w:rFonts w:cs="Times New Roman"/>
          <w:szCs w:val="24"/>
          <w:lang w:eastAsia="nl-NL"/>
        </w:rPr>
        <w:t>)</w:t>
      </w:r>
      <w:r w:rsidRPr="006B7673">
        <w:rPr>
          <w:rFonts w:cs="Times New Roman"/>
          <w:szCs w:val="24"/>
          <w:lang w:eastAsia="nl-NL"/>
        </w:rPr>
        <w:t xml:space="preserve">. The peculiar terror that is northern Katanga. IRIN News, 13 February 2006. Archived at The New Humanitarian. Available at: </w:t>
      </w:r>
      <w:hyperlink r:id="rId60">
        <w:r w:rsidRPr="006B7673">
          <w:rPr>
            <w:rStyle w:val="Hyperlink"/>
            <w:rFonts w:cs="Times New Roman"/>
            <w:szCs w:val="24"/>
            <w:lang w:eastAsia="nl-NL"/>
          </w:rPr>
          <w:t>https://www.thenewhumanitarian.org/report/58122/drc-peculiar-terror-northern-katanga</w:t>
        </w:r>
      </w:hyperlink>
      <w:r w:rsidRPr="006B7673">
        <w:rPr>
          <w:rFonts w:cs="Times New Roman"/>
          <w:szCs w:val="24"/>
          <w:lang w:eastAsia="nl-NL"/>
        </w:rPr>
        <w:t xml:space="preserve"> </w:t>
      </w:r>
      <w:r w:rsidR="35C67697" w:rsidRPr="006B7673">
        <w:rPr>
          <w:rFonts w:cs="Times New Roman"/>
          <w:szCs w:val="24"/>
          <w:lang w:eastAsia="nl-NL"/>
        </w:rPr>
        <w:t>(accessed 1.19.26)</w:t>
      </w:r>
      <w:r w:rsidRPr="006B7673">
        <w:rPr>
          <w:rFonts w:cs="Times New Roman"/>
          <w:szCs w:val="24"/>
          <w:lang w:eastAsia="nl-NL"/>
        </w:rPr>
        <w:t>.</w:t>
      </w:r>
    </w:p>
    <w:p w14:paraId="6CA60145" w14:textId="12421F96" w:rsidR="00AE7629" w:rsidRPr="006B7673" w:rsidRDefault="00AE7629" w:rsidP="00AE7629">
      <w:pPr>
        <w:rPr>
          <w:rFonts w:cs="Times New Roman"/>
          <w:szCs w:val="24"/>
          <w:lang w:eastAsia="nl-NL"/>
        </w:rPr>
      </w:pPr>
      <w:r w:rsidRPr="006B7673">
        <w:rPr>
          <w:rFonts w:cs="Times New Roman"/>
          <w:szCs w:val="24"/>
          <w:lang w:val="nl-NL" w:eastAsia="nl-NL"/>
        </w:rPr>
        <w:t xml:space="preserve">Huisman, R. (2017). “Ik ben al drie keer op de loop moeten gaan” [WWW Document]. </w:t>
      </w:r>
      <w:r w:rsidRPr="006B7673">
        <w:rPr>
          <w:rFonts w:cs="Times New Roman"/>
          <w:szCs w:val="24"/>
          <w:lang w:eastAsia="nl-NL"/>
        </w:rPr>
        <w:t xml:space="preserve">HBVL. URL </w:t>
      </w:r>
      <w:hyperlink r:id="rId61" w:tgtFrame="_new" w:history="1">
        <w:r w:rsidRPr="006B7673">
          <w:rPr>
            <w:rStyle w:val="Hyperlink"/>
            <w:rFonts w:cs="Times New Roman"/>
            <w:szCs w:val="24"/>
            <w:lang w:eastAsia="nl-NL"/>
          </w:rPr>
          <w:t>https://www.hbvl.be/regio/limburg/ik-ben-al-drie-keer-op-de-loop-moeten-gaan/31994038.html</w:t>
        </w:r>
      </w:hyperlink>
      <w:r w:rsidRPr="006B7673">
        <w:rPr>
          <w:rFonts w:cs="Times New Roman"/>
          <w:szCs w:val="24"/>
          <w:lang w:eastAsia="nl-NL"/>
        </w:rPr>
        <w:t xml:space="preserve"> (accessed 1.19.26).</w:t>
      </w:r>
    </w:p>
    <w:p w14:paraId="378B9D57" w14:textId="659D8E0D" w:rsidR="00AE7629" w:rsidRPr="006B7673" w:rsidRDefault="00AE7629" w:rsidP="00AE7629">
      <w:pPr>
        <w:rPr>
          <w:rFonts w:cs="Times New Roman"/>
          <w:szCs w:val="24"/>
          <w:lang w:eastAsia="nl-NL"/>
        </w:rPr>
      </w:pPr>
      <w:r w:rsidRPr="006B7673">
        <w:rPr>
          <w:rFonts w:cs="Times New Roman"/>
          <w:szCs w:val="24"/>
          <w:lang w:val="fr-FR" w:eastAsia="nl-NL"/>
        </w:rPr>
        <w:t xml:space="preserve">Human Rights Watch. (2006). RD Congo: Les élections approchent, l’impunité perdure au Katanga. </w:t>
      </w:r>
      <w:r w:rsidRPr="006B7673">
        <w:rPr>
          <w:rFonts w:cs="Times New Roman"/>
          <w:szCs w:val="24"/>
          <w:lang w:eastAsia="nl-NL"/>
        </w:rPr>
        <w:t xml:space="preserve">URL </w:t>
      </w:r>
      <w:hyperlink r:id="rId62" w:tgtFrame="_new" w:history="1">
        <w:r w:rsidRPr="006B7673">
          <w:rPr>
            <w:rStyle w:val="Hyperlink"/>
            <w:rFonts w:cs="Times New Roman"/>
            <w:szCs w:val="24"/>
            <w:lang w:eastAsia="nl-NL"/>
          </w:rPr>
          <w:t>https://www.hrw.org/fr/news/2006/07/21/rd-congo-les-elections-approchent-limpunite-perdure-au-katanga</w:t>
        </w:r>
      </w:hyperlink>
      <w:r w:rsidRPr="006B7673">
        <w:rPr>
          <w:rFonts w:cs="Times New Roman"/>
          <w:szCs w:val="24"/>
          <w:lang w:eastAsia="nl-NL"/>
        </w:rPr>
        <w:t xml:space="preserve"> (accessed 8.10.25).</w:t>
      </w:r>
    </w:p>
    <w:p w14:paraId="021FF464" w14:textId="56F9F961" w:rsidR="00AE7629" w:rsidRPr="006B7673" w:rsidRDefault="00AE7629" w:rsidP="00AE7629">
      <w:pPr>
        <w:rPr>
          <w:rFonts w:cs="Times New Roman"/>
          <w:szCs w:val="24"/>
          <w:lang w:eastAsia="nl-NL"/>
        </w:rPr>
      </w:pPr>
      <w:r w:rsidRPr="006B7673">
        <w:rPr>
          <w:rFonts w:cs="Times New Roman"/>
          <w:szCs w:val="24"/>
          <w:lang w:eastAsia="nl-NL"/>
        </w:rPr>
        <w:t xml:space="preserve">IPIS. (2007). Mapping interests in conflict areas: Katanga (August 2007). IPIS. URL </w:t>
      </w:r>
      <w:hyperlink r:id="rId63" w:tgtFrame="_new" w:history="1">
        <w:r w:rsidRPr="006B7673">
          <w:rPr>
            <w:rStyle w:val="Hyperlink"/>
            <w:rFonts w:cs="Times New Roman"/>
            <w:szCs w:val="24"/>
            <w:lang w:eastAsia="nl-NL"/>
          </w:rPr>
          <w:t>https://ipisresearch.be/publication/mapping-interests-conflict-areas-katanga/</w:t>
        </w:r>
      </w:hyperlink>
      <w:r w:rsidRPr="006B7673">
        <w:rPr>
          <w:rFonts w:cs="Times New Roman"/>
          <w:szCs w:val="24"/>
          <w:lang w:eastAsia="nl-NL"/>
        </w:rPr>
        <w:t xml:space="preserve"> (accessed 1.19.26).</w:t>
      </w:r>
    </w:p>
    <w:p w14:paraId="1EEF5561" w14:textId="77777777" w:rsidR="00AE7629" w:rsidRPr="006B7673" w:rsidRDefault="00AE7629" w:rsidP="00AE7629">
      <w:pPr>
        <w:rPr>
          <w:rFonts w:cs="Times New Roman"/>
          <w:szCs w:val="24"/>
          <w:lang w:val="fr-FR" w:eastAsia="nl-NL"/>
        </w:rPr>
      </w:pPr>
      <w:r w:rsidRPr="006B7673">
        <w:rPr>
          <w:rFonts w:cs="Times New Roman"/>
          <w:szCs w:val="24"/>
          <w:lang w:eastAsia="nl-NL"/>
        </w:rPr>
        <w:t xml:space="preserve">Katembo, R. (2016). </w:t>
      </w:r>
      <w:r w:rsidRPr="006B7673">
        <w:rPr>
          <w:rFonts w:cs="Times New Roman"/>
          <w:szCs w:val="24"/>
          <w:lang w:val="fr-FR" w:eastAsia="nl-NL"/>
        </w:rPr>
        <w:t>Rapport technique sur l’opération de gardiennage et protection des derniers elephants du Katanga.</w:t>
      </w:r>
    </w:p>
    <w:p w14:paraId="5EAB34CB" w14:textId="77777777" w:rsidR="00AE7629" w:rsidRPr="006B7673" w:rsidRDefault="00AE7629" w:rsidP="00AE7629">
      <w:pPr>
        <w:rPr>
          <w:rFonts w:cs="Times New Roman"/>
          <w:szCs w:val="24"/>
          <w:lang w:val="fr-FR" w:eastAsia="nl-NL"/>
        </w:rPr>
      </w:pPr>
      <w:r w:rsidRPr="006B7673">
        <w:rPr>
          <w:rFonts w:cs="Times New Roman"/>
          <w:szCs w:val="24"/>
          <w:lang w:val="fr-FR" w:eastAsia="nl-NL"/>
        </w:rPr>
        <w:t>Katembo, R. (2017). Rapport technique sur l’opération de gardiennage et protection des derniers elephants du Katanga.</w:t>
      </w:r>
    </w:p>
    <w:p w14:paraId="69153652" w14:textId="1ED7716B" w:rsidR="00AE7629" w:rsidRPr="006B7673" w:rsidRDefault="00AE7629" w:rsidP="00AE7629">
      <w:pPr>
        <w:rPr>
          <w:rFonts w:cs="Times New Roman"/>
          <w:szCs w:val="24"/>
          <w:lang w:eastAsia="nl-NL"/>
        </w:rPr>
      </w:pPr>
      <w:r w:rsidRPr="006B7673">
        <w:rPr>
          <w:rFonts w:cs="Times New Roman"/>
          <w:szCs w:val="24"/>
          <w:lang w:eastAsia="nl-NL"/>
        </w:rPr>
        <w:lastRenderedPageBreak/>
        <w:t xml:space="preserve">Livingstone, E. (2024). A rainforest in Africa aims to reverse damage after years of conflict and neglect. NPR. URL </w:t>
      </w:r>
      <w:hyperlink r:id="rId64" w:tgtFrame="_new" w:history="1">
        <w:r w:rsidRPr="006B7673">
          <w:rPr>
            <w:rStyle w:val="Hyperlink"/>
            <w:rFonts w:cs="Times New Roman"/>
            <w:szCs w:val="24"/>
            <w:lang w:eastAsia="nl-NL"/>
          </w:rPr>
          <w:t>https://www.npr.org/2024/11/12/nx-s1-5110010-e1/a-rainforest-in-africa-aims-to-reverse-damage-after-years-of-conflict-and-neglect</w:t>
        </w:r>
      </w:hyperlink>
      <w:r w:rsidRPr="006B7673">
        <w:rPr>
          <w:rFonts w:cs="Times New Roman"/>
          <w:szCs w:val="24"/>
          <w:lang w:eastAsia="nl-NL"/>
        </w:rPr>
        <w:t xml:space="preserve"> (accessed 1.19.26).</w:t>
      </w:r>
    </w:p>
    <w:p w14:paraId="6DD1DB2D" w14:textId="79B6526A" w:rsidR="00AE7629" w:rsidRPr="006B7673" w:rsidRDefault="00AE7629" w:rsidP="00AE7629">
      <w:pPr>
        <w:rPr>
          <w:rFonts w:cs="Times New Roman"/>
          <w:szCs w:val="24"/>
          <w:lang w:eastAsia="nl-NL"/>
        </w:rPr>
      </w:pPr>
      <w:r w:rsidRPr="006B7673">
        <w:rPr>
          <w:rFonts w:cs="Times New Roman"/>
          <w:szCs w:val="24"/>
          <w:lang w:eastAsia="nl-NL"/>
        </w:rPr>
        <w:t xml:space="preserve">MONUSCO. (2013). MONUSCO welcomes the separation of 82 children from Mayi Mayi Bakata Katanga. URL </w:t>
      </w:r>
      <w:hyperlink r:id="rId65" w:tgtFrame="_new" w:history="1">
        <w:r w:rsidRPr="006B7673">
          <w:rPr>
            <w:rStyle w:val="Hyperlink"/>
            <w:rFonts w:cs="Times New Roman"/>
            <w:szCs w:val="24"/>
            <w:lang w:eastAsia="nl-NL"/>
          </w:rPr>
          <w:t>https://monusco.unmissions.org/en/news/monusco-welcomes-separation-82-children-mayi-mayi-bakata-katanga-0</w:t>
        </w:r>
      </w:hyperlink>
      <w:r w:rsidRPr="006B7673">
        <w:rPr>
          <w:rFonts w:cs="Times New Roman"/>
          <w:szCs w:val="24"/>
          <w:lang w:eastAsia="nl-NL"/>
        </w:rPr>
        <w:t xml:space="preserve"> (accessed 1.19.26).</w:t>
      </w:r>
    </w:p>
    <w:p w14:paraId="26D24310" w14:textId="17C88985" w:rsidR="00AE7629" w:rsidRPr="006B7673" w:rsidRDefault="00AE7629" w:rsidP="00AE7629">
      <w:pPr>
        <w:rPr>
          <w:rFonts w:cs="Times New Roman"/>
          <w:szCs w:val="24"/>
          <w:lang w:eastAsia="nl-NL"/>
        </w:rPr>
      </w:pPr>
      <w:r w:rsidRPr="006B7673">
        <w:rPr>
          <w:rFonts w:cs="Times New Roman"/>
          <w:szCs w:val="24"/>
          <w:lang w:val="fr-FR" w:eastAsia="nl-NL"/>
        </w:rPr>
        <w:t xml:space="preserve">Mululwa, K.J. (2008). Rapport sur les éléphants: Mission effectuée par le conservateur Mululwa dans la Zone Annexe du PNU-N du 16 Juillet au 9 Septembre 2008. </w:t>
      </w:r>
      <w:r w:rsidRPr="006B7673">
        <w:rPr>
          <w:rFonts w:cs="Times New Roman"/>
          <w:szCs w:val="24"/>
          <w:lang w:eastAsia="nl-NL"/>
        </w:rPr>
        <w:t>ICCN.</w:t>
      </w:r>
    </w:p>
    <w:p w14:paraId="6B637E13" w14:textId="28959438" w:rsidR="00AE7629" w:rsidRPr="006B7673" w:rsidRDefault="00AE7629" w:rsidP="00AE7629">
      <w:pPr>
        <w:rPr>
          <w:rFonts w:cs="Times New Roman"/>
          <w:szCs w:val="24"/>
          <w:lang w:eastAsia="nl-NL"/>
        </w:rPr>
      </w:pPr>
      <w:r w:rsidRPr="006B7673">
        <w:rPr>
          <w:rFonts w:cs="Times New Roman"/>
          <w:szCs w:val="24"/>
          <w:lang w:eastAsia="nl-NL"/>
        </w:rPr>
        <w:t>Ngoy, K.P. (2015). A critical assessment of the security sector reforms in Central Africa: The case study of the Democratic Republic of Congo, Northern Katanga Province, 2011</w:t>
      </w:r>
      <w:r w:rsidR="00507DA5" w:rsidRPr="006B7673">
        <w:rPr>
          <w:rFonts w:cs="Times New Roman"/>
          <w:szCs w:val="24"/>
          <w:lang w:eastAsia="nl-NL"/>
        </w:rPr>
        <w:t>-</w:t>
      </w:r>
      <w:r w:rsidRPr="006B7673">
        <w:rPr>
          <w:rFonts w:cs="Times New Roman"/>
          <w:szCs w:val="24"/>
          <w:lang w:eastAsia="nl-NL"/>
        </w:rPr>
        <w:t>2014. Master’s dissertation, Africa University, Institute of Peace, Leadership and Governance.</w:t>
      </w:r>
    </w:p>
    <w:p w14:paraId="62E880C2" w14:textId="4BE36E3A" w:rsidR="00AE7629" w:rsidRPr="006B7673" w:rsidRDefault="00AE7629" w:rsidP="00AE7629">
      <w:pPr>
        <w:rPr>
          <w:rFonts w:cs="Times New Roman"/>
          <w:szCs w:val="24"/>
          <w:lang w:val="fr-FR" w:eastAsia="nl-NL"/>
        </w:rPr>
      </w:pPr>
      <w:r w:rsidRPr="006B7673">
        <w:rPr>
          <w:rFonts w:cs="Times New Roman"/>
          <w:szCs w:val="24"/>
          <w:lang w:val="fr-FR" w:eastAsia="nl-NL"/>
        </w:rPr>
        <w:t>Nouvelles Approches. (2002</w:t>
      </w:r>
      <w:r w:rsidR="00507DA5" w:rsidRPr="006B7673">
        <w:rPr>
          <w:rFonts w:cs="Times New Roman"/>
          <w:szCs w:val="24"/>
          <w:lang w:val="fr-FR" w:eastAsia="nl-NL"/>
        </w:rPr>
        <w:t>-</w:t>
      </w:r>
      <w:r w:rsidRPr="006B7673">
        <w:rPr>
          <w:rFonts w:cs="Times New Roman"/>
          <w:szCs w:val="24"/>
          <w:lang w:val="fr-FR" w:eastAsia="nl-NL"/>
        </w:rPr>
        <w:t>2004). Le Rhino Fantôme.</w:t>
      </w:r>
    </w:p>
    <w:p w14:paraId="0CA07503" w14:textId="53479D4B" w:rsidR="00AE7629" w:rsidRPr="006B7673" w:rsidRDefault="00AE7629" w:rsidP="00AE7629">
      <w:pPr>
        <w:rPr>
          <w:rFonts w:cs="Times New Roman"/>
          <w:szCs w:val="24"/>
          <w:lang w:eastAsia="nl-NL"/>
        </w:rPr>
      </w:pPr>
      <w:r w:rsidRPr="006B7673">
        <w:rPr>
          <w:rFonts w:cs="Times New Roman"/>
          <w:szCs w:val="24"/>
          <w:lang w:eastAsia="nl-NL"/>
        </w:rPr>
        <w:t xml:space="preserve">OCHA. (2013). D.R. Congo’s neglected “Triangle of Death”: The challenges of the protection of civilians in Katanga. URL </w:t>
      </w:r>
      <w:hyperlink r:id="rId66" w:tgtFrame="_new" w:history="1">
        <w:r w:rsidRPr="006B7673">
          <w:rPr>
            <w:rStyle w:val="Hyperlink"/>
            <w:rFonts w:cs="Times New Roman"/>
            <w:szCs w:val="24"/>
            <w:lang w:eastAsia="nl-NL"/>
          </w:rPr>
          <w:t>https://www.unocha.org/publications/report/democratic-republic-congo/dr-congo%E2%80%99s-neglected-%E2%80%9Ctriangle-death%E2%80%9D-challenges-protection</w:t>
        </w:r>
      </w:hyperlink>
      <w:r w:rsidRPr="006B7673">
        <w:rPr>
          <w:rFonts w:cs="Times New Roman"/>
          <w:szCs w:val="24"/>
          <w:lang w:eastAsia="nl-NL"/>
        </w:rPr>
        <w:t xml:space="preserve"> (accessed 1.19.26).</w:t>
      </w:r>
    </w:p>
    <w:p w14:paraId="02B5A21A" w14:textId="77777777" w:rsidR="00AE7629" w:rsidRPr="006B7673" w:rsidRDefault="00AE7629" w:rsidP="00AE7629">
      <w:pPr>
        <w:rPr>
          <w:rFonts w:cs="Times New Roman"/>
          <w:szCs w:val="24"/>
          <w:lang w:val="fr-FR" w:eastAsia="nl-NL"/>
        </w:rPr>
      </w:pPr>
      <w:r w:rsidRPr="006B7673">
        <w:rPr>
          <w:rFonts w:cs="Times New Roman"/>
          <w:szCs w:val="24"/>
          <w:lang w:val="fr-FR" w:eastAsia="nl-NL"/>
        </w:rPr>
        <w:t xml:space="preserve">OKA Kanyundu. (2018). Realisations [WWW Document]. URL </w:t>
      </w:r>
      <w:hyperlink r:id="rId67" w:tgtFrame="_new" w:history="1">
        <w:r w:rsidRPr="006B7673">
          <w:rPr>
            <w:rStyle w:val="Hyperlink"/>
            <w:rFonts w:cs="Times New Roman"/>
            <w:szCs w:val="24"/>
            <w:lang w:val="fr-FR" w:eastAsia="nl-NL"/>
          </w:rPr>
          <w:t>https://kanyundu.jouwweb.be/realisations</w:t>
        </w:r>
      </w:hyperlink>
      <w:r w:rsidRPr="006B7673">
        <w:rPr>
          <w:rFonts w:cs="Times New Roman"/>
          <w:szCs w:val="24"/>
          <w:lang w:val="fr-FR" w:eastAsia="nl-NL"/>
        </w:rPr>
        <w:t xml:space="preserve"> (accessed 1.19.26).</w:t>
      </w:r>
    </w:p>
    <w:p w14:paraId="0D1860CB" w14:textId="21588A50"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(2010a). Katanga: les FARDC ripostent à une attaque des Maï Maï à Luena, 5 morts [WWW Document]. Publié le sam, 27/11/2010 - 16:44. URL </w:t>
      </w:r>
      <w:hyperlink r:id="rId68" w:tgtFrame="_new" w:history="1">
        <w:r w:rsidRPr="006B7673">
          <w:rPr>
            <w:rStyle w:val="Hyperlink"/>
            <w:rFonts w:cs="Times New Roman"/>
            <w:szCs w:val="24"/>
            <w:lang w:val="fr-FR" w:eastAsia="nl-NL"/>
          </w:rPr>
          <w:t>https://www.radiookapi.net/actualite/2010/11/27/katanga-les-fardc-ripostent-a-une-attaque-des-mai-mai-a-luena-5-morts</w:t>
        </w:r>
      </w:hyperlink>
      <w:r w:rsidRPr="006B7673">
        <w:rPr>
          <w:rFonts w:cs="Times New Roman"/>
          <w:szCs w:val="24"/>
          <w:lang w:val="fr-FR" w:eastAsia="nl-NL"/>
        </w:rPr>
        <w:t xml:space="preserve"> (accessed 1.20.26).</w:t>
      </w:r>
    </w:p>
    <w:p w14:paraId="7B45F8B4" w14:textId="2106D544"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(2012a). Katanga: 12 miliciens de Mitwaba se rendent aux autorités provinciales [WWW Document]. Publié le dim, 05/08/2012 - 11:23. URL </w:t>
      </w:r>
      <w:hyperlink r:id="rId69" w:tgtFrame="_new" w:history="1">
        <w:r w:rsidRPr="006B7673">
          <w:rPr>
            <w:rStyle w:val="Hyperlink"/>
            <w:rFonts w:cs="Times New Roman"/>
            <w:szCs w:val="24"/>
            <w:lang w:val="fr-FR" w:eastAsia="nl-NL"/>
          </w:rPr>
          <w:t>https://www.radiookapi.net/actualite/2012/08/05/katanga-12-miliciens-de-mitwaba-se-rendent-aux-autorites-provinciales</w:t>
        </w:r>
      </w:hyperlink>
      <w:r w:rsidRPr="006B7673">
        <w:rPr>
          <w:rFonts w:cs="Times New Roman"/>
          <w:szCs w:val="24"/>
          <w:lang w:val="fr-FR" w:eastAsia="nl-NL"/>
        </w:rPr>
        <w:t xml:space="preserve"> (accessed 1.20.26).</w:t>
      </w:r>
    </w:p>
    <w:p w14:paraId="466301A0" w14:textId="478D049B"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(2012b). Mitwaba: des hommes armés tuent le conservateur du parc de l’Upemba [WWW Document]. Publié le mar, 18/12/2012 - 13:55. URL </w:t>
      </w:r>
      <w:hyperlink r:id="rId70" w:tgtFrame="_new" w:history="1">
        <w:r w:rsidRPr="006B7673">
          <w:rPr>
            <w:rStyle w:val="Hyperlink"/>
            <w:rFonts w:cs="Times New Roman"/>
            <w:szCs w:val="24"/>
            <w:lang w:val="fr-FR" w:eastAsia="nl-NL"/>
          </w:rPr>
          <w:t>https://www.radiookapi.net/environnement/2012/12/18/mitwaba-des-hommes-armes-tuent-le-conservateur-du-parc-de-lupemba</w:t>
        </w:r>
      </w:hyperlink>
      <w:r w:rsidRPr="006B7673">
        <w:rPr>
          <w:rFonts w:cs="Times New Roman"/>
          <w:szCs w:val="24"/>
          <w:lang w:val="fr-FR" w:eastAsia="nl-NL"/>
        </w:rPr>
        <w:t xml:space="preserve"> (accessed 1.20.26).</w:t>
      </w:r>
    </w:p>
    <w:p w14:paraId="5F422593" w14:textId="4298518D"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(2013a). Parc Upemba: l’ICCN veut refouler des éléphants et rapatrier 2 gardes retenus en otage par des Maï-Maï [WWW Document]. Publié le lun, 22/04/2013 - 16:46. URL </w:t>
      </w:r>
      <w:hyperlink r:id="rId71" w:tgtFrame="_new" w:history="1">
        <w:r w:rsidRPr="006B7673">
          <w:rPr>
            <w:rStyle w:val="Hyperlink"/>
            <w:rFonts w:cs="Times New Roman"/>
            <w:szCs w:val="24"/>
            <w:lang w:val="fr-FR" w:eastAsia="nl-NL"/>
          </w:rPr>
          <w:t>https://www.radiookapi.net/actualite/2013/04/22/parc-upemba-liccn-veut-refouler-des-elephants-rapatrier-2-gardes-retenus-en-otage-par-des-mai-mai</w:t>
        </w:r>
      </w:hyperlink>
      <w:r w:rsidRPr="006B7673">
        <w:rPr>
          <w:rFonts w:cs="Times New Roman"/>
          <w:szCs w:val="24"/>
          <w:lang w:val="fr-FR" w:eastAsia="nl-NL"/>
        </w:rPr>
        <w:t xml:space="preserve"> (accessed 1.20.26).</w:t>
      </w:r>
    </w:p>
    <w:p w14:paraId="07A85910" w14:textId="21ED973A" w:rsidR="00AE7629" w:rsidRPr="006B7673" w:rsidRDefault="00AE7629" w:rsidP="00AE7629">
      <w:pPr>
        <w:rPr>
          <w:rFonts w:cs="Times New Roman"/>
          <w:szCs w:val="24"/>
          <w:lang w:val="fr-FR" w:eastAsia="nl-NL"/>
        </w:rPr>
      </w:pPr>
      <w:r w:rsidRPr="006B7673">
        <w:rPr>
          <w:rFonts w:cs="Times New Roman"/>
          <w:szCs w:val="24"/>
          <w:lang w:val="fr-FR" w:eastAsia="nl-NL"/>
        </w:rPr>
        <w:lastRenderedPageBreak/>
        <w:t xml:space="preserve">Radio Okapi. (2014a). Parc Upemba: l’ICCN dénonce le braconnage des habitants d’un village dispersé [WWW Document]. Publié le ven, 14/03/2014 - 15:29. URL </w:t>
      </w:r>
      <w:hyperlink r:id="rId72" w:tgtFrame="_new" w:history="1">
        <w:r w:rsidRPr="006B7673">
          <w:rPr>
            <w:rStyle w:val="Hyperlink"/>
            <w:rFonts w:cs="Times New Roman"/>
            <w:szCs w:val="24"/>
            <w:lang w:val="fr-FR" w:eastAsia="nl-NL"/>
          </w:rPr>
          <w:t>https://www.radiookapi.net/environnement/2014/03/14/parc-upemba-liccn-denonce-le-braconnage-des-habitants-dun-village-disperse/</w:t>
        </w:r>
      </w:hyperlink>
      <w:r w:rsidRPr="006B7673">
        <w:rPr>
          <w:rFonts w:cs="Times New Roman"/>
          <w:szCs w:val="24"/>
          <w:lang w:val="fr-FR" w:eastAsia="nl-NL"/>
        </w:rPr>
        <w:t xml:space="preserve"> (accessed 1.20.26).</w:t>
      </w:r>
    </w:p>
    <w:p w14:paraId="606D7A6D" w14:textId="26DDE618"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(2014b). Deux attaques des miliciens Bakata Katanga enregistrées à Mitwaba [WWW Document]. Publié le mar, 04/11/2014 - 17:45. URL </w:t>
      </w:r>
      <w:hyperlink r:id="rId73" w:tgtFrame="_new" w:history="1">
        <w:r w:rsidRPr="006B7673">
          <w:rPr>
            <w:rStyle w:val="Hyperlink"/>
            <w:rFonts w:cs="Times New Roman"/>
            <w:szCs w:val="24"/>
            <w:lang w:val="fr-FR" w:eastAsia="nl-NL"/>
          </w:rPr>
          <w:t>https://www.radiookapi.net/regions/katanga/2014/11/04/deux-attaques-des-miliciens-bakata-katanga-enregistrees-mitwaba</w:t>
        </w:r>
      </w:hyperlink>
      <w:r w:rsidRPr="006B7673">
        <w:rPr>
          <w:rFonts w:cs="Times New Roman"/>
          <w:szCs w:val="24"/>
          <w:lang w:val="fr-FR" w:eastAsia="nl-NL"/>
        </w:rPr>
        <w:t xml:space="preserve"> (accessed 1.20.26).</w:t>
      </w:r>
    </w:p>
    <w:p w14:paraId="62FE899A" w14:textId="2C86DF16"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(2014c). Katanga: les FARDC délogent les Maï-Maï Bakata Katanga de Musumari [WWW Document]. Publié le mer, 05/11/2014 - 14:22. URL </w:t>
      </w:r>
      <w:hyperlink r:id="rId74" w:tgtFrame="_new" w:history="1">
        <w:r w:rsidRPr="006B7673">
          <w:rPr>
            <w:rStyle w:val="Hyperlink"/>
            <w:rFonts w:cs="Times New Roman"/>
            <w:szCs w:val="24"/>
            <w:lang w:val="fr-FR" w:eastAsia="nl-NL"/>
          </w:rPr>
          <w:t>https://www.radiookapi.net/actualite/2014/11/05/katanga-les-fardc-delogent-les-mai-mai-bakata-katanga-de-musumari</w:t>
        </w:r>
      </w:hyperlink>
      <w:r w:rsidRPr="006B7673">
        <w:rPr>
          <w:rFonts w:cs="Times New Roman"/>
          <w:szCs w:val="24"/>
          <w:lang w:val="fr-FR" w:eastAsia="nl-NL"/>
        </w:rPr>
        <w:t xml:space="preserve"> (accessed 1.20.26).</w:t>
      </w:r>
    </w:p>
    <w:p w14:paraId="59F1C943" w14:textId="35F8E762"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(2014d). Katanga: les FARDC se déploient dans le parc de l’Upemba pour traquer des miliciens [WWW Document]. Publié le mer, 12/11/2014 - 16:56. URL </w:t>
      </w:r>
      <w:hyperlink r:id="rId75" w:tgtFrame="_new" w:history="1">
        <w:r w:rsidRPr="006B7673">
          <w:rPr>
            <w:rStyle w:val="Hyperlink"/>
            <w:rFonts w:cs="Times New Roman"/>
            <w:szCs w:val="24"/>
            <w:lang w:val="fr-FR" w:eastAsia="nl-NL"/>
          </w:rPr>
          <w:t>https://www.radiookapi.net/environnement/2014/11/12/katanga-les-fardc-se-deploient-dans-le-parc-de-lupemba-pour-traquer-des-miliciens</w:t>
        </w:r>
      </w:hyperlink>
      <w:r w:rsidRPr="006B7673">
        <w:rPr>
          <w:rFonts w:cs="Times New Roman"/>
          <w:szCs w:val="24"/>
          <w:lang w:val="fr-FR" w:eastAsia="nl-NL"/>
        </w:rPr>
        <w:t xml:space="preserve"> (accessed 1.20.26).</w:t>
      </w:r>
    </w:p>
    <w:p w14:paraId="2BC2F3E5" w14:textId="65F716C5"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(2021a). Construction d’un barrage dans le parc Upemba: 185 ONG saisissent Félix Tshisekedi [WWW Document]. Publié le lun, 11/10/2021 - 12:41. URL </w:t>
      </w:r>
      <w:hyperlink r:id="rId76" w:tgtFrame="_new" w:history="1">
        <w:r w:rsidRPr="006B7673">
          <w:rPr>
            <w:rStyle w:val="Hyperlink"/>
            <w:rFonts w:cs="Times New Roman"/>
            <w:szCs w:val="24"/>
            <w:lang w:val="fr-FR" w:eastAsia="nl-NL"/>
          </w:rPr>
          <w:t>https://www.radiookapi.net/2021/10/11/actualite/societe/construction-dun-barrage-dans-le-parc-upemba-185-ong-saisissent-felix</w:t>
        </w:r>
      </w:hyperlink>
      <w:r w:rsidRPr="006B7673">
        <w:rPr>
          <w:rFonts w:cs="Times New Roman"/>
          <w:szCs w:val="24"/>
          <w:lang w:val="fr-FR" w:eastAsia="nl-NL"/>
        </w:rPr>
        <w:t xml:space="preserve"> (accessed 1.20.26).</w:t>
      </w:r>
    </w:p>
    <w:p w14:paraId="711368E3" w14:textId="3F70BA52" w:rsidR="00AE7629" w:rsidRPr="006B7673" w:rsidRDefault="00AE7629" w:rsidP="00AE7629">
      <w:pPr>
        <w:rPr>
          <w:rFonts w:cs="Times New Roman"/>
          <w:szCs w:val="24"/>
          <w:lang w:val="fr-FR" w:eastAsia="nl-NL"/>
        </w:rPr>
      </w:pPr>
      <w:r w:rsidRPr="006B7673">
        <w:rPr>
          <w:rFonts w:cs="Times New Roman"/>
          <w:szCs w:val="24"/>
          <w:lang w:val="fr-FR" w:eastAsia="nl-NL"/>
        </w:rPr>
        <w:t xml:space="preserve">Radio Okapi. (2024a). RDC: le parc national d’Upemba célèbre ses 85 ans sous le signe de résilience en conservation [WWW Document]. Publié le mer, 15/05/2024 - 18:02. URL </w:t>
      </w:r>
      <w:hyperlink r:id="rId77" w:tgtFrame="_new" w:history="1">
        <w:r w:rsidRPr="006B7673">
          <w:rPr>
            <w:rStyle w:val="Hyperlink"/>
            <w:rFonts w:cs="Times New Roman"/>
            <w:szCs w:val="24"/>
            <w:lang w:val="fr-FR" w:eastAsia="nl-NL"/>
          </w:rPr>
          <w:t>https://www.radiookapi.net/2024/05/15/actualite/societe/rdc-le-parc-national-dupemba-celebre-ses-85-ans-sous-le-signe-de</w:t>
        </w:r>
      </w:hyperlink>
      <w:r w:rsidRPr="006B7673">
        <w:rPr>
          <w:rFonts w:cs="Times New Roman"/>
          <w:szCs w:val="24"/>
          <w:lang w:val="fr-FR" w:eastAsia="nl-NL"/>
        </w:rPr>
        <w:t xml:space="preserve"> (accessed 1.20.26).</w:t>
      </w:r>
    </w:p>
    <w:p w14:paraId="10ABBE5C" w14:textId="77777777" w:rsidR="00AE7629" w:rsidRPr="006B7673" w:rsidRDefault="00AE7629" w:rsidP="00AE7629">
      <w:pPr>
        <w:rPr>
          <w:rFonts w:cs="Times New Roman"/>
          <w:szCs w:val="24"/>
          <w:lang w:val="fr-FR" w:eastAsia="nl-NL"/>
        </w:rPr>
      </w:pPr>
      <w:r w:rsidRPr="006B7673">
        <w:rPr>
          <w:rFonts w:cs="Times New Roman"/>
          <w:szCs w:val="24"/>
          <w:lang w:val="fr-FR" w:eastAsia="nl-NL"/>
        </w:rPr>
        <w:t>Spittaels, S., &amp; Meynen, N. (2007). Cartographie des intérêts dans les zones de conflit: le cas du Katanga. Antwerp: IPIS.</w:t>
      </w:r>
    </w:p>
    <w:p w14:paraId="27B2867F" w14:textId="7C837C36" w:rsidR="00AE7629" w:rsidRPr="006B7673" w:rsidRDefault="00AE7629" w:rsidP="00AE7629">
      <w:pPr>
        <w:rPr>
          <w:rFonts w:cs="Times New Roman"/>
          <w:szCs w:val="24"/>
          <w:lang w:eastAsia="nl-NL"/>
        </w:rPr>
      </w:pPr>
      <w:r w:rsidRPr="006B7673">
        <w:rPr>
          <w:rFonts w:cs="Times New Roman"/>
          <w:szCs w:val="24"/>
          <w:lang w:val="fr-FR" w:eastAsia="nl-NL"/>
        </w:rPr>
        <w:t xml:space="preserve">Unknown author. </w:t>
      </w:r>
      <w:r w:rsidRPr="006B7673">
        <w:rPr>
          <w:rFonts w:cs="Times New Roman"/>
          <w:szCs w:val="24"/>
          <w:lang w:val="de-DE" w:eastAsia="nl-NL"/>
        </w:rPr>
        <w:t xml:space="preserve">(2010). Lettre du chef de Kilenge à Kasenga-Mondwe. </w:t>
      </w:r>
      <w:r w:rsidRPr="006B7673">
        <w:rPr>
          <w:rFonts w:cs="Times New Roman"/>
          <w:szCs w:val="24"/>
          <w:lang w:eastAsia="nl-NL"/>
        </w:rPr>
        <w:t>Unpublished correspondence.</w:t>
      </w:r>
    </w:p>
    <w:p w14:paraId="06DE7D06" w14:textId="36748E47" w:rsidR="00AE7629" w:rsidRPr="006B7673" w:rsidRDefault="00AE7629" w:rsidP="00AE7629">
      <w:pPr>
        <w:rPr>
          <w:rFonts w:cs="Times New Roman"/>
          <w:szCs w:val="24"/>
          <w:lang w:eastAsia="nl-NL"/>
        </w:rPr>
      </w:pPr>
      <w:r w:rsidRPr="006B7673">
        <w:rPr>
          <w:rFonts w:cs="Times New Roman"/>
          <w:szCs w:val="24"/>
          <w:lang w:eastAsia="nl-NL"/>
        </w:rPr>
        <w:t xml:space="preserve">Upemba National Park. (2024). The High Cost of Conservation in the DRC [WWW Document]. Upemba National Park. URL </w:t>
      </w:r>
      <w:hyperlink r:id="rId78" w:tgtFrame="_new" w:history="1">
        <w:r w:rsidRPr="006B7673">
          <w:rPr>
            <w:rStyle w:val="Hyperlink"/>
            <w:rFonts w:cs="Times New Roman"/>
            <w:szCs w:val="24"/>
            <w:lang w:eastAsia="nl-NL"/>
          </w:rPr>
          <w:t>https://www.upemba.org/post/the-high-cost-of-conservation-in-the-drc</w:t>
        </w:r>
      </w:hyperlink>
      <w:r w:rsidRPr="006B7673">
        <w:rPr>
          <w:rFonts w:cs="Times New Roman"/>
          <w:szCs w:val="24"/>
          <w:lang w:eastAsia="nl-NL"/>
        </w:rPr>
        <w:t xml:space="preserve"> (accessed 1.19.26).</w:t>
      </w:r>
    </w:p>
    <w:p w14:paraId="206EFC37" w14:textId="34B09788" w:rsidR="00AE7629" w:rsidRPr="006B7673" w:rsidRDefault="00AE7629" w:rsidP="00AE7629">
      <w:pPr>
        <w:rPr>
          <w:rFonts w:cs="Times New Roman"/>
          <w:szCs w:val="24"/>
          <w:lang w:val="fr-FR" w:eastAsia="nl-NL"/>
        </w:rPr>
      </w:pPr>
      <w:r w:rsidRPr="006B7673">
        <w:rPr>
          <w:rFonts w:cs="Times New Roman"/>
          <w:szCs w:val="24"/>
          <w:lang w:val="nl-NL" w:eastAsia="nl-NL"/>
        </w:rPr>
        <w:t xml:space="preserve">Van Acker, F., &amp; Vlassenroot, K. (2001). </w:t>
      </w:r>
      <w:r w:rsidRPr="006B7673">
        <w:rPr>
          <w:rFonts w:cs="Times New Roman"/>
          <w:szCs w:val="24"/>
          <w:lang w:val="fr-FR" w:eastAsia="nl-NL"/>
        </w:rPr>
        <w:t>Les «maï-maï» et les fonctions de la violence milicienne dans l’est du Congo. Politique africaine, 84, 103</w:t>
      </w:r>
      <w:r w:rsidR="00507DA5" w:rsidRPr="006B7673">
        <w:rPr>
          <w:rFonts w:cs="Times New Roman"/>
          <w:szCs w:val="24"/>
          <w:lang w:val="fr-FR" w:eastAsia="nl-NL"/>
        </w:rPr>
        <w:t>-</w:t>
      </w:r>
      <w:r w:rsidRPr="006B7673">
        <w:rPr>
          <w:rFonts w:cs="Times New Roman"/>
          <w:szCs w:val="24"/>
          <w:lang w:val="fr-FR" w:eastAsia="nl-NL"/>
        </w:rPr>
        <w:t xml:space="preserve">116. </w:t>
      </w:r>
      <w:hyperlink r:id="rId79" w:tgtFrame="_new" w:history="1">
        <w:r w:rsidRPr="006B7673">
          <w:rPr>
            <w:rStyle w:val="Hyperlink"/>
            <w:rFonts w:cs="Times New Roman"/>
            <w:szCs w:val="24"/>
            <w:lang w:val="fr-FR" w:eastAsia="nl-NL"/>
          </w:rPr>
          <w:t>https://doi.org/10.3917/polaf.084.0103</w:t>
        </w:r>
      </w:hyperlink>
    </w:p>
    <w:p w14:paraId="5CCE83D3" w14:textId="77777777" w:rsidR="00AE7629" w:rsidRPr="006B7673" w:rsidRDefault="00AE7629" w:rsidP="00AE7629">
      <w:pPr>
        <w:rPr>
          <w:rFonts w:cs="Times New Roman"/>
          <w:szCs w:val="24"/>
          <w:lang w:eastAsia="nl-NL"/>
        </w:rPr>
      </w:pPr>
      <w:r w:rsidRPr="006B7673">
        <w:rPr>
          <w:rFonts w:cs="Times New Roman"/>
          <w:szCs w:val="24"/>
          <w:lang w:val="fr-FR" w:eastAsia="nl-NL"/>
        </w:rPr>
        <w:lastRenderedPageBreak/>
        <w:t xml:space="preserve">Van Leeuwe, H., Henschel, P., Pélissier, C., &amp; Moyer, D. (2009). Recensement des grands mammifères et impacts humains: Parcs Nationaux de l’Upemba et de Kundelungu, RDC. </w:t>
      </w:r>
      <w:r w:rsidRPr="006B7673">
        <w:rPr>
          <w:rFonts w:cs="Times New Roman"/>
          <w:szCs w:val="24"/>
          <w:lang w:eastAsia="nl-NL"/>
        </w:rPr>
        <w:t>Kinshasa: ICCN/WCS/USFWS/Panthera.</w:t>
      </w:r>
    </w:p>
    <w:p w14:paraId="79A4182E" w14:textId="52219BD9" w:rsidR="00AE7629" w:rsidRPr="006B7673" w:rsidRDefault="00AE7629" w:rsidP="00AE7629">
      <w:pPr>
        <w:rPr>
          <w:rFonts w:cs="Times New Roman"/>
          <w:szCs w:val="24"/>
          <w:lang w:eastAsia="nl-NL"/>
        </w:rPr>
      </w:pPr>
      <w:r w:rsidRPr="006B7673">
        <w:rPr>
          <w:rFonts w:cs="Times New Roman"/>
          <w:szCs w:val="24"/>
          <w:lang w:eastAsia="nl-NL"/>
        </w:rPr>
        <w:t xml:space="preserve">Villaespesa, P. (2020). Underprivileged youth become proud park rangers. IUCN NL. URL </w:t>
      </w:r>
      <w:hyperlink r:id="rId80" w:tgtFrame="_new" w:history="1">
        <w:r w:rsidRPr="006B7673">
          <w:rPr>
            <w:rStyle w:val="Hyperlink"/>
            <w:rFonts w:cs="Times New Roman"/>
            <w:szCs w:val="24"/>
            <w:lang w:eastAsia="nl-NL"/>
          </w:rPr>
          <w:t>https://www.iucn.nl/en/story/underprivileged-youth-become-proud-park-rangers/</w:t>
        </w:r>
      </w:hyperlink>
      <w:r w:rsidRPr="006B7673">
        <w:rPr>
          <w:rFonts w:cs="Times New Roman"/>
          <w:szCs w:val="24"/>
          <w:lang w:eastAsia="nl-NL"/>
        </w:rPr>
        <w:t xml:space="preserve"> (accessed 1.19.26).</w:t>
      </w:r>
    </w:p>
    <w:p w14:paraId="7AFEC1A2" w14:textId="3D4A961F" w:rsidR="00BD5C04" w:rsidRPr="00A364E7" w:rsidRDefault="00BD5C04" w:rsidP="00706EA8">
      <w:pPr>
        <w:spacing w:after="160" w:line="278" w:lineRule="auto"/>
      </w:pPr>
    </w:p>
    <w:sectPr w:rsidR="00BD5C04" w:rsidRPr="00A364E7" w:rsidSect="00FF4A3F">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Eikelboom, Jasper" w:date="2026-05-06T13:26:00Z" w:initials="JE">
    <w:p w14:paraId="1F008AE5" w14:textId="77777777" w:rsidR="00352442" w:rsidRDefault="00352442" w:rsidP="00FA222E">
      <w:pPr>
        <w:pStyle w:val="CommentText"/>
      </w:pPr>
      <w:r>
        <w:rPr>
          <w:rStyle w:val="CommentReference"/>
        </w:rPr>
        <w:annotationRef/>
      </w:r>
      <w:r>
        <w:t>Before reading your entire manuscript, this sentence sounds as if it is overselling the previous point. Finding a statistical relationship is one thing, but that does not yet automatically mean that you can reliably predict where and when such a disturbance took place without any labeled data.</w:t>
      </w:r>
    </w:p>
  </w:comment>
  <w:comment w:id="1" w:author="Eikelboom, Jasper" w:date="2026-05-06T13:23:00Z" w:initials="JE">
    <w:p w14:paraId="72DD3892" w14:textId="77777777" w:rsidR="00352442" w:rsidRDefault="00352442" w:rsidP="00B3318D">
      <w:pPr>
        <w:pStyle w:val="CommentText"/>
      </w:pPr>
      <w:r>
        <w:rPr>
          <w:rStyle w:val="CommentReference"/>
        </w:rPr>
        <w:annotationRef/>
      </w:r>
      <w:r>
        <w:t>I think this last sentence is not clear for a naive reader (“favorable disturbance” sounds in contrast with each other)</w:t>
      </w:r>
    </w:p>
  </w:comment>
  <w:comment w:id="2" w:author="Weber, Manuel" w:date="2026-05-27T07:26:00Z" w:initials="MW">
    <w:p w14:paraId="78186B6A" w14:textId="77777777" w:rsidR="00252F9C" w:rsidRDefault="00252F9C" w:rsidP="00252F9C">
      <w:pPr>
        <w:pStyle w:val="CommentText"/>
      </w:pPr>
      <w:r>
        <w:rPr>
          <w:rStyle w:val="CommentReference"/>
        </w:rPr>
        <w:annotationRef/>
      </w:r>
      <w:r>
        <w:t>Most RS studies look at static, absolute differences between inside and outside.</w:t>
      </w:r>
    </w:p>
  </w:comment>
  <w:comment w:id="3" w:author="Beurs, Kirsten de" w:date="2026-04-27T15:08:00Z" w:initials="BKd">
    <w:p w14:paraId="1F368D97" w14:textId="25092FAE" w:rsidR="005455DE" w:rsidRDefault="005455DE" w:rsidP="005455DE">
      <w:r>
        <w:rPr>
          <w:rStyle w:val="CommentReference"/>
        </w:rPr>
        <w:annotationRef/>
      </w:r>
      <w:r>
        <w:rPr>
          <w:sz w:val="20"/>
          <w:szCs w:val="20"/>
        </w:rPr>
        <w:t>I think it will be good if you could briefly state the size of the park here as well. Many readers may not be aware of the size of the park, but its size is important for RS analysis.</w:t>
      </w:r>
    </w:p>
  </w:comment>
  <w:comment w:id="6" w:author="Koch, Jennifer" w:date="2026-02-06T16:30:00Z" w:initials="JK">
    <w:p w14:paraId="6128329C" w14:textId="0637A021" w:rsidR="005A540E" w:rsidRDefault="005A540E" w:rsidP="005A540E">
      <w:pPr>
        <w:pStyle w:val="CommentText"/>
      </w:pPr>
      <w:r>
        <w:rPr>
          <w:rStyle w:val="CommentReference"/>
        </w:rPr>
        <w:annotationRef/>
      </w:r>
      <w:r>
        <w:t>I find the text quite hard to follow. Would it be possible to make the language less abstract and more specific?</w:t>
      </w:r>
    </w:p>
  </w:comment>
  <w:comment w:id="5" w:author="Weber, Manuel" w:date="2026-04-15T15:03:00Z" w:initials="MW">
    <w:p w14:paraId="526C251A" w14:textId="77777777" w:rsidR="00D12252" w:rsidRDefault="00D12252" w:rsidP="00D12252">
      <w:pPr>
        <w:pStyle w:val="CommentText"/>
      </w:pPr>
      <w:r>
        <w:rPr>
          <w:rStyle w:val="CommentReference"/>
        </w:rPr>
        <w:annotationRef/>
      </w:r>
      <w:r>
        <w:t>I finalized the integration of your comments. The methods are now likely too long and detailed. I will probably add an “Extended methods” section to the Appendix and trim here.</w:t>
      </w:r>
    </w:p>
  </w:comment>
  <w:comment w:id="4" w:author="Beurs, Kirsten de" w:date="2026-04-28T13:56:00Z" w:initials="BKd">
    <w:p w14:paraId="39AC4572" w14:textId="77777777" w:rsidR="002A3624" w:rsidRDefault="002A3624" w:rsidP="002A3624">
      <w:r>
        <w:rPr>
          <w:rStyle w:val="CommentReference"/>
        </w:rPr>
        <w:annotationRef/>
      </w:r>
      <w:r>
        <w:rPr>
          <w:sz w:val="20"/>
          <w:szCs w:val="20"/>
        </w:rPr>
        <w:t xml:space="preserve">Sometimes the Data section is presented before the Methods section, not within the Methods section. I have even seen Study Region --&gt; Data --&gt; Methods. Please check your target publication to determine how they typically organize. </w:t>
      </w:r>
    </w:p>
  </w:comment>
  <w:comment w:id="7" w:author="Weber, Manuel" w:date="2026-04-07T11:37:00Z" w:initials="MW">
    <w:p w14:paraId="00BE7FAF" w14:textId="4E717A69" w:rsidR="006F5474" w:rsidRDefault="003874C8" w:rsidP="006F5474">
      <w:pPr>
        <w:pStyle w:val="CommentText"/>
      </w:pPr>
      <w:r>
        <w:rPr>
          <w:rStyle w:val="CommentReference"/>
        </w:rPr>
        <w:annotationRef/>
      </w:r>
      <w:r w:rsidR="006F5474">
        <w:t>I tried to keep the entries as close to the headings as possible. I am very open to pointers on how I could make this more visually compelling.</w:t>
      </w:r>
    </w:p>
  </w:comment>
  <w:comment w:id="8" w:author="Beurs, Kirsten de" w:date="2026-04-28T11:48:00Z" w:initials="BKd">
    <w:p w14:paraId="44F50E96" w14:textId="77777777" w:rsidR="004759F0" w:rsidRDefault="004759F0" w:rsidP="004759F0">
      <w:r>
        <w:rPr>
          <w:rStyle w:val="CommentReference"/>
        </w:rPr>
        <w:annotationRef/>
      </w:r>
      <w:r>
        <w:rPr>
          <w:sz w:val="20"/>
          <w:szCs w:val="20"/>
        </w:rPr>
        <w:t>The figure is a bit dense, but I think it works.</w:t>
      </w:r>
    </w:p>
  </w:comment>
  <w:comment w:id="10" w:author="Koch, Jennifer" w:date="2026-02-06T16:00:00Z" w:initials="JK">
    <w:p w14:paraId="77678669" w14:textId="1C5C6914" w:rsidR="003210E2" w:rsidRDefault="003210E2" w:rsidP="003210E2">
      <w:pPr>
        <w:pStyle w:val="CommentText"/>
      </w:pPr>
      <w:r>
        <w:rPr>
          <w:rStyle w:val="CommentReference"/>
        </w:rPr>
        <w:annotationRef/>
      </w:r>
      <w:r>
        <w:t>Add a figure with the location of the study area.</w:t>
      </w:r>
    </w:p>
  </w:comment>
  <w:comment w:id="9" w:author="Koch, Jennifer" w:date="2026-02-16T14:43:00Z" w:initials="JK">
    <w:p w14:paraId="59FF8B2A" w14:textId="77777777" w:rsidR="00B33217" w:rsidRDefault="00B33217" w:rsidP="00B33217">
      <w:pPr>
        <w:pStyle w:val="CommentText"/>
      </w:pPr>
      <w:r>
        <w:rPr>
          <w:rStyle w:val="CommentReference"/>
        </w:rPr>
        <w:annotationRef/>
      </w:r>
      <w:r>
        <w:t>Would it be helpful to add some information on settlement numbers/people located in the study area?</w:t>
      </w:r>
    </w:p>
  </w:comment>
  <w:comment w:id="11" w:author="Eikelboom, Jasper" w:date="2026-02-25T13:22:00Z" w:initials="JE">
    <w:p w14:paraId="5029C593" w14:textId="0B688A8E" w:rsidR="009D1BCD" w:rsidRDefault="009D1BCD" w:rsidP="009D1BCD">
      <w:pPr>
        <w:pStyle w:val="CommentText"/>
      </w:pPr>
      <w:r>
        <w:rPr>
          <w:rStyle w:val="CommentReference"/>
        </w:rPr>
        <w:annotationRef/>
      </w:r>
      <w:r>
        <w:t>I think it would make more sense to split this over three separate tables, because they are actually already three separate tables with the captions breaking up the columns for the three different sets of datasets.</w:t>
      </w:r>
    </w:p>
  </w:comment>
  <w:comment w:id="12" w:author="Weber, Manuel" w:date="2026-04-07T11:35:00Z" w:initials="MW">
    <w:p w14:paraId="302DA4A2" w14:textId="77777777" w:rsidR="00EF7452" w:rsidRDefault="00EF7452" w:rsidP="00EF7452">
      <w:pPr>
        <w:pStyle w:val="CommentText"/>
      </w:pPr>
      <w:r>
        <w:rPr>
          <w:rStyle w:val="CommentReference"/>
        </w:rPr>
        <w:annotationRef/>
      </w:r>
      <w:r>
        <w:t>I’d love to hear Jennifer’s and Kirsten’s takes on this one. To me it feels cleaner this way...</w:t>
      </w:r>
    </w:p>
  </w:comment>
  <w:comment w:id="13" w:author="Koch, Jennifer" w:date="2026-04-27T11:48:00Z" w:initials="JK">
    <w:p w14:paraId="7C649224" w14:textId="77777777" w:rsidR="006F1B99" w:rsidRDefault="006F1B99" w:rsidP="006F1B99">
      <w:pPr>
        <w:pStyle w:val="CommentText"/>
      </w:pPr>
      <w:r>
        <w:rPr>
          <w:rStyle w:val="CommentReference"/>
        </w:rPr>
        <w:annotationRef/>
      </w:r>
      <w:r>
        <w:t>I don’t have a strong opinion about this.</w:t>
      </w:r>
    </w:p>
  </w:comment>
  <w:comment w:id="14" w:author="Beurs, Kirsten de" w:date="2026-04-28T13:54:00Z" w:initials="BKd">
    <w:p w14:paraId="0A6700B2" w14:textId="77777777" w:rsidR="00525512" w:rsidRDefault="00525512" w:rsidP="00525512">
      <w:r>
        <w:rPr>
          <w:rStyle w:val="CommentReference"/>
        </w:rPr>
        <w:annotationRef/>
      </w:r>
      <w:r>
        <w:rPr>
          <w:sz w:val="20"/>
          <w:szCs w:val="20"/>
        </w:rPr>
        <w:t xml:space="preserve">I am not sure how you see 3 different tables. I see 2: the Baseline covariates and the disturbance indicators. I would indeed split those two tables, because they target different analysis. </w:t>
      </w:r>
    </w:p>
  </w:comment>
  <w:comment w:id="15" w:author="Beurs, Kirsten de" w:date="2026-04-28T13:53:00Z" w:initials="BKd">
    <w:p w14:paraId="6534BDAA" w14:textId="77777777" w:rsidR="00A04C81" w:rsidRDefault="00A04C81" w:rsidP="00A04C81">
      <w:r>
        <w:rPr>
          <w:rStyle w:val="CommentReference"/>
        </w:rPr>
        <w:annotationRef/>
      </w:r>
      <w:r>
        <w:rPr>
          <w:sz w:val="20"/>
          <w:szCs w:val="20"/>
        </w:rPr>
        <w:t xml:space="preserve">Why are you using precipitation from a different dataset than PET and AET. TerraClimate also has precipitation. </w:t>
      </w:r>
    </w:p>
  </w:comment>
  <w:comment w:id="16" w:author="Eikelboom, Jasper" w:date="2026-02-25T16:58:00Z" w:initials="JE">
    <w:p w14:paraId="40CD07CD" w14:textId="77777777" w:rsidR="00F66429" w:rsidRDefault="00F66429" w:rsidP="00F66429">
      <w:pPr>
        <w:pStyle w:val="CommentText"/>
      </w:pPr>
      <w:r>
        <w:rPr>
          <w:rStyle w:val="CommentReference"/>
        </w:rPr>
        <w:annotationRef/>
      </w:r>
      <w:r>
        <w:rPr>
          <w:lang w:val="en-GB"/>
        </w:rPr>
        <w:t>Meaning?</w:t>
      </w:r>
    </w:p>
  </w:comment>
  <w:comment w:id="17" w:author="Eikelboom, Jasper" w:date="2026-02-25T16:58:00Z" w:initials="JE">
    <w:p w14:paraId="7DFE9F95" w14:textId="77777777" w:rsidR="0095784F" w:rsidRDefault="0095784F" w:rsidP="0095784F">
      <w:pPr>
        <w:pStyle w:val="CommentText"/>
      </w:pPr>
      <w:r>
        <w:rPr>
          <w:rStyle w:val="CommentReference"/>
        </w:rPr>
        <w:annotationRef/>
      </w:r>
      <w:r>
        <w:rPr>
          <w:lang w:val="en-GB"/>
        </w:rPr>
        <w:t>...resolution</w:t>
      </w:r>
    </w:p>
  </w:comment>
  <w:comment w:id="18" w:author="Eikelboom, Jasper" w:date="2026-02-25T16:58:00Z" w:initials="JE">
    <w:p w14:paraId="2B248144" w14:textId="77777777" w:rsidR="00F66429" w:rsidRDefault="00F66429" w:rsidP="00F66429">
      <w:pPr>
        <w:pStyle w:val="CommentText"/>
      </w:pPr>
      <w:r>
        <w:rPr>
          <w:rStyle w:val="CommentReference"/>
        </w:rPr>
        <w:annotationRef/>
      </w:r>
      <w:r>
        <w:rPr>
          <w:lang w:val="en-GB"/>
        </w:rPr>
        <w:t>Provide version</w:t>
      </w:r>
    </w:p>
  </w:comment>
  <w:comment w:id="20" w:author="Weber, Manuel" w:date="2026-04-07T11:34:00Z" w:initials="MW">
    <w:p w14:paraId="01A58F1B" w14:textId="77777777" w:rsidR="009E29B7" w:rsidRDefault="009E29B7" w:rsidP="009E29B7">
      <w:pPr>
        <w:pStyle w:val="CommentText"/>
      </w:pPr>
      <w:r>
        <w:rPr>
          <w:rStyle w:val="CommentReference"/>
        </w:rPr>
        <w:annotationRef/>
      </w:r>
      <w:r>
        <w:t>I first had two maps, one to introduce the study area, and one to visualize the SESUs. I had the feeling that keeping both would introduce some redundancy.</w:t>
      </w:r>
    </w:p>
  </w:comment>
  <w:comment w:id="21" w:author="Koch, Jennifer" w:date="2026-04-27T11:57:00Z" w:initials="JK">
    <w:p w14:paraId="72BFB676" w14:textId="77777777" w:rsidR="00451CBB" w:rsidRDefault="00451CBB" w:rsidP="00451CBB">
      <w:pPr>
        <w:pStyle w:val="CommentText"/>
      </w:pPr>
      <w:r>
        <w:rPr>
          <w:rStyle w:val="CommentReference"/>
        </w:rPr>
        <w:annotationRef/>
      </w:r>
      <w:r>
        <w:t>I really like this map!</w:t>
      </w:r>
    </w:p>
  </w:comment>
  <w:comment w:id="22" w:author="Eikelboom, Jasper" w:date="2026-02-25T13:14:00Z" w:initials="JE">
    <w:p w14:paraId="74ACB4B2" w14:textId="4BFE4246" w:rsidR="00D84C58" w:rsidRDefault="00D84C58" w:rsidP="00D84C58">
      <w:pPr>
        <w:pStyle w:val="CommentText"/>
      </w:pPr>
      <w:r>
        <w:rPr>
          <w:rStyle w:val="CommentReference"/>
        </w:rPr>
        <w:annotationRef/>
      </w:r>
      <w:r>
        <w:t>This is still not clear to me, do you simply mean the rectangular extent of the entire map? A polygon can also be irregularly shaped, hence my confusion if I should look for any borders in the map or not.</w:t>
      </w:r>
    </w:p>
  </w:comment>
  <w:comment w:id="23" w:author="Eikelboom, Jasper" w:date="2026-05-06T14:01:00Z" w:initials="JE">
    <w:p w14:paraId="14E04D75" w14:textId="77777777" w:rsidR="00566B09" w:rsidRDefault="00566B09" w:rsidP="00566B09">
      <w:pPr>
        <w:pStyle w:val="CommentText"/>
      </w:pPr>
      <w:r>
        <w:rPr>
          <w:rStyle w:val="CommentReference"/>
        </w:rPr>
        <w:annotationRef/>
      </w:r>
      <w:r>
        <w:t>Move to the first mention of this, thereafter you can refer to as ‘side’ as you did in other places</w:t>
      </w:r>
    </w:p>
  </w:comment>
  <w:comment w:id="24" w:author="Eikelboom, Jasper" w:date="2026-05-06T14:02:00Z" w:initials="JE">
    <w:p w14:paraId="6C70C2EE" w14:textId="77777777" w:rsidR="00146723" w:rsidRDefault="00146723" w:rsidP="00146723">
      <w:pPr>
        <w:pStyle w:val="CommentText"/>
      </w:pPr>
      <w:r>
        <w:rPr>
          <w:rStyle w:val="CommentReference"/>
        </w:rPr>
        <w:annotationRef/>
      </w:r>
      <w:r>
        <w:t>Can you clarify here why you’ve chosen for this threshold?</w:t>
      </w:r>
    </w:p>
  </w:comment>
  <w:comment w:id="25" w:author="Eikelboom, Jasper" w:date="2026-05-06T14:04:00Z" w:initials="JE">
    <w:p w14:paraId="2FD87FCC" w14:textId="77777777" w:rsidR="00723096" w:rsidRDefault="00723096" w:rsidP="00723096">
      <w:pPr>
        <w:pStyle w:val="CommentText"/>
      </w:pPr>
      <w:r>
        <w:rPr>
          <w:rStyle w:val="CommentReference"/>
        </w:rPr>
        <w:annotationRef/>
      </w:r>
      <w:r>
        <w:t>Ah, you actually do explain it. Maybe refer to this section when you talk about the 25% threshold earlier in the text?</w:t>
      </w:r>
    </w:p>
  </w:comment>
  <w:comment w:id="26" w:author="Eikelboom, Jasper" w:date="2026-05-06T14:18:00Z" w:initials="JE">
    <w:p w14:paraId="47C2F9A8" w14:textId="77777777" w:rsidR="009D067E" w:rsidRDefault="009D067E" w:rsidP="009D067E">
      <w:pPr>
        <w:pStyle w:val="CommentText"/>
      </w:pPr>
      <w:r>
        <w:rPr>
          <w:rStyle w:val="CommentReference"/>
        </w:rPr>
        <w:annotationRef/>
      </w:r>
      <w:r>
        <w:t>You switch to present tense here</w:t>
      </w:r>
    </w:p>
  </w:comment>
  <w:comment w:id="27" w:author="Beurs, Kirsten de" w:date="2026-02-20T21:12:00Z" w:initials="KB">
    <w:p w14:paraId="5883CD79" w14:textId="57935A4D" w:rsidR="005F38E4" w:rsidRDefault="005F38E4" w:rsidP="005F38E4">
      <w:r>
        <w:rPr>
          <w:rStyle w:val="CommentReference"/>
        </w:rPr>
        <w:annotationRef/>
      </w:r>
      <w:r>
        <w:rPr>
          <w:sz w:val="20"/>
          <w:szCs w:val="20"/>
        </w:rPr>
        <w:t>Here too I find you a bit difficult to follow. And I wonder if this is how it is typically done in the literature? If so, can you cite?</w:t>
      </w:r>
    </w:p>
  </w:comment>
  <w:comment w:id="29" w:author="Eikelboom, Jasper" w:date="2026-02-25T17:17:00Z" w:initials="JE">
    <w:p w14:paraId="31A0399C" w14:textId="77777777" w:rsidR="00A12425" w:rsidRDefault="00A12425" w:rsidP="00A12425">
      <w:pPr>
        <w:pStyle w:val="CommentText"/>
      </w:pPr>
      <w:r>
        <w:rPr>
          <w:rStyle w:val="CommentReference"/>
        </w:rPr>
        <w:annotationRef/>
      </w:r>
      <w:r>
        <w:rPr>
          <w:lang w:val="en-GB"/>
        </w:rPr>
        <w:t>I don’t think you have clarified why a Beta-binomial distribution would be a good fit for your model. This choice should be made clear to the reader</w:t>
      </w:r>
    </w:p>
  </w:comment>
  <w:comment w:id="28" w:author="Weber, Manuel" w:date="2026-05-28T09:43:00Z" w:initials="MW">
    <w:p w14:paraId="1E4491A5" w14:textId="77777777" w:rsidR="00A1577D" w:rsidRDefault="00A1577D" w:rsidP="00A1577D">
      <w:pPr>
        <w:pStyle w:val="CommentText"/>
      </w:pPr>
      <w:r>
        <w:rPr>
          <w:rStyle w:val="CommentReference"/>
        </w:rPr>
        <w:annotationRef/>
      </w:r>
      <w:r>
        <w:t>Why not RF or xgboost?</w:t>
      </w:r>
    </w:p>
  </w:comment>
  <w:comment w:id="30" w:author="Koch, Jennifer" w:date="2026-02-16T16:44:00Z" w:initials="JK">
    <w:p w14:paraId="4AB690A4" w14:textId="1725236F" w:rsidR="00E10AB4" w:rsidRDefault="00E10AB4" w:rsidP="00E10AB4">
      <w:pPr>
        <w:pStyle w:val="CommentText"/>
      </w:pPr>
      <w:r>
        <w:rPr>
          <w:rStyle w:val="CommentReference"/>
        </w:rPr>
        <w:annotationRef/>
      </w:r>
      <w:r>
        <w:t>Specify where you first introduce side, that you are referring to National Park side (inside, outside). It is not clear above.</w:t>
      </w:r>
    </w:p>
  </w:comment>
  <w:comment w:id="32" w:author="Eikelboom, Jasper" w:date="2026-02-25T17:27:00Z" w:initials="JE">
    <w:p w14:paraId="237CFEB5" w14:textId="77777777" w:rsidR="00FC2D21" w:rsidRDefault="00FC2D21" w:rsidP="00FC2D21">
      <w:pPr>
        <w:pStyle w:val="CommentText"/>
      </w:pPr>
      <w:r>
        <w:rPr>
          <w:rStyle w:val="CommentReference"/>
        </w:rPr>
        <w:annotationRef/>
      </w:r>
      <w:r>
        <w:rPr>
          <w:lang w:val="en-GB"/>
        </w:rPr>
        <w:t>Same with the brackets as the other remark I made</w:t>
      </w:r>
    </w:p>
  </w:comment>
  <w:comment w:id="33" w:author="Eikelboom, Jasper" w:date="2026-05-06T14:25:00Z" w:initials="JE">
    <w:p w14:paraId="20AD4758" w14:textId="77777777" w:rsidR="00B53CA2" w:rsidRDefault="00B53CA2" w:rsidP="00B53CA2">
      <w:pPr>
        <w:pStyle w:val="CommentText"/>
      </w:pPr>
      <w:r>
        <w:rPr>
          <w:rStyle w:val="CommentReference"/>
        </w:rPr>
        <w:annotationRef/>
      </w:r>
      <w:r>
        <w:t>This is very elegant!</w:t>
      </w:r>
    </w:p>
  </w:comment>
  <w:comment w:id="31" w:author="Beurs, Kirsten de" w:date="2026-02-20T21:15:00Z" w:initials="KB">
    <w:p w14:paraId="4FF62E35" w14:textId="5E940C37" w:rsidR="006A2B01" w:rsidRDefault="006A2B01" w:rsidP="006A2B01">
      <w:r>
        <w:rPr>
          <w:rStyle w:val="CommentReference"/>
        </w:rPr>
        <w:annotationRef/>
      </w:r>
      <w:r>
        <w:rPr>
          <w:sz w:val="20"/>
          <w:szCs w:val="20"/>
        </w:rPr>
        <w:t>A conceptual diagram of what you are putting together with what will make this easier to follow.</w:t>
      </w:r>
    </w:p>
  </w:comment>
  <w:comment w:id="34" w:author="Eikelboom, Jasper" w:date="2026-05-06T14:29:00Z" w:initials="JE">
    <w:p w14:paraId="5E2B4E72" w14:textId="77777777" w:rsidR="00C64536" w:rsidRDefault="00C64536" w:rsidP="00C64536">
      <w:pPr>
        <w:pStyle w:val="CommentText"/>
      </w:pPr>
      <w:r>
        <w:rPr>
          <w:rStyle w:val="CommentReference"/>
        </w:rPr>
        <w:annotationRef/>
      </w:r>
      <w:r>
        <w:t>Good! This solves my concern in the abstract, but this is something that then needs to be mentioned in the abstract as well to backup your strong claim that RS data can be used to detect territory control.</w:t>
      </w:r>
    </w:p>
  </w:comment>
  <w:comment w:id="35" w:author="Beurs, Kirsten de" w:date="2026-02-20T21:18:00Z" w:initials="KB">
    <w:p w14:paraId="2987139B" w14:textId="59665B7A" w:rsidR="0012561B" w:rsidRDefault="0012561B" w:rsidP="0012561B">
      <w:r>
        <w:rPr>
          <w:rStyle w:val="CommentReference"/>
        </w:rPr>
        <w:annotationRef/>
      </w:r>
      <w:r>
        <w:rPr>
          <w:sz w:val="20"/>
          <w:szCs w:val="20"/>
        </w:rPr>
        <w:t>Can you add a scale bar, or a coordinate frame (preferred)? for the small overview map, can you provide some country labels?</w:t>
      </w:r>
    </w:p>
  </w:comment>
  <w:comment w:id="36" w:author="Weber, Manuel" w:date="2026-05-26T19:38:00Z" w:initials="MW">
    <w:p w14:paraId="76AD5B12" w14:textId="77777777" w:rsidR="007F084E" w:rsidRDefault="00C50FE4" w:rsidP="007F084E">
      <w:pPr>
        <w:pStyle w:val="CommentText"/>
      </w:pPr>
      <w:r>
        <w:rPr>
          <w:rStyle w:val="CommentReference"/>
        </w:rPr>
        <w:annotationRef/>
      </w:r>
      <w:r w:rsidR="007F084E">
        <w:t>Add start and end date in different symbology.</w:t>
      </w:r>
    </w:p>
    <w:p w14:paraId="5B8BBD0F" w14:textId="77777777" w:rsidR="007F084E" w:rsidRDefault="007F084E" w:rsidP="007F084E">
      <w:pPr>
        <w:pStyle w:val="CommentText"/>
      </w:pPr>
      <w:r>
        <w:t>Check “regime’</w:t>
      </w:r>
    </w:p>
  </w:comment>
  <w:comment w:id="37" w:author="Weber, Manuel" w:date="2026-05-26T13:24:00Z" w:initials="MW">
    <w:p w14:paraId="795A6731" w14:textId="77777777" w:rsidR="002753AE" w:rsidRDefault="002753AE" w:rsidP="002753AE">
      <w:pPr>
        <w:pStyle w:val="CommentText"/>
      </w:pPr>
      <w:r>
        <w:rPr>
          <w:rStyle w:val="CommentReference"/>
        </w:rPr>
        <w:annotationRef/>
      </w:r>
      <w:r>
        <w:t>Discuss how gov regime B affects overall disturbance levels, justify why we stick to boundary permeability metrics.</w:t>
      </w:r>
    </w:p>
  </w:comment>
  <w:comment w:id="38" w:author="Eikelboom, Jasper" w:date="2026-05-06T14:39:00Z" w:initials="JE">
    <w:p w14:paraId="2C644478" w14:textId="77777777" w:rsidR="0038197E" w:rsidRDefault="0038197E" w:rsidP="0038197E">
      <w:pPr>
        <w:pStyle w:val="CommentText"/>
      </w:pPr>
      <w:r>
        <w:rPr>
          <w:rStyle w:val="CommentReference"/>
        </w:rPr>
        <w:annotationRef/>
      </w:r>
      <w:r>
        <w:t>So this is from a model with SESU and year also as fixed effects, together with side, park an mai-mai like described above? Why don’t you list the estimates etc of SESU and year not then? I understand the focus of the paper is not on those metrics, but is good to include for contrast and completeness.</w:t>
      </w:r>
    </w:p>
  </w:comment>
  <w:comment w:id="39" w:author="Weber, Manuel" w:date="2026-05-27T21:32:00Z" w:initials="MW">
    <w:p w14:paraId="64543078" w14:textId="77777777" w:rsidR="00D60FDC" w:rsidRDefault="00916171" w:rsidP="00D60FDC">
      <w:pPr>
        <w:pStyle w:val="CommentText"/>
      </w:pPr>
      <w:r>
        <w:rPr>
          <w:rStyle w:val="CommentReference"/>
        </w:rPr>
        <w:annotationRef/>
      </w:r>
      <w:r w:rsidR="00D60FDC">
        <w:t>Update, list fixed effects for all coefficients, incl. years.</w:t>
      </w:r>
    </w:p>
  </w:comment>
  <w:comment w:id="40" w:author="Beurs, Kirsten de" w:date="2026-05-04T13:31:00Z" w:initials="BKd">
    <w:p w14:paraId="234F67D0" w14:textId="30A28150" w:rsidR="001A26ED" w:rsidRDefault="001A26ED" w:rsidP="001A26ED">
      <w:r>
        <w:rPr>
          <w:rStyle w:val="CommentReference"/>
        </w:rPr>
        <w:annotationRef/>
      </w:r>
      <w:r>
        <w:rPr>
          <w:sz w:val="20"/>
          <w:szCs w:val="20"/>
        </w:rPr>
        <w:t>I believe it would be better to add this section to the paper. It is an important contribution and should not be in the appendix.</w:t>
      </w:r>
    </w:p>
  </w:comment>
  <w:comment w:id="41" w:author="Beurs, Kirsten de" w:date="2026-05-04T13:36:00Z" w:initials="BKd">
    <w:p w14:paraId="2A0DC6E3" w14:textId="77777777" w:rsidR="008E1AC9" w:rsidRDefault="008E1AC9" w:rsidP="008E1AC9">
      <w:r>
        <w:rPr>
          <w:rStyle w:val="CommentReference"/>
        </w:rPr>
        <w:annotationRef/>
      </w:r>
      <w:r>
        <w:rPr>
          <w:sz w:val="20"/>
          <w:szCs w:val="20"/>
        </w:rPr>
        <w:t>It occurs to me that the sections below lend themselves well for a timeline figure. I will provide an example. I think the time line needs to be part of the paper. With some of this text in the appendix.</w:t>
      </w:r>
    </w:p>
  </w:comment>
  <w:comment w:id="42" w:author="Beurs, Kirsten de" w:date="2026-05-04T13:33:00Z" w:initials="BKd">
    <w:p w14:paraId="153E846F" w14:textId="1F154701" w:rsidR="00C12166" w:rsidRDefault="00C12166" w:rsidP="00C12166">
      <w:r>
        <w:rPr>
          <w:rStyle w:val="CommentReference"/>
        </w:rPr>
        <w:annotationRef/>
      </w:r>
      <w:r>
        <w:rPr>
          <w:sz w:val="20"/>
          <w:szCs w:val="20"/>
        </w:rPr>
        <w:t>This is some of the explanation that I asked for higher up. It should be in the paper itself.</w:t>
      </w:r>
    </w:p>
  </w:comment>
  <w:comment w:id="43" w:author="Beurs, Kirsten de" w:date="2026-05-04T13:37:00Z" w:initials="BKd">
    <w:p w14:paraId="07A3A2C5" w14:textId="77777777" w:rsidR="003821D0" w:rsidRDefault="00B62404" w:rsidP="003821D0">
      <w:r>
        <w:rPr>
          <w:rStyle w:val="CommentReference"/>
        </w:rPr>
        <w:annotationRef/>
      </w:r>
      <w:r w:rsidR="003821D0">
        <w:rPr>
          <w:sz w:val="20"/>
          <w:szCs w:val="20"/>
        </w:rPr>
        <w:t>I assumed these numbers are your ordinal scores? Make that more clear in the caption. And caption all the tables.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F008AE5" w15:done="1"/>
  <w15:commentEx w15:paraId="72DD3892" w15:done="1"/>
  <w15:commentEx w15:paraId="78186B6A" w15:done="1"/>
  <w15:commentEx w15:paraId="1F368D97" w15:done="1"/>
  <w15:commentEx w15:paraId="6128329C" w15:done="1"/>
  <w15:commentEx w15:paraId="526C251A" w15:done="1"/>
  <w15:commentEx w15:paraId="39AC4572" w15:done="1"/>
  <w15:commentEx w15:paraId="00BE7FAF" w15:done="1"/>
  <w15:commentEx w15:paraId="44F50E96" w15:paraIdParent="00BE7FAF" w15:done="1"/>
  <w15:commentEx w15:paraId="77678669" w15:done="1"/>
  <w15:commentEx w15:paraId="59FF8B2A" w15:done="1"/>
  <w15:commentEx w15:paraId="5029C593" w15:done="1"/>
  <w15:commentEx w15:paraId="302DA4A2" w15:paraIdParent="5029C593" w15:done="1"/>
  <w15:commentEx w15:paraId="7C649224" w15:paraIdParent="5029C593" w15:done="1"/>
  <w15:commentEx w15:paraId="0A6700B2" w15:paraIdParent="5029C593" w15:done="1"/>
  <w15:commentEx w15:paraId="6534BDAA" w15:done="1"/>
  <w15:commentEx w15:paraId="40CD07CD" w15:done="1"/>
  <w15:commentEx w15:paraId="7DFE9F95" w15:done="1"/>
  <w15:commentEx w15:paraId="2B248144" w15:done="1"/>
  <w15:commentEx w15:paraId="01A58F1B" w15:done="1"/>
  <w15:commentEx w15:paraId="72BFB676" w15:paraIdParent="01A58F1B" w15:done="1"/>
  <w15:commentEx w15:paraId="74ACB4B2" w15:done="1"/>
  <w15:commentEx w15:paraId="14E04D75" w15:done="1"/>
  <w15:commentEx w15:paraId="6C70C2EE" w15:done="1"/>
  <w15:commentEx w15:paraId="2FD87FCC" w15:done="1"/>
  <w15:commentEx w15:paraId="47C2F9A8" w15:done="1"/>
  <w15:commentEx w15:paraId="5883CD79" w15:done="1"/>
  <w15:commentEx w15:paraId="31A0399C" w15:done="1"/>
  <w15:commentEx w15:paraId="1E4491A5" w15:done="1"/>
  <w15:commentEx w15:paraId="4AB690A4" w15:done="1"/>
  <w15:commentEx w15:paraId="237CFEB5" w15:done="1"/>
  <w15:commentEx w15:paraId="20AD4758" w15:done="1"/>
  <w15:commentEx w15:paraId="4FF62E35" w15:done="1"/>
  <w15:commentEx w15:paraId="5E2B4E72" w15:done="1"/>
  <w15:commentEx w15:paraId="2987139B" w15:done="1"/>
  <w15:commentEx w15:paraId="5B8BBD0F" w15:done="1"/>
  <w15:commentEx w15:paraId="795A6731" w15:done="1"/>
  <w15:commentEx w15:paraId="2C644478" w15:done="1"/>
  <w15:commentEx w15:paraId="64543078" w15:done="1"/>
  <w15:commentEx w15:paraId="234F67D0" w15:done="1"/>
  <w15:commentEx w15:paraId="2A0DC6E3" w15:done="1"/>
  <w15:commentEx w15:paraId="153E846F" w15:done="1"/>
  <w15:commentEx w15:paraId="07A3A2C5"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CCBC8F" w16cex:dateUtc="2026-05-06T11:26:00Z"/>
  <w16cex:commentExtensible w16cex:durableId="241D506D" w16cex:dateUtc="2026-05-06T11:23:00Z"/>
  <w16cex:commentExtensible w16cex:durableId="6C0269D2" w16cex:dateUtc="2026-05-27T05:26:00Z"/>
  <w16cex:commentExtensible w16cex:durableId="2BBD5FDE" w16cex:dateUtc="2026-04-27T13:08:00Z"/>
  <w16cex:commentExtensible w16cex:durableId="0FAF59B0" w16cex:dateUtc="2026-02-06T15:30:00Z">
    <w16cex:extLst>
      <w16:ext w16:uri="{CE6994B0-6A32-4C9F-8C6B-6E91EDA988CE}">
        <cr:reactions xmlns:cr="http://schemas.microsoft.com/office/comments/2020/reactions">
          <cr:reaction reactionType="1">
            <cr:reactionInfo dateUtc="2026-02-13T08:40:52Z">
              <cr:user userId="S::manuel.weber@wur.nl::a06998fa-4ecd-4aa1-83bf-15d772b84697" userProvider="AD" userName="Weber, Manuel"/>
            </cr:reactionInfo>
          </cr:reaction>
        </cr:reactions>
      </w16:ext>
    </w16cex:extLst>
  </w16cex:commentExtensible>
  <w16cex:commentExtensible w16cex:durableId="029BB9CF" w16cex:dateUtc="2026-04-15T13:03:00Z"/>
  <w16cex:commentExtensible w16cex:durableId="6FF933D2" w16cex:dateUtc="2026-04-28T11:56:00Z"/>
  <w16cex:commentExtensible w16cex:durableId="2BB5E93B" w16cex:dateUtc="2026-04-07T09:37:00Z"/>
  <w16cex:commentExtensible w16cex:durableId="15EAC7EE" w16cex:dateUtc="2026-04-28T09:48:00Z"/>
  <w16cex:commentExtensible w16cex:durableId="714AB894" w16cex:dateUtc="2026-02-06T15:00:00Z"/>
  <w16cex:commentExtensible w16cex:durableId="1754BB44" w16cex:dateUtc="2026-02-16T13:43:00Z"/>
  <w16cex:commentExtensible w16cex:durableId="4CCD965E" w16cex:dateUtc="2026-02-25T12:22:00Z"/>
  <w16cex:commentExtensible w16cex:durableId="52065103" w16cex:dateUtc="2026-04-07T09:35:00Z"/>
  <w16cex:commentExtensible w16cex:durableId="0062C525" w16cex:dateUtc="2026-04-27T09:48:00Z"/>
  <w16cex:commentExtensible w16cex:durableId="6E29CC8C" w16cex:dateUtc="2026-04-28T11:54:00Z"/>
  <w16cex:commentExtensible w16cex:durableId="694272C8" w16cex:dateUtc="2026-04-28T11:53:00Z"/>
  <w16cex:commentExtensible w16cex:durableId="57276455" w16cex:dateUtc="2026-02-25T15:58:00Z"/>
  <w16cex:commentExtensible w16cex:durableId="4E9BEDF0" w16cex:dateUtc="2026-02-25T15:58:00Z"/>
  <w16cex:commentExtensible w16cex:durableId="590DDCE3" w16cex:dateUtc="2026-02-25T15:58:00Z"/>
  <w16cex:commentExtensible w16cex:durableId="6D696408" w16cex:dateUtc="2026-04-07T09:34:00Z"/>
  <w16cex:commentExtensible w16cex:durableId="2E181F13" w16cex:dateUtc="2026-04-27T09:57:00Z"/>
  <w16cex:commentExtensible w16cex:durableId="61B36C94" w16cex:dateUtc="2026-02-25T12:14:00Z"/>
  <w16cex:commentExtensible w16cex:durableId="4C3381F4" w16cex:dateUtc="2026-05-06T12:01:00Z"/>
  <w16cex:commentExtensible w16cex:durableId="40B1B305" w16cex:dateUtc="2026-05-06T12:02:00Z"/>
  <w16cex:commentExtensible w16cex:durableId="0C11041B" w16cex:dateUtc="2026-05-06T12:04:00Z"/>
  <w16cex:commentExtensible w16cex:durableId="2BD2BD2C" w16cex:dateUtc="2026-05-06T12:18:00Z"/>
  <w16cex:commentExtensible w16cex:durableId="1F8DBC0B" w16cex:dateUtc="2026-02-20T20:12:00Z"/>
  <w16cex:commentExtensible w16cex:durableId="6545EE9B" w16cex:dateUtc="2026-02-25T16:17:00Z"/>
  <w16cex:commentExtensible w16cex:durableId="1A28729B" w16cex:dateUtc="2026-05-28T07:43:00Z"/>
  <w16cex:commentExtensible w16cex:durableId="0D844506" w16cex:dateUtc="2026-02-16T15:44:00Z"/>
  <w16cex:commentExtensible w16cex:durableId="485B1E19" w16cex:dateUtc="2026-02-25T16:27:00Z"/>
  <w16cex:commentExtensible w16cex:durableId="33EACA14" w16cex:dateUtc="2026-05-06T12:25:00Z"/>
  <w16cex:commentExtensible w16cex:durableId="404B315F" w16cex:dateUtc="2026-02-20T20:15:00Z"/>
  <w16cex:commentExtensible w16cex:durableId="430AE8B9" w16cex:dateUtc="2026-05-06T12:29:00Z"/>
  <w16cex:commentExtensible w16cex:durableId="693E51CC" w16cex:dateUtc="2026-02-20T20:18:00Z"/>
  <w16cex:commentExtensible w16cex:durableId="48BFFD37" w16cex:dateUtc="2026-05-26T17:38:00Z"/>
  <w16cex:commentExtensible w16cex:durableId="7B6C4F18" w16cex:dateUtc="2026-05-26T11:24:00Z"/>
  <w16cex:commentExtensible w16cex:durableId="6CC68170" w16cex:dateUtc="2026-05-06T12:39:00Z"/>
  <w16cex:commentExtensible w16cex:durableId="324F7C3A" w16cex:dateUtc="2026-05-27T19:32:00Z"/>
  <w16cex:commentExtensible w16cex:durableId="19D0746E" w16cex:dateUtc="2026-05-04T11:31:00Z"/>
  <w16cex:commentExtensible w16cex:durableId="69634D02" w16cex:dateUtc="2026-05-04T11:36:00Z"/>
  <w16cex:commentExtensible w16cex:durableId="1E13AB2E" w16cex:dateUtc="2026-05-04T11:33:00Z"/>
  <w16cex:commentExtensible w16cex:durableId="5217D7DE" w16cex:dateUtc="2026-05-04T11:3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F008AE5" w16cid:durableId="08CCBC8F"/>
  <w16cid:commentId w16cid:paraId="72DD3892" w16cid:durableId="241D506D"/>
  <w16cid:commentId w16cid:paraId="78186B6A" w16cid:durableId="6C0269D2"/>
  <w16cid:commentId w16cid:paraId="1F368D97" w16cid:durableId="2BBD5FDE"/>
  <w16cid:commentId w16cid:paraId="6128329C" w16cid:durableId="0FAF59B0"/>
  <w16cid:commentId w16cid:paraId="526C251A" w16cid:durableId="029BB9CF"/>
  <w16cid:commentId w16cid:paraId="39AC4572" w16cid:durableId="6FF933D2"/>
  <w16cid:commentId w16cid:paraId="00BE7FAF" w16cid:durableId="2BB5E93B"/>
  <w16cid:commentId w16cid:paraId="44F50E96" w16cid:durableId="15EAC7EE"/>
  <w16cid:commentId w16cid:paraId="77678669" w16cid:durableId="714AB894"/>
  <w16cid:commentId w16cid:paraId="59FF8B2A" w16cid:durableId="1754BB44"/>
  <w16cid:commentId w16cid:paraId="5029C593" w16cid:durableId="4CCD965E"/>
  <w16cid:commentId w16cid:paraId="302DA4A2" w16cid:durableId="52065103"/>
  <w16cid:commentId w16cid:paraId="7C649224" w16cid:durableId="0062C525"/>
  <w16cid:commentId w16cid:paraId="0A6700B2" w16cid:durableId="6E29CC8C"/>
  <w16cid:commentId w16cid:paraId="6534BDAA" w16cid:durableId="694272C8"/>
  <w16cid:commentId w16cid:paraId="40CD07CD" w16cid:durableId="57276455"/>
  <w16cid:commentId w16cid:paraId="7DFE9F95" w16cid:durableId="4E9BEDF0"/>
  <w16cid:commentId w16cid:paraId="2B248144" w16cid:durableId="590DDCE3"/>
  <w16cid:commentId w16cid:paraId="01A58F1B" w16cid:durableId="6D696408"/>
  <w16cid:commentId w16cid:paraId="72BFB676" w16cid:durableId="2E181F13"/>
  <w16cid:commentId w16cid:paraId="74ACB4B2" w16cid:durableId="61B36C94"/>
  <w16cid:commentId w16cid:paraId="14E04D75" w16cid:durableId="4C3381F4"/>
  <w16cid:commentId w16cid:paraId="6C70C2EE" w16cid:durableId="40B1B305"/>
  <w16cid:commentId w16cid:paraId="2FD87FCC" w16cid:durableId="0C11041B"/>
  <w16cid:commentId w16cid:paraId="47C2F9A8" w16cid:durableId="2BD2BD2C"/>
  <w16cid:commentId w16cid:paraId="5883CD79" w16cid:durableId="1F8DBC0B"/>
  <w16cid:commentId w16cid:paraId="31A0399C" w16cid:durableId="6545EE9B"/>
  <w16cid:commentId w16cid:paraId="1E4491A5" w16cid:durableId="1A28729B"/>
  <w16cid:commentId w16cid:paraId="4AB690A4" w16cid:durableId="0D844506"/>
  <w16cid:commentId w16cid:paraId="237CFEB5" w16cid:durableId="485B1E19"/>
  <w16cid:commentId w16cid:paraId="20AD4758" w16cid:durableId="33EACA14"/>
  <w16cid:commentId w16cid:paraId="4FF62E35" w16cid:durableId="404B315F"/>
  <w16cid:commentId w16cid:paraId="5E2B4E72" w16cid:durableId="430AE8B9"/>
  <w16cid:commentId w16cid:paraId="2987139B" w16cid:durableId="693E51CC"/>
  <w16cid:commentId w16cid:paraId="5B8BBD0F" w16cid:durableId="48BFFD37"/>
  <w16cid:commentId w16cid:paraId="795A6731" w16cid:durableId="7B6C4F18"/>
  <w16cid:commentId w16cid:paraId="2C644478" w16cid:durableId="6CC68170"/>
  <w16cid:commentId w16cid:paraId="64543078" w16cid:durableId="324F7C3A"/>
  <w16cid:commentId w16cid:paraId="234F67D0" w16cid:durableId="19D0746E"/>
  <w16cid:commentId w16cid:paraId="2A0DC6E3" w16cid:durableId="69634D02"/>
  <w16cid:commentId w16cid:paraId="153E846F" w16cid:durableId="1E13AB2E"/>
  <w16cid:commentId w16cid:paraId="07A3A2C5" w16cid:durableId="5217D7DE"/>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412EBF"/>
    <w:multiLevelType w:val="hybridMultilevel"/>
    <w:tmpl w:val="49407AD6"/>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2BFD48CA"/>
    <w:multiLevelType w:val="hybridMultilevel"/>
    <w:tmpl w:val="46AE0880"/>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439A3B5C"/>
    <w:multiLevelType w:val="hybridMultilevel"/>
    <w:tmpl w:val="CA8A940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5DD92307"/>
    <w:multiLevelType w:val="multilevel"/>
    <w:tmpl w:val="DB307C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83575661">
    <w:abstractNumId w:val="3"/>
  </w:num>
  <w:num w:numId="2" w16cid:durableId="343212736">
    <w:abstractNumId w:val="1"/>
  </w:num>
  <w:num w:numId="3" w16cid:durableId="661588228">
    <w:abstractNumId w:val="0"/>
  </w:num>
  <w:num w:numId="4" w16cid:durableId="586576001">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ikelboom, Jasper">
    <w15:presenceInfo w15:providerId="AD" w15:userId="S::jasper.eikelboom@wur.nl::6604c538-0acd-4c40-9632-4f2b9e37a29f"/>
  </w15:person>
  <w15:person w15:author="Weber, Manuel">
    <w15:presenceInfo w15:providerId="AD" w15:userId="S::manuel.weber@wur.nl::a06998fa-4ecd-4aa1-83bf-15d772b84697"/>
  </w15:person>
  <w15:person w15:author="Beurs, Kirsten de">
    <w15:presenceInfo w15:providerId="AD" w15:userId="S::kirsten.debeurs@wur.nl::923d50a0-fd70-45aa-9fdf-0d5e4c42c583"/>
  </w15:person>
  <w15:person w15:author="Koch, Jennifer">
    <w15:presenceInfo w15:providerId="AD" w15:userId="S::jennifer.koch@wur.nl::be5576fc-17da-46f0-bc6f-5f572f7c4d1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4A3F"/>
    <w:rsid w:val="00000267"/>
    <w:rsid w:val="00001DD7"/>
    <w:rsid w:val="00001F55"/>
    <w:rsid w:val="00002E50"/>
    <w:rsid w:val="00004188"/>
    <w:rsid w:val="000047F1"/>
    <w:rsid w:val="00004B86"/>
    <w:rsid w:val="0000574F"/>
    <w:rsid w:val="00010530"/>
    <w:rsid w:val="0001083C"/>
    <w:rsid w:val="00012EF2"/>
    <w:rsid w:val="0001359A"/>
    <w:rsid w:val="000154ED"/>
    <w:rsid w:val="0001563E"/>
    <w:rsid w:val="00016804"/>
    <w:rsid w:val="00016D4F"/>
    <w:rsid w:val="00017E14"/>
    <w:rsid w:val="00020668"/>
    <w:rsid w:val="0002097F"/>
    <w:rsid w:val="00020D83"/>
    <w:rsid w:val="00024651"/>
    <w:rsid w:val="000256B0"/>
    <w:rsid w:val="0002641A"/>
    <w:rsid w:val="00026674"/>
    <w:rsid w:val="000276ED"/>
    <w:rsid w:val="000278AE"/>
    <w:rsid w:val="00032A02"/>
    <w:rsid w:val="00032D11"/>
    <w:rsid w:val="000331C1"/>
    <w:rsid w:val="00033C77"/>
    <w:rsid w:val="00034D99"/>
    <w:rsid w:val="00035381"/>
    <w:rsid w:val="00036A0D"/>
    <w:rsid w:val="00037300"/>
    <w:rsid w:val="000400BC"/>
    <w:rsid w:val="00041930"/>
    <w:rsid w:val="00041A21"/>
    <w:rsid w:val="000422B0"/>
    <w:rsid w:val="00042EEF"/>
    <w:rsid w:val="00043183"/>
    <w:rsid w:val="00044AA6"/>
    <w:rsid w:val="000456E8"/>
    <w:rsid w:val="00045CC5"/>
    <w:rsid w:val="00045F8F"/>
    <w:rsid w:val="0004726E"/>
    <w:rsid w:val="00047642"/>
    <w:rsid w:val="00051AD6"/>
    <w:rsid w:val="000544BF"/>
    <w:rsid w:val="0005450A"/>
    <w:rsid w:val="000547BB"/>
    <w:rsid w:val="00054D77"/>
    <w:rsid w:val="00054E66"/>
    <w:rsid w:val="00056914"/>
    <w:rsid w:val="00060B22"/>
    <w:rsid w:val="00064AAD"/>
    <w:rsid w:val="00066885"/>
    <w:rsid w:val="00067510"/>
    <w:rsid w:val="00071256"/>
    <w:rsid w:val="000716CE"/>
    <w:rsid w:val="00071CD2"/>
    <w:rsid w:val="00071D6E"/>
    <w:rsid w:val="00075A71"/>
    <w:rsid w:val="000819FC"/>
    <w:rsid w:val="00081AAA"/>
    <w:rsid w:val="00082334"/>
    <w:rsid w:val="0008274B"/>
    <w:rsid w:val="00082B2C"/>
    <w:rsid w:val="00084D90"/>
    <w:rsid w:val="00086AD7"/>
    <w:rsid w:val="00086E88"/>
    <w:rsid w:val="00087117"/>
    <w:rsid w:val="0008767D"/>
    <w:rsid w:val="00087E1E"/>
    <w:rsid w:val="000901B1"/>
    <w:rsid w:val="00090D4A"/>
    <w:rsid w:val="00091AAA"/>
    <w:rsid w:val="00091AFC"/>
    <w:rsid w:val="0009394B"/>
    <w:rsid w:val="00096BC1"/>
    <w:rsid w:val="000A0724"/>
    <w:rsid w:val="000A0FA0"/>
    <w:rsid w:val="000A1B20"/>
    <w:rsid w:val="000A2074"/>
    <w:rsid w:val="000A2517"/>
    <w:rsid w:val="000A3565"/>
    <w:rsid w:val="000A3740"/>
    <w:rsid w:val="000A4C6C"/>
    <w:rsid w:val="000A61BF"/>
    <w:rsid w:val="000A66B6"/>
    <w:rsid w:val="000A68DA"/>
    <w:rsid w:val="000A6B67"/>
    <w:rsid w:val="000A71BE"/>
    <w:rsid w:val="000A7540"/>
    <w:rsid w:val="000A7C77"/>
    <w:rsid w:val="000B00C3"/>
    <w:rsid w:val="000B0424"/>
    <w:rsid w:val="000B1786"/>
    <w:rsid w:val="000B2C70"/>
    <w:rsid w:val="000B31E9"/>
    <w:rsid w:val="000B486C"/>
    <w:rsid w:val="000B539B"/>
    <w:rsid w:val="000B5741"/>
    <w:rsid w:val="000B67D3"/>
    <w:rsid w:val="000B702B"/>
    <w:rsid w:val="000B74B2"/>
    <w:rsid w:val="000B7DA7"/>
    <w:rsid w:val="000C1728"/>
    <w:rsid w:val="000C464B"/>
    <w:rsid w:val="000C4CED"/>
    <w:rsid w:val="000C5D49"/>
    <w:rsid w:val="000C5D4D"/>
    <w:rsid w:val="000C6117"/>
    <w:rsid w:val="000C6197"/>
    <w:rsid w:val="000C66EE"/>
    <w:rsid w:val="000C741F"/>
    <w:rsid w:val="000C7583"/>
    <w:rsid w:val="000D01DF"/>
    <w:rsid w:val="000D1463"/>
    <w:rsid w:val="000D14BA"/>
    <w:rsid w:val="000D17F1"/>
    <w:rsid w:val="000D45E2"/>
    <w:rsid w:val="000D5F79"/>
    <w:rsid w:val="000E0A82"/>
    <w:rsid w:val="000E0B9B"/>
    <w:rsid w:val="000E16F8"/>
    <w:rsid w:val="000E18B8"/>
    <w:rsid w:val="000E18DF"/>
    <w:rsid w:val="000E25DE"/>
    <w:rsid w:val="000E2CC6"/>
    <w:rsid w:val="000E36C1"/>
    <w:rsid w:val="000E3B15"/>
    <w:rsid w:val="000E3FF5"/>
    <w:rsid w:val="000E4D3F"/>
    <w:rsid w:val="000E63E2"/>
    <w:rsid w:val="000F07B1"/>
    <w:rsid w:val="000F0985"/>
    <w:rsid w:val="000F1218"/>
    <w:rsid w:val="000F1867"/>
    <w:rsid w:val="000F18D6"/>
    <w:rsid w:val="000F2167"/>
    <w:rsid w:val="000F282B"/>
    <w:rsid w:val="000F2F80"/>
    <w:rsid w:val="000F415E"/>
    <w:rsid w:val="000F4DB2"/>
    <w:rsid w:val="000F4DF7"/>
    <w:rsid w:val="000F534B"/>
    <w:rsid w:val="000F72C5"/>
    <w:rsid w:val="000F7A14"/>
    <w:rsid w:val="00100821"/>
    <w:rsid w:val="0010096E"/>
    <w:rsid w:val="00100B68"/>
    <w:rsid w:val="00100E63"/>
    <w:rsid w:val="00101737"/>
    <w:rsid w:val="00101BFA"/>
    <w:rsid w:val="00101E4E"/>
    <w:rsid w:val="00102A2A"/>
    <w:rsid w:val="0010318B"/>
    <w:rsid w:val="00103695"/>
    <w:rsid w:val="0010479A"/>
    <w:rsid w:val="00105B1E"/>
    <w:rsid w:val="0010660A"/>
    <w:rsid w:val="0010663F"/>
    <w:rsid w:val="0010711B"/>
    <w:rsid w:val="001075A1"/>
    <w:rsid w:val="00107C54"/>
    <w:rsid w:val="00111970"/>
    <w:rsid w:val="00111D33"/>
    <w:rsid w:val="00111E49"/>
    <w:rsid w:val="001123C4"/>
    <w:rsid w:val="00113B36"/>
    <w:rsid w:val="00114872"/>
    <w:rsid w:val="001154D0"/>
    <w:rsid w:val="001172C9"/>
    <w:rsid w:val="0012019C"/>
    <w:rsid w:val="00120447"/>
    <w:rsid w:val="00122362"/>
    <w:rsid w:val="00122EA5"/>
    <w:rsid w:val="001241D2"/>
    <w:rsid w:val="00124A23"/>
    <w:rsid w:val="0012561B"/>
    <w:rsid w:val="00126591"/>
    <w:rsid w:val="0012681D"/>
    <w:rsid w:val="00126EEC"/>
    <w:rsid w:val="0012785E"/>
    <w:rsid w:val="00127D66"/>
    <w:rsid w:val="00133539"/>
    <w:rsid w:val="0013402A"/>
    <w:rsid w:val="00134231"/>
    <w:rsid w:val="00136072"/>
    <w:rsid w:val="0014020D"/>
    <w:rsid w:val="00140D24"/>
    <w:rsid w:val="001425B7"/>
    <w:rsid w:val="001426E1"/>
    <w:rsid w:val="00142B57"/>
    <w:rsid w:val="0014442D"/>
    <w:rsid w:val="001449F4"/>
    <w:rsid w:val="00144D20"/>
    <w:rsid w:val="00146723"/>
    <w:rsid w:val="00147F32"/>
    <w:rsid w:val="00150A61"/>
    <w:rsid w:val="00153709"/>
    <w:rsid w:val="00154B07"/>
    <w:rsid w:val="00155837"/>
    <w:rsid w:val="00156DBA"/>
    <w:rsid w:val="0015721B"/>
    <w:rsid w:val="0016008E"/>
    <w:rsid w:val="001619C0"/>
    <w:rsid w:val="0016252E"/>
    <w:rsid w:val="001629A7"/>
    <w:rsid w:val="00162DCA"/>
    <w:rsid w:val="00163055"/>
    <w:rsid w:val="001631AC"/>
    <w:rsid w:val="001633A8"/>
    <w:rsid w:val="00164F0F"/>
    <w:rsid w:val="001653EE"/>
    <w:rsid w:val="00165854"/>
    <w:rsid w:val="00165CA0"/>
    <w:rsid w:val="00166160"/>
    <w:rsid w:val="0016674F"/>
    <w:rsid w:val="00166874"/>
    <w:rsid w:val="00166999"/>
    <w:rsid w:val="00170E5D"/>
    <w:rsid w:val="001710F6"/>
    <w:rsid w:val="0017133B"/>
    <w:rsid w:val="00172516"/>
    <w:rsid w:val="00172D0A"/>
    <w:rsid w:val="00173526"/>
    <w:rsid w:val="001736BE"/>
    <w:rsid w:val="00173CA5"/>
    <w:rsid w:val="0017513F"/>
    <w:rsid w:val="001752B0"/>
    <w:rsid w:val="00176201"/>
    <w:rsid w:val="00176D45"/>
    <w:rsid w:val="0017715B"/>
    <w:rsid w:val="00177CE3"/>
    <w:rsid w:val="00181308"/>
    <w:rsid w:val="001829A6"/>
    <w:rsid w:val="00182F66"/>
    <w:rsid w:val="001840EB"/>
    <w:rsid w:val="00184C11"/>
    <w:rsid w:val="00185ECC"/>
    <w:rsid w:val="0018659B"/>
    <w:rsid w:val="0019005B"/>
    <w:rsid w:val="0019054A"/>
    <w:rsid w:val="001906C5"/>
    <w:rsid w:val="001919CF"/>
    <w:rsid w:val="00192A84"/>
    <w:rsid w:val="00193654"/>
    <w:rsid w:val="00193CCF"/>
    <w:rsid w:val="0019439A"/>
    <w:rsid w:val="00194463"/>
    <w:rsid w:val="0019595F"/>
    <w:rsid w:val="00195BC6"/>
    <w:rsid w:val="00196A4D"/>
    <w:rsid w:val="00197DC8"/>
    <w:rsid w:val="001A04AF"/>
    <w:rsid w:val="001A0746"/>
    <w:rsid w:val="001A09B6"/>
    <w:rsid w:val="001A0A41"/>
    <w:rsid w:val="001A11E5"/>
    <w:rsid w:val="001A17FC"/>
    <w:rsid w:val="001A2482"/>
    <w:rsid w:val="001A26ED"/>
    <w:rsid w:val="001A4409"/>
    <w:rsid w:val="001A4775"/>
    <w:rsid w:val="001A5169"/>
    <w:rsid w:val="001A603E"/>
    <w:rsid w:val="001A6340"/>
    <w:rsid w:val="001A6664"/>
    <w:rsid w:val="001A6B43"/>
    <w:rsid w:val="001A78EE"/>
    <w:rsid w:val="001A7FEA"/>
    <w:rsid w:val="001B0063"/>
    <w:rsid w:val="001B0588"/>
    <w:rsid w:val="001B0EFD"/>
    <w:rsid w:val="001B0F7E"/>
    <w:rsid w:val="001B2434"/>
    <w:rsid w:val="001B2AC7"/>
    <w:rsid w:val="001B3ABA"/>
    <w:rsid w:val="001B3F15"/>
    <w:rsid w:val="001B4799"/>
    <w:rsid w:val="001C0677"/>
    <w:rsid w:val="001C146D"/>
    <w:rsid w:val="001C3AA2"/>
    <w:rsid w:val="001C3ECF"/>
    <w:rsid w:val="001C4A6E"/>
    <w:rsid w:val="001C4D2C"/>
    <w:rsid w:val="001C4EA3"/>
    <w:rsid w:val="001C5A93"/>
    <w:rsid w:val="001C6F1A"/>
    <w:rsid w:val="001C7E4A"/>
    <w:rsid w:val="001D0B91"/>
    <w:rsid w:val="001D1572"/>
    <w:rsid w:val="001D2AAD"/>
    <w:rsid w:val="001D3539"/>
    <w:rsid w:val="001D3BF8"/>
    <w:rsid w:val="001D3D23"/>
    <w:rsid w:val="001D4DE7"/>
    <w:rsid w:val="001D533F"/>
    <w:rsid w:val="001D5A72"/>
    <w:rsid w:val="001D7047"/>
    <w:rsid w:val="001D72D3"/>
    <w:rsid w:val="001D7861"/>
    <w:rsid w:val="001D7C08"/>
    <w:rsid w:val="001E00A0"/>
    <w:rsid w:val="001E0AEA"/>
    <w:rsid w:val="001E0B5E"/>
    <w:rsid w:val="001E2D40"/>
    <w:rsid w:val="001E3AAA"/>
    <w:rsid w:val="001E44DD"/>
    <w:rsid w:val="001E4B1C"/>
    <w:rsid w:val="001E5A96"/>
    <w:rsid w:val="001E5EC0"/>
    <w:rsid w:val="001E6280"/>
    <w:rsid w:val="001E7B02"/>
    <w:rsid w:val="001F07A6"/>
    <w:rsid w:val="001F1823"/>
    <w:rsid w:val="001F2A8C"/>
    <w:rsid w:val="001F2BEF"/>
    <w:rsid w:val="001F2F91"/>
    <w:rsid w:val="001F3F39"/>
    <w:rsid w:val="001F53D0"/>
    <w:rsid w:val="001F5602"/>
    <w:rsid w:val="001F5C10"/>
    <w:rsid w:val="001F6C23"/>
    <w:rsid w:val="001F6E09"/>
    <w:rsid w:val="001F775D"/>
    <w:rsid w:val="001F77A4"/>
    <w:rsid w:val="001F78D7"/>
    <w:rsid w:val="001F7ED8"/>
    <w:rsid w:val="002005E3"/>
    <w:rsid w:val="00200A72"/>
    <w:rsid w:val="00200AB8"/>
    <w:rsid w:val="00200B1E"/>
    <w:rsid w:val="00200E0E"/>
    <w:rsid w:val="002011A4"/>
    <w:rsid w:val="002018CD"/>
    <w:rsid w:val="00201BE2"/>
    <w:rsid w:val="00202A83"/>
    <w:rsid w:val="002039C3"/>
    <w:rsid w:val="002046FC"/>
    <w:rsid w:val="0020783B"/>
    <w:rsid w:val="00211A49"/>
    <w:rsid w:val="00212A6F"/>
    <w:rsid w:val="00212E45"/>
    <w:rsid w:val="00213B7B"/>
    <w:rsid w:val="002176FD"/>
    <w:rsid w:val="002216A9"/>
    <w:rsid w:val="00223679"/>
    <w:rsid w:val="0022693B"/>
    <w:rsid w:val="00226CC2"/>
    <w:rsid w:val="002275DF"/>
    <w:rsid w:val="00230BDD"/>
    <w:rsid w:val="00230F59"/>
    <w:rsid w:val="002317E2"/>
    <w:rsid w:val="00232B14"/>
    <w:rsid w:val="00233C3E"/>
    <w:rsid w:val="00234137"/>
    <w:rsid w:val="002352DA"/>
    <w:rsid w:val="00235FA6"/>
    <w:rsid w:val="0023638F"/>
    <w:rsid w:val="00236AC9"/>
    <w:rsid w:val="00236F1F"/>
    <w:rsid w:val="0023707C"/>
    <w:rsid w:val="00237513"/>
    <w:rsid w:val="002377A2"/>
    <w:rsid w:val="00240029"/>
    <w:rsid w:val="00240CD5"/>
    <w:rsid w:val="00241177"/>
    <w:rsid w:val="00241328"/>
    <w:rsid w:val="0024171B"/>
    <w:rsid w:val="00241B40"/>
    <w:rsid w:val="0024274D"/>
    <w:rsid w:val="0024281E"/>
    <w:rsid w:val="0024338D"/>
    <w:rsid w:val="0024597F"/>
    <w:rsid w:val="00245B96"/>
    <w:rsid w:val="00245BB1"/>
    <w:rsid w:val="002502CB"/>
    <w:rsid w:val="00250898"/>
    <w:rsid w:val="0025158E"/>
    <w:rsid w:val="00251DF8"/>
    <w:rsid w:val="00252F9C"/>
    <w:rsid w:val="002537F0"/>
    <w:rsid w:val="00253B85"/>
    <w:rsid w:val="0025465F"/>
    <w:rsid w:val="00255AF8"/>
    <w:rsid w:val="00256350"/>
    <w:rsid w:val="00261B1C"/>
    <w:rsid w:val="00262911"/>
    <w:rsid w:val="00263B9E"/>
    <w:rsid w:val="002643D4"/>
    <w:rsid w:val="00264F8D"/>
    <w:rsid w:val="002662B1"/>
    <w:rsid w:val="00266CD9"/>
    <w:rsid w:val="0026743E"/>
    <w:rsid w:val="00267DE6"/>
    <w:rsid w:val="0027134E"/>
    <w:rsid w:val="002713FF"/>
    <w:rsid w:val="00273610"/>
    <w:rsid w:val="00273D15"/>
    <w:rsid w:val="00273F1A"/>
    <w:rsid w:val="00273F94"/>
    <w:rsid w:val="0027413B"/>
    <w:rsid w:val="002744E1"/>
    <w:rsid w:val="00274F82"/>
    <w:rsid w:val="002753AE"/>
    <w:rsid w:val="002753D5"/>
    <w:rsid w:val="00275C23"/>
    <w:rsid w:val="00276696"/>
    <w:rsid w:val="00281293"/>
    <w:rsid w:val="00281A94"/>
    <w:rsid w:val="00281FAD"/>
    <w:rsid w:val="002824AC"/>
    <w:rsid w:val="00282B54"/>
    <w:rsid w:val="002833DD"/>
    <w:rsid w:val="00284AD3"/>
    <w:rsid w:val="002851AD"/>
    <w:rsid w:val="0028538B"/>
    <w:rsid w:val="00285B60"/>
    <w:rsid w:val="00286453"/>
    <w:rsid w:val="00287149"/>
    <w:rsid w:val="0028716A"/>
    <w:rsid w:val="00290E0F"/>
    <w:rsid w:val="00293C28"/>
    <w:rsid w:val="00295D5B"/>
    <w:rsid w:val="0029766E"/>
    <w:rsid w:val="002A1E62"/>
    <w:rsid w:val="002A3624"/>
    <w:rsid w:val="002A3AE3"/>
    <w:rsid w:val="002A40CF"/>
    <w:rsid w:val="002A674B"/>
    <w:rsid w:val="002A70CA"/>
    <w:rsid w:val="002A7B56"/>
    <w:rsid w:val="002B2302"/>
    <w:rsid w:val="002B3201"/>
    <w:rsid w:val="002B48B6"/>
    <w:rsid w:val="002B4A2B"/>
    <w:rsid w:val="002B6AF3"/>
    <w:rsid w:val="002B7B54"/>
    <w:rsid w:val="002B7FE7"/>
    <w:rsid w:val="002C1194"/>
    <w:rsid w:val="002C11C6"/>
    <w:rsid w:val="002C1217"/>
    <w:rsid w:val="002C1E8F"/>
    <w:rsid w:val="002C2E3D"/>
    <w:rsid w:val="002C357F"/>
    <w:rsid w:val="002C5CE0"/>
    <w:rsid w:val="002C6F6F"/>
    <w:rsid w:val="002C72AB"/>
    <w:rsid w:val="002D0916"/>
    <w:rsid w:val="002D0986"/>
    <w:rsid w:val="002D1C56"/>
    <w:rsid w:val="002D2019"/>
    <w:rsid w:val="002D27F6"/>
    <w:rsid w:val="002D2CA3"/>
    <w:rsid w:val="002D399D"/>
    <w:rsid w:val="002D487A"/>
    <w:rsid w:val="002D4BCB"/>
    <w:rsid w:val="002D4F6B"/>
    <w:rsid w:val="002D57F5"/>
    <w:rsid w:val="002D5BEB"/>
    <w:rsid w:val="002D69BA"/>
    <w:rsid w:val="002D6EC5"/>
    <w:rsid w:val="002E02C2"/>
    <w:rsid w:val="002E04C4"/>
    <w:rsid w:val="002E088C"/>
    <w:rsid w:val="002E2139"/>
    <w:rsid w:val="002E2ABF"/>
    <w:rsid w:val="002E40B8"/>
    <w:rsid w:val="002E6D17"/>
    <w:rsid w:val="002E6E32"/>
    <w:rsid w:val="002F0821"/>
    <w:rsid w:val="002F0A35"/>
    <w:rsid w:val="002F100E"/>
    <w:rsid w:val="002F2044"/>
    <w:rsid w:val="002F210E"/>
    <w:rsid w:val="002F3933"/>
    <w:rsid w:val="002F3CB8"/>
    <w:rsid w:val="002F4157"/>
    <w:rsid w:val="002F4DFF"/>
    <w:rsid w:val="002F5138"/>
    <w:rsid w:val="002F5616"/>
    <w:rsid w:val="002F661B"/>
    <w:rsid w:val="002F6F4F"/>
    <w:rsid w:val="002F711E"/>
    <w:rsid w:val="002F73C4"/>
    <w:rsid w:val="002F7504"/>
    <w:rsid w:val="002F7ABE"/>
    <w:rsid w:val="002F7FEC"/>
    <w:rsid w:val="003007CF"/>
    <w:rsid w:val="003008D8"/>
    <w:rsid w:val="00300CB8"/>
    <w:rsid w:val="00303EAC"/>
    <w:rsid w:val="00304E9C"/>
    <w:rsid w:val="00305653"/>
    <w:rsid w:val="0030584F"/>
    <w:rsid w:val="00305C89"/>
    <w:rsid w:val="003064CC"/>
    <w:rsid w:val="00310CC5"/>
    <w:rsid w:val="00312B80"/>
    <w:rsid w:val="00312DB6"/>
    <w:rsid w:val="0031443E"/>
    <w:rsid w:val="003149F3"/>
    <w:rsid w:val="00316F59"/>
    <w:rsid w:val="003171A4"/>
    <w:rsid w:val="0031739C"/>
    <w:rsid w:val="00317CFA"/>
    <w:rsid w:val="003200E0"/>
    <w:rsid w:val="0032093A"/>
    <w:rsid w:val="003210E2"/>
    <w:rsid w:val="003222F2"/>
    <w:rsid w:val="00324513"/>
    <w:rsid w:val="00324F71"/>
    <w:rsid w:val="00325A13"/>
    <w:rsid w:val="003264C5"/>
    <w:rsid w:val="00326816"/>
    <w:rsid w:val="003273EC"/>
    <w:rsid w:val="00327962"/>
    <w:rsid w:val="00330635"/>
    <w:rsid w:val="00330A21"/>
    <w:rsid w:val="0033141C"/>
    <w:rsid w:val="00332F0D"/>
    <w:rsid w:val="003330AE"/>
    <w:rsid w:val="00333F3D"/>
    <w:rsid w:val="00335418"/>
    <w:rsid w:val="0033545C"/>
    <w:rsid w:val="003360A7"/>
    <w:rsid w:val="00336164"/>
    <w:rsid w:val="003366A7"/>
    <w:rsid w:val="003410FC"/>
    <w:rsid w:val="00341172"/>
    <w:rsid w:val="00341868"/>
    <w:rsid w:val="00343230"/>
    <w:rsid w:val="003435BD"/>
    <w:rsid w:val="00343812"/>
    <w:rsid w:val="003461A6"/>
    <w:rsid w:val="003479B8"/>
    <w:rsid w:val="00347C2A"/>
    <w:rsid w:val="00352442"/>
    <w:rsid w:val="00353054"/>
    <w:rsid w:val="00354E01"/>
    <w:rsid w:val="0035589F"/>
    <w:rsid w:val="003559AD"/>
    <w:rsid w:val="00356222"/>
    <w:rsid w:val="003576B2"/>
    <w:rsid w:val="003601E7"/>
    <w:rsid w:val="003610A4"/>
    <w:rsid w:val="00361952"/>
    <w:rsid w:val="00362F2C"/>
    <w:rsid w:val="00364738"/>
    <w:rsid w:val="00364D01"/>
    <w:rsid w:val="0037040A"/>
    <w:rsid w:val="0037043D"/>
    <w:rsid w:val="0037168D"/>
    <w:rsid w:val="00371821"/>
    <w:rsid w:val="00371827"/>
    <w:rsid w:val="00372388"/>
    <w:rsid w:val="00372687"/>
    <w:rsid w:val="003730E9"/>
    <w:rsid w:val="0037352A"/>
    <w:rsid w:val="00373C88"/>
    <w:rsid w:val="0037439D"/>
    <w:rsid w:val="0037487E"/>
    <w:rsid w:val="003750F5"/>
    <w:rsid w:val="0037535B"/>
    <w:rsid w:val="00376FD5"/>
    <w:rsid w:val="003779E7"/>
    <w:rsid w:val="0038009B"/>
    <w:rsid w:val="0038018F"/>
    <w:rsid w:val="00381127"/>
    <w:rsid w:val="003816D7"/>
    <w:rsid w:val="0038180D"/>
    <w:rsid w:val="0038197E"/>
    <w:rsid w:val="003821D0"/>
    <w:rsid w:val="00382B77"/>
    <w:rsid w:val="00383519"/>
    <w:rsid w:val="0038495D"/>
    <w:rsid w:val="003854B9"/>
    <w:rsid w:val="0038615B"/>
    <w:rsid w:val="0038667B"/>
    <w:rsid w:val="003872EF"/>
    <w:rsid w:val="0038746A"/>
    <w:rsid w:val="003874C8"/>
    <w:rsid w:val="00387FB4"/>
    <w:rsid w:val="003904A8"/>
    <w:rsid w:val="00391145"/>
    <w:rsid w:val="00391E81"/>
    <w:rsid w:val="00392618"/>
    <w:rsid w:val="003926FE"/>
    <w:rsid w:val="003932E8"/>
    <w:rsid w:val="00394CED"/>
    <w:rsid w:val="003957E7"/>
    <w:rsid w:val="003960DB"/>
    <w:rsid w:val="00396B46"/>
    <w:rsid w:val="00396DE1"/>
    <w:rsid w:val="003977E4"/>
    <w:rsid w:val="003A39A6"/>
    <w:rsid w:val="003A3FAC"/>
    <w:rsid w:val="003A573C"/>
    <w:rsid w:val="003A6104"/>
    <w:rsid w:val="003A6BD9"/>
    <w:rsid w:val="003A7382"/>
    <w:rsid w:val="003B0879"/>
    <w:rsid w:val="003B1F4F"/>
    <w:rsid w:val="003B28B8"/>
    <w:rsid w:val="003B2D8D"/>
    <w:rsid w:val="003B4043"/>
    <w:rsid w:val="003B6266"/>
    <w:rsid w:val="003B6569"/>
    <w:rsid w:val="003B6B5C"/>
    <w:rsid w:val="003B7577"/>
    <w:rsid w:val="003B7A9A"/>
    <w:rsid w:val="003C0DDD"/>
    <w:rsid w:val="003C108F"/>
    <w:rsid w:val="003C290E"/>
    <w:rsid w:val="003C3ACE"/>
    <w:rsid w:val="003C3C2A"/>
    <w:rsid w:val="003C41DD"/>
    <w:rsid w:val="003C4A4F"/>
    <w:rsid w:val="003C5635"/>
    <w:rsid w:val="003C7B1C"/>
    <w:rsid w:val="003D07F8"/>
    <w:rsid w:val="003D3723"/>
    <w:rsid w:val="003D3B80"/>
    <w:rsid w:val="003D3D08"/>
    <w:rsid w:val="003D4230"/>
    <w:rsid w:val="003E0250"/>
    <w:rsid w:val="003E1700"/>
    <w:rsid w:val="003E2DD9"/>
    <w:rsid w:val="003E3427"/>
    <w:rsid w:val="003E3AD1"/>
    <w:rsid w:val="003E3F2D"/>
    <w:rsid w:val="003E447F"/>
    <w:rsid w:val="003E459D"/>
    <w:rsid w:val="003E46D9"/>
    <w:rsid w:val="003E4DC3"/>
    <w:rsid w:val="003E70B0"/>
    <w:rsid w:val="003F1A66"/>
    <w:rsid w:val="003F1AB0"/>
    <w:rsid w:val="003F2855"/>
    <w:rsid w:val="003F35F1"/>
    <w:rsid w:val="003F3602"/>
    <w:rsid w:val="003F4438"/>
    <w:rsid w:val="003F466F"/>
    <w:rsid w:val="003F47CE"/>
    <w:rsid w:val="003F4DEF"/>
    <w:rsid w:val="003F5147"/>
    <w:rsid w:val="003F544F"/>
    <w:rsid w:val="003F6159"/>
    <w:rsid w:val="003F6BB9"/>
    <w:rsid w:val="003F744C"/>
    <w:rsid w:val="003F7C9E"/>
    <w:rsid w:val="004000D0"/>
    <w:rsid w:val="00401A2D"/>
    <w:rsid w:val="004027E5"/>
    <w:rsid w:val="00403532"/>
    <w:rsid w:val="004115D0"/>
    <w:rsid w:val="00411867"/>
    <w:rsid w:val="00411BFA"/>
    <w:rsid w:val="00413963"/>
    <w:rsid w:val="004146A9"/>
    <w:rsid w:val="00414B2D"/>
    <w:rsid w:val="00415E16"/>
    <w:rsid w:val="0041634C"/>
    <w:rsid w:val="00416845"/>
    <w:rsid w:val="0041754D"/>
    <w:rsid w:val="004202C6"/>
    <w:rsid w:val="004216B1"/>
    <w:rsid w:val="00424B67"/>
    <w:rsid w:val="00424BCE"/>
    <w:rsid w:val="00425184"/>
    <w:rsid w:val="004259C0"/>
    <w:rsid w:val="0042605A"/>
    <w:rsid w:val="00426693"/>
    <w:rsid w:val="00427E50"/>
    <w:rsid w:val="0043065C"/>
    <w:rsid w:val="00430867"/>
    <w:rsid w:val="00430F24"/>
    <w:rsid w:val="0043132F"/>
    <w:rsid w:val="00431DBD"/>
    <w:rsid w:val="004330C2"/>
    <w:rsid w:val="004346C7"/>
    <w:rsid w:val="004354E7"/>
    <w:rsid w:val="00435635"/>
    <w:rsid w:val="00436353"/>
    <w:rsid w:val="004369B7"/>
    <w:rsid w:val="00436EB4"/>
    <w:rsid w:val="0043757B"/>
    <w:rsid w:val="00437916"/>
    <w:rsid w:val="00440A0A"/>
    <w:rsid w:val="00441CAA"/>
    <w:rsid w:val="00442156"/>
    <w:rsid w:val="004428F9"/>
    <w:rsid w:val="00442CC2"/>
    <w:rsid w:val="004443B2"/>
    <w:rsid w:val="00444599"/>
    <w:rsid w:val="0044488E"/>
    <w:rsid w:val="00445BD1"/>
    <w:rsid w:val="00445DC5"/>
    <w:rsid w:val="00446051"/>
    <w:rsid w:val="0044624A"/>
    <w:rsid w:val="00451222"/>
    <w:rsid w:val="00451CBB"/>
    <w:rsid w:val="00452802"/>
    <w:rsid w:val="004551DA"/>
    <w:rsid w:val="00455A66"/>
    <w:rsid w:val="00455D6A"/>
    <w:rsid w:val="004571A4"/>
    <w:rsid w:val="004576FC"/>
    <w:rsid w:val="004600D5"/>
    <w:rsid w:val="00460656"/>
    <w:rsid w:val="00462281"/>
    <w:rsid w:val="004628D3"/>
    <w:rsid w:val="0046369D"/>
    <w:rsid w:val="00464383"/>
    <w:rsid w:val="00466452"/>
    <w:rsid w:val="00467660"/>
    <w:rsid w:val="00470FFE"/>
    <w:rsid w:val="004716B2"/>
    <w:rsid w:val="00471F87"/>
    <w:rsid w:val="00472562"/>
    <w:rsid w:val="004725AE"/>
    <w:rsid w:val="00472BF4"/>
    <w:rsid w:val="00473AE7"/>
    <w:rsid w:val="004759F0"/>
    <w:rsid w:val="0047679B"/>
    <w:rsid w:val="00477657"/>
    <w:rsid w:val="004803D7"/>
    <w:rsid w:val="004808D8"/>
    <w:rsid w:val="004828F1"/>
    <w:rsid w:val="004829B2"/>
    <w:rsid w:val="00482D2F"/>
    <w:rsid w:val="00483BDD"/>
    <w:rsid w:val="00484CCE"/>
    <w:rsid w:val="00484D08"/>
    <w:rsid w:val="00484F7E"/>
    <w:rsid w:val="004852E9"/>
    <w:rsid w:val="00485D71"/>
    <w:rsid w:val="00486206"/>
    <w:rsid w:val="004863B4"/>
    <w:rsid w:val="004867AB"/>
    <w:rsid w:val="00487E33"/>
    <w:rsid w:val="00490488"/>
    <w:rsid w:val="00490526"/>
    <w:rsid w:val="00491138"/>
    <w:rsid w:val="00492A3B"/>
    <w:rsid w:val="00493836"/>
    <w:rsid w:val="004947D1"/>
    <w:rsid w:val="00494B32"/>
    <w:rsid w:val="004954ED"/>
    <w:rsid w:val="00495F76"/>
    <w:rsid w:val="004960B2"/>
    <w:rsid w:val="0049641E"/>
    <w:rsid w:val="00496ED0"/>
    <w:rsid w:val="004A0130"/>
    <w:rsid w:val="004A025F"/>
    <w:rsid w:val="004A179D"/>
    <w:rsid w:val="004A1D21"/>
    <w:rsid w:val="004A2931"/>
    <w:rsid w:val="004A2FA0"/>
    <w:rsid w:val="004A44B8"/>
    <w:rsid w:val="004A457A"/>
    <w:rsid w:val="004A4617"/>
    <w:rsid w:val="004A4CB9"/>
    <w:rsid w:val="004A79A6"/>
    <w:rsid w:val="004B1DC9"/>
    <w:rsid w:val="004B1F53"/>
    <w:rsid w:val="004B3D42"/>
    <w:rsid w:val="004B46CB"/>
    <w:rsid w:val="004B494E"/>
    <w:rsid w:val="004B5087"/>
    <w:rsid w:val="004B604C"/>
    <w:rsid w:val="004B7729"/>
    <w:rsid w:val="004C1E6C"/>
    <w:rsid w:val="004C2C62"/>
    <w:rsid w:val="004C3116"/>
    <w:rsid w:val="004C339E"/>
    <w:rsid w:val="004C39E1"/>
    <w:rsid w:val="004C4BF3"/>
    <w:rsid w:val="004C65A2"/>
    <w:rsid w:val="004C6793"/>
    <w:rsid w:val="004C7B2C"/>
    <w:rsid w:val="004D014E"/>
    <w:rsid w:val="004D073C"/>
    <w:rsid w:val="004D0D29"/>
    <w:rsid w:val="004D11B7"/>
    <w:rsid w:val="004D1EFF"/>
    <w:rsid w:val="004D233E"/>
    <w:rsid w:val="004D3365"/>
    <w:rsid w:val="004D38FE"/>
    <w:rsid w:val="004D561F"/>
    <w:rsid w:val="004D659B"/>
    <w:rsid w:val="004D6B1E"/>
    <w:rsid w:val="004D6B8B"/>
    <w:rsid w:val="004E0DE1"/>
    <w:rsid w:val="004E3852"/>
    <w:rsid w:val="004E3917"/>
    <w:rsid w:val="004E3E3D"/>
    <w:rsid w:val="004E4797"/>
    <w:rsid w:val="004E6470"/>
    <w:rsid w:val="004E6FD8"/>
    <w:rsid w:val="004E701B"/>
    <w:rsid w:val="004E7346"/>
    <w:rsid w:val="004F0179"/>
    <w:rsid w:val="004F04EA"/>
    <w:rsid w:val="004F0C1D"/>
    <w:rsid w:val="004F11DE"/>
    <w:rsid w:val="004F3C7E"/>
    <w:rsid w:val="004F42E5"/>
    <w:rsid w:val="004F440B"/>
    <w:rsid w:val="004F4C9E"/>
    <w:rsid w:val="004F68B0"/>
    <w:rsid w:val="004F6903"/>
    <w:rsid w:val="004F779C"/>
    <w:rsid w:val="004F7CB1"/>
    <w:rsid w:val="004F7EEB"/>
    <w:rsid w:val="00501D83"/>
    <w:rsid w:val="00502645"/>
    <w:rsid w:val="00502C8C"/>
    <w:rsid w:val="00504B01"/>
    <w:rsid w:val="00504E83"/>
    <w:rsid w:val="00505AFE"/>
    <w:rsid w:val="00505E19"/>
    <w:rsid w:val="00505F22"/>
    <w:rsid w:val="0050720D"/>
    <w:rsid w:val="00507A63"/>
    <w:rsid w:val="00507DA5"/>
    <w:rsid w:val="00507FA4"/>
    <w:rsid w:val="0051012D"/>
    <w:rsid w:val="005122AC"/>
    <w:rsid w:val="0051323A"/>
    <w:rsid w:val="00514977"/>
    <w:rsid w:val="00515DD8"/>
    <w:rsid w:val="00515F4B"/>
    <w:rsid w:val="00516C06"/>
    <w:rsid w:val="005177A3"/>
    <w:rsid w:val="0052008F"/>
    <w:rsid w:val="00521F10"/>
    <w:rsid w:val="0052276A"/>
    <w:rsid w:val="00522A1C"/>
    <w:rsid w:val="00522C8B"/>
    <w:rsid w:val="00523FA2"/>
    <w:rsid w:val="00524867"/>
    <w:rsid w:val="0052521F"/>
    <w:rsid w:val="00525512"/>
    <w:rsid w:val="005269A2"/>
    <w:rsid w:val="00526CD9"/>
    <w:rsid w:val="0052762A"/>
    <w:rsid w:val="00532C77"/>
    <w:rsid w:val="00532F92"/>
    <w:rsid w:val="005332C0"/>
    <w:rsid w:val="00533EE4"/>
    <w:rsid w:val="0053428B"/>
    <w:rsid w:val="0053434E"/>
    <w:rsid w:val="005346E0"/>
    <w:rsid w:val="00534DE4"/>
    <w:rsid w:val="00537A2A"/>
    <w:rsid w:val="00537E46"/>
    <w:rsid w:val="00541131"/>
    <w:rsid w:val="0054173E"/>
    <w:rsid w:val="00541E2A"/>
    <w:rsid w:val="00541E62"/>
    <w:rsid w:val="005421F7"/>
    <w:rsid w:val="0054233D"/>
    <w:rsid w:val="00544121"/>
    <w:rsid w:val="00545232"/>
    <w:rsid w:val="005455DE"/>
    <w:rsid w:val="00547C52"/>
    <w:rsid w:val="00547E52"/>
    <w:rsid w:val="00551DEF"/>
    <w:rsid w:val="00551F98"/>
    <w:rsid w:val="00554BEB"/>
    <w:rsid w:val="00556618"/>
    <w:rsid w:val="005567DD"/>
    <w:rsid w:val="0056045C"/>
    <w:rsid w:val="00560DE7"/>
    <w:rsid w:val="0056236F"/>
    <w:rsid w:val="00562660"/>
    <w:rsid w:val="00562DB8"/>
    <w:rsid w:val="00562DE2"/>
    <w:rsid w:val="005641B3"/>
    <w:rsid w:val="00566827"/>
    <w:rsid w:val="00566B09"/>
    <w:rsid w:val="00566C07"/>
    <w:rsid w:val="005674FA"/>
    <w:rsid w:val="00567E2C"/>
    <w:rsid w:val="00567E48"/>
    <w:rsid w:val="005702E7"/>
    <w:rsid w:val="00570534"/>
    <w:rsid w:val="00572397"/>
    <w:rsid w:val="00572AA7"/>
    <w:rsid w:val="00573139"/>
    <w:rsid w:val="00573B41"/>
    <w:rsid w:val="00573B79"/>
    <w:rsid w:val="00576EFE"/>
    <w:rsid w:val="005808B1"/>
    <w:rsid w:val="005810DA"/>
    <w:rsid w:val="0058285E"/>
    <w:rsid w:val="005828B4"/>
    <w:rsid w:val="005832B9"/>
    <w:rsid w:val="00583820"/>
    <w:rsid w:val="00583E4F"/>
    <w:rsid w:val="00584DE1"/>
    <w:rsid w:val="00585DC1"/>
    <w:rsid w:val="00586181"/>
    <w:rsid w:val="00586CFF"/>
    <w:rsid w:val="00586E28"/>
    <w:rsid w:val="00591B44"/>
    <w:rsid w:val="00592950"/>
    <w:rsid w:val="00592EA2"/>
    <w:rsid w:val="00594A2A"/>
    <w:rsid w:val="00594D04"/>
    <w:rsid w:val="00595CA1"/>
    <w:rsid w:val="00595ED6"/>
    <w:rsid w:val="005971C4"/>
    <w:rsid w:val="005A0E83"/>
    <w:rsid w:val="005A138E"/>
    <w:rsid w:val="005A13E8"/>
    <w:rsid w:val="005A38A0"/>
    <w:rsid w:val="005A540E"/>
    <w:rsid w:val="005A542D"/>
    <w:rsid w:val="005A5593"/>
    <w:rsid w:val="005A6CAF"/>
    <w:rsid w:val="005B1057"/>
    <w:rsid w:val="005B26A2"/>
    <w:rsid w:val="005B2B11"/>
    <w:rsid w:val="005B2E20"/>
    <w:rsid w:val="005B37AD"/>
    <w:rsid w:val="005B41C5"/>
    <w:rsid w:val="005B4358"/>
    <w:rsid w:val="005B4817"/>
    <w:rsid w:val="005B5D4E"/>
    <w:rsid w:val="005B5DD3"/>
    <w:rsid w:val="005B5FCF"/>
    <w:rsid w:val="005B6C79"/>
    <w:rsid w:val="005B7FDC"/>
    <w:rsid w:val="005C068B"/>
    <w:rsid w:val="005C0BAB"/>
    <w:rsid w:val="005C0CD8"/>
    <w:rsid w:val="005C2582"/>
    <w:rsid w:val="005C4005"/>
    <w:rsid w:val="005C5052"/>
    <w:rsid w:val="005C554F"/>
    <w:rsid w:val="005C58D6"/>
    <w:rsid w:val="005C5D96"/>
    <w:rsid w:val="005C5EF3"/>
    <w:rsid w:val="005C669E"/>
    <w:rsid w:val="005C6BB9"/>
    <w:rsid w:val="005C7205"/>
    <w:rsid w:val="005C78D0"/>
    <w:rsid w:val="005C7A42"/>
    <w:rsid w:val="005D1544"/>
    <w:rsid w:val="005D1CF2"/>
    <w:rsid w:val="005D2061"/>
    <w:rsid w:val="005D2222"/>
    <w:rsid w:val="005D25AF"/>
    <w:rsid w:val="005D36E1"/>
    <w:rsid w:val="005D3AD6"/>
    <w:rsid w:val="005D5E03"/>
    <w:rsid w:val="005D66B0"/>
    <w:rsid w:val="005D7843"/>
    <w:rsid w:val="005E02FB"/>
    <w:rsid w:val="005E094B"/>
    <w:rsid w:val="005E09CC"/>
    <w:rsid w:val="005E2A0A"/>
    <w:rsid w:val="005E2E5D"/>
    <w:rsid w:val="005E30C7"/>
    <w:rsid w:val="005E3679"/>
    <w:rsid w:val="005E3B74"/>
    <w:rsid w:val="005E3E7D"/>
    <w:rsid w:val="005E42DA"/>
    <w:rsid w:val="005E675D"/>
    <w:rsid w:val="005E6B43"/>
    <w:rsid w:val="005E7B77"/>
    <w:rsid w:val="005F039C"/>
    <w:rsid w:val="005F111E"/>
    <w:rsid w:val="005F2D4C"/>
    <w:rsid w:val="005F314C"/>
    <w:rsid w:val="005F38E4"/>
    <w:rsid w:val="005F3E3C"/>
    <w:rsid w:val="005F4BA8"/>
    <w:rsid w:val="005F5730"/>
    <w:rsid w:val="005F69B6"/>
    <w:rsid w:val="005F6C5A"/>
    <w:rsid w:val="005F7A80"/>
    <w:rsid w:val="006000B7"/>
    <w:rsid w:val="00601106"/>
    <w:rsid w:val="00601707"/>
    <w:rsid w:val="00602E46"/>
    <w:rsid w:val="00603993"/>
    <w:rsid w:val="00603F16"/>
    <w:rsid w:val="0060449A"/>
    <w:rsid w:val="00605CDD"/>
    <w:rsid w:val="00605EE3"/>
    <w:rsid w:val="00606628"/>
    <w:rsid w:val="00607684"/>
    <w:rsid w:val="006110ED"/>
    <w:rsid w:val="00612B9E"/>
    <w:rsid w:val="006138F9"/>
    <w:rsid w:val="006144F2"/>
    <w:rsid w:val="00614D44"/>
    <w:rsid w:val="00615A2F"/>
    <w:rsid w:val="00616033"/>
    <w:rsid w:val="00616264"/>
    <w:rsid w:val="00617186"/>
    <w:rsid w:val="006208AC"/>
    <w:rsid w:val="00620EEE"/>
    <w:rsid w:val="00621427"/>
    <w:rsid w:val="00623591"/>
    <w:rsid w:val="00625562"/>
    <w:rsid w:val="00626088"/>
    <w:rsid w:val="006266DF"/>
    <w:rsid w:val="00626809"/>
    <w:rsid w:val="00627CBD"/>
    <w:rsid w:val="006309A9"/>
    <w:rsid w:val="00630BED"/>
    <w:rsid w:val="006311EA"/>
    <w:rsid w:val="006313FB"/>
    <w:rsid w:val="006320F6"/>
    <w:rsid w:val="006325A5"/>
    <w:rsid w:val="00632603"/>
    <w:rsid w:val="00632EB5"/>
    <w:rsid w:val="00634141"/>
    <w:rsid w:val="00635064"/>
    <w:rsid w:val="00635C4C"/>
    <w:rsid w:val="00637304"/>
    <w:rsid w:val="006378B9"/>
    <w:rsid w:val="00637DAB"/>
    <w:rsid w:val="006404F6"/>
    <w:rsid w:val="0064084C"/>
    <w:rsid w:val="00640BC0"/>
    <w:rsid w:val="00641149"/>
    <w:rsid w:val="00641365"/>
    <w:rsid w:val="0064259F"/>
    <w:rsid w:val="00643B7E"/>
    <w:rsid w:val="00644393"/>
    <w:rsid w:val="00644A8D"/>
    <w:rsid w:val="00645979"/>
    <w:rsid w:val="006466D5"/>
    <w:rsid w:val="00646E96"/>
    <w:rsid w:val="006474D0"/>
    <w:rsid w:val="0065004E"/>
    <w:rsid w:val="00651C00"/>
    <w:rsid w:val="00651C2A"/>
    <w:rsid w:val="006526C5"/>
    <w:rsid w:val="00652821"/>
    <w:rsid w:val="006546C8"/>
    <w:rsid w:val="00654700"/>
    <w:rsid w:val="0065562D"/>
    <w:rsid w:val="006563F1"/>
    <w:rsid w:val="00656489"/>
    <w:rsid w:val="006567DF"/>
    <w:rsid w:val="00657C3F"/>
    <w:rsid w:val="00660370"/>
    <w:rsid w:val="00660415"/>
    <w:rsid w:val="00660853"/>
    <w:rsid w:val="00660BB1"/>
    <w:rsid w:val="0066107E"/>
    <w:rsid w:val="006610F3"/>
    <w:rsid w:val="00662089"/>
    <w:rsid w:val="00662CA8"/>
    <w:rsid w:val="00665B27"/>
    <w:rsid w:val="006670C6"/>
    <w:rsid w:val="0066738B"/>
    <w:rsid w:val="00671573"/>
    <w:rsid w:val="00671AEE"/>
    <w:rsid w:val="00672870"/>
    <w:rsid w:val="00672CF1"/>
    <w:rsid w:val="00672D33"/>
    <w:rsid w:val="00673F9C"/>
    <w:rsid w:val="00674ED4"/>
    <w:rsid w:val="00674F27"/>
    <w:rsid w:val="0067740E"/>
    <w:rsid w:val="00677E9C"/>
    <w:rsid w:val="00681A27"/>
    <w:rsid w:val="00685A0F"/>
    <w:rsid w:val="00685E5E"/>
    <w:rsid w:val="00685FFD"/>
    <w:rsid w:val="006911E9"/>
    <w:rsid w:val="00692E6C"/>
    <w:rsid w:val="00693415"/>
    <w:rsid w:val="00693863"/>
    <w:rsid w:val="00693B00"/>
    <w:rsid w:val="006945C5"/>
    <w:rsid w:val="00695F11"/>
    <w:rsid w:val="00696BCF"/>
    <w:rsid w:val="00696FF5"/>
    <w:rsid w:val="006A0653"/>
    <w:rsid w:val="006A16CE"/>
    <w:rsid w:val="006A1A04"/>
    <w:rsid w:val="006A255D"/>
    <w:rsid w:val="006A2B01"/>
    <w:rsid w:val="006A3876"/>
    <w:rsid w:val="006A3A27"/>
    <w:rsid w:val="006A3DED"/>
    <w:rsid w:val="006A45CD"/>
    <w:rsid w:val="006A57AD"/>
    <w:rsid w:val="006A7276"/>
    <w:rsid w:val="006B032B"/>
    <w:rsid w:val="006B165B"/>
    <w:rsid w:val="006B2825"/>
    <w:rsid w:val="006B2FD1"/>
    <w:rsid w:val="006B4376"/>
    <w:rsid w:val="006B534A"/>
    <w:rsid w:val="006B5CED"/>
    <w:rsid w:val="006B6557"/>
    <w:rsid w:val="006B698F"/>
    <w:rsid w:val="006B6E82"/>
    <w:rsid w:val="006B7540"/>
    <w:rsid w:val="006B7673"/>
    <w:rsid w:val="006C00FC"/>
    <w:rsid w:val="006C1024"/>
    <w:rsid w:val="006C18C3"/>
    <w:rsid w:val="006C2233"/>
    <w:rsid w:val="006C22B2"/>
    <w:rsid w:val="006C382F"/>
    <w:rsid w:val="006C398D"/>
    <w:rsid w:val="006C3A02"/>
    <w:rsid w:val="006C44D8"/>
    <w:rsid w:val="006C4F99"/>
    <w:rsid w:val="006C5725"/>
    <w:rsid w:val="006C68FB"/>
    <w:rsid w:val="006C6E1B"/>
    <w:rsid w:val="006C7560"/>
    <w:rsid w:val="006C7E46"/>
    <w:rsid w:val="006D048A"/>
    <w:rsid w:val="006D04BF"/>
    <w:rsid w:val="006D06F2"/>
    <w:rsid w:val="006D0BFC"/>
    <w:rsid w:val="006D0F3A"/>
    <w:rsid w:val="006D1B0C"/>
    <w:rsid w:val="006D1FE9"/>
    <w:rsid w:val="006D26D3"/>
    <w:rsid w:val="006D3127"/>
    <w:rsid w:val="006D3816"/>
    <w:rsid w:val="006D60BC"/>
    <w:rsid w:val="006D6C64"/>
    <w:rsid w:val="006D752E"/>
    <w:rsid w:val="006D7A1D"/>
    <w:rsid w:val="006D7B6B"/>
    <w:rsid w:val="006E0D8F"/>
    <w:rsid w:val="006E0FD2"/>
    <w:rsid w:val="006E1206"/>
    <w:rsid w:val="006E1F8F"/>
    <w:rsid w:val="006E40DF"/>
    <w:rsid w:val="006E41A5"/>
    <w:rsid w:val="006E450B"/>
    <w:rsid w:val="006E48FE"/>
    <w:rsid w:val="006E6154"/>
    <w:rsid w:val="006F0EC6"/>
    <w:rsid w:val="006F1702"/>
    <w:rsid w:val="006F1B99"/>
    <w:rsid w:val="006F2538"/>
    <w:rsid w:val="006F317B"/>
    <w:rsid w:val="006F454C"/>
    <w:rsid w:val="006F4AF6"/>
    <w:rsid w:val="006F51C5"/>
    <w:rsid w:val="006F5474"/>
    <w:rsid w:val="006F548F"/>
    <w:rsid w:val="006F5816"/>
    <w:rsid w:val="006F676D"/>
    <w:rsid w:val="006F69DB"/>
    <w:rsid w:val="006F6C72"/>
    <w:rsid w:val="007018A1"/>
    <w:rsid w:val="00701977"/>
    <w:rsid w:val="00702655"/>
    <w:rsid w:val="00702660"/>
    <w:rsid w:val="00704AFF"/>
    <w:rsid w:val="00706EA8"/>
    <w:rsid w:val="00707C22"/>
    <w:rsid w:val="00710967"/>
    <w:rsid w:val="00710DF9"/>
    <w:rsid w:val="007118F1"/>
    <w:rsid w:val="00712638"/>
    <w:rsid w:val="00712660"/>
    <w:rsid w:val="007137E7"/>
    <w:rsid w:val="00713E29"/>
    <w:rsid w:val="00714EB4"/>
    <w:rsid w:val="00716E06"/>
    <w:rsid w:val="00717FE4"/>
    <w:rsid w:val="0072084E"/>
    <w:rsid w:val="00720930"/>
    <w:rsid w:val="00722011"/>
    <w:rsid w:val="007229B3"/>
    <w:rsid w:val="00723096"/>
    <w:rsid w:val="00725AA2"/>
    <w:rsid w:val="00726819"/>
    <w:rsid w:val="007270D5"/>
    <w:rsid w:val="00727552"/>
    <w:rsid w:val="00730BCB"/>
    <w:rsid w:val="00730FD9"/>
    <w:rsid w:val="007316B1"/>
    <w:rsid w:val="00734378"/>
    <w:rsid w:val="00734DF8"/>
    <w:rsid w:val="00734EC8"/>
    <w:rsid w:val="00735729"/>
    <w:rsid w:val="00736113"/>
    <w:rsid w:val="00736942"/>
    <w:rsid w:val="00736FFB"/>
    <w:rsid w:val="00737D38"/>
    <w:rsid w:val="007405A2"/>
    <w:rsid w:val="00741E43"/>
    <w:rsid w:val="007465C2"/>
    <w:rsid w:val="007469F0"/>
    <w:rsid w:val="00746C0A"/>
    <w:rsid w:val="007504A6"/>
    <w:rsid w:val="00750EE0"/>
    <w:rsid w:val="0075268F"/>
    <w:rsid w:val="00753696"/>
    <w:rsid w:val="0075374A"/>
    <w:rsid w:val="0075556E"/>
    <w:rsid w:val="00756D06"/>
    <w:rsid w:val="00756E39"/>
    <w:rsid w:val="0076054F"/>
    <w:rsid w:val="007608B9"/>
    <w:rsid w:val="007610B3"/>
    <w:rsid w:val="00761D87"/>
    <w:rsid w:val="00762F56"/>
    <w:rsid w:val="007632A4"/>
    <w:rsid w:val="00763576"/>
    <w:rsid w:val="00763693"/>
    <w:rsid w:val="007639D1"/>
    <w:rsid w:val="00763A2C"/>
    <w:rsid w:val="00763E91"/>
    <w:rsid w:val="00764616"/>
    <w:rsid w:val="00765C52"/>
    <w:rsid w:val="00766F8C"/>
    <w:rsid w:val="0076759B"/>
    <w:rsid w:val="007679DC"/>
    <w:rsid w:val="00767D70"/>
    <w:rsid w:val="00770F6B"/>
    <w:rsid w:val="0077104F"/>
    <w:rsid w:val="0077372B"/>
    <w:rsid w:val="00774AA3"/>
    <w:rsid w:val="00774F10"/>
    <w:rsid w:val="00776104"/>
    <w:rsid w:val="007765B6"/>
    <w:rsid w:val="007776FC"/>
    <w:rsid w:val="007804AC"/>
    <w:rsid w:val="007807AE"/>
    <w:rsid w:val="00780EDB"/>
    <w:rsid w:val="00781B4C"/>
    <w:rsid w:val="007832B0"/>
    <w:rsid w:val="00783AAC"/>
    <w:rsid w:val="0078542B"/>
    <w:rsid w:val="00785990"/>
    <w:rsid w:val="0078634B"/>
    <w:rsid w:val="00786612"/>
    <w:rsid w:val="00786846"/>
    <w:rsid w:val="00786C68"/>
    <w:rsid w:val="007879C8"/>
    <w:rsid w:val="007913E8"/>
    <w:rsid w:val="00792B9D"/>
    <w:rsid w:val="007946B9"/>
    <w:rsid w:val="00794A7A"/>
    <w:rsid w:val="00795262"/>
    <w:rsid w:val="0079537A"/>
    <w:rsid w:val="007954D6"/>
    <w:rsid w:val="00796CCA"/>
    <w:rsid w:val="007A0C37"/>
    <w:rsid w:val="007A106B"/>
    <w:rsid w:val="007A2042"/>
    <w:rsid w:val="007A3BB1"/>
    <w:rsid w:val="007A4BB4"/>
    <w:rsid w:val="007A5187"/>
    <w:rsid w:val="007A60B6"/>
    <w:rsid w:val="007A7AE5"/>
    <w:rsid w:val="007B2647"/>
    <w:rsid w:val="007B2B8A"/>
    <w:rsid w:val="007B3354"/>
    <w:rsid w:val="007B38CA"/>
    <w:rsid w:val="007B3F02"/>
    <w:rsid w:val="007B4544"/>
    <w:rsid w:val="007B6774"/>
    <w:rsid w:val="007B7850"/>
    <w:rsid w:val="007C0667"/>
    <w:rsid w:val="007C077F"/>
    <w:rsid w:val="007C0D63"/>
    <w:rsid w:val="007C109C"/>
    <w:rsid w:val="007C12AF"/>
    <w:rsid w:val="007C1CA2"/>
    <w:rsid w:val="007C1D85"/>
    <w:rsid w:val="007C1E69"/>
    <w:rsid w:val="007C304E"/>
    <w:rsid w:val="007C311E"/>
    <w:rsid w:val="007C3DF1"/>
    <w:rsid w:val="007C3E0B"/>
    <w:rsid w:val="007C3E1F"/>
    <w:rsid w:val="007C4AA9"/>
    <w:rsid w:val="007C6692"/>
    <w:rsid w:val="007C719D"/>
    <w:rsid w:val="007C78A9"/>
    <w:rsid w:val="007D041B"/>
    <w:rsid w:val="007D124C"/>
    <w:rsid w:val="007D149E"/>
    <w:rsid w:val="007D2342"/>
    <w:rsid w:val="007D466E"/>
    <w:rsid w:val="007D60A9"/>
    <w:rsid w:val="007D62E0"/>
    <w:rsid w:val="007D6AEC"/>
    <w:rsid w:val="007E13E1"/>
    <w:rsid w:val="007E2CDD"/>
    <w:rsid w:val="007E3631"/>
    <w:rsid w:val="007E37D8"/>
    <w:rsid w:val="007E4025"/>
    <w:rsid w:val="007E4790"/>
    <w:rsid w:val="007E4BBC"/>
    <w:rsid w:val="007E5D79"/>
    <w:rsid w:val="007E606D"/>
    <w:rsid w:val="007E671D"/>
    <w:rsid w:val="007E69ED"/>
    <w:rsid w:val="007E76FD"/>
    <w:rsid w:val="007F084E"/>
    <w:rsid w:val="007F085D"/>
    <w:rsid w:val="007F2B8A"/>
    <w:rsid w:val="007F76C1"/>
    <w:rsid w:val="008044E9"/>
    <w:rsid w:val="00805980"/>
    <w:rsid w:val="00805D92"/>
    <w:rsid w:val="00807194"/>
    <w:rsid w:val="008072BF"/>
    <w:rsid w:val="00807687"/>
    <w:rsid w:val="00810714"/>
    <w:rsid w:val="00810E9F"/>
    <w:rsid w:val="00811FF0"/>
    <w:rsid w:val="008134DF"/>
    <w:rsid w:val="008137F1"/>
    <w:rsid w:val="00813F57"/>
    <w:rsid w:val="0081465F"/>
    <w:rsid w:val="008157E0"/>
    <w:rsid w:val="00816754"/>
    <w:rsid w:val="00816A4B"/>
    <w:rsid w:val="00820188"/>
    <w:rsid w:val="00821D4C"/>
    <w:rsid w:val="008240FC"/>
    <w:rsid w:val="00824502"/>
    <w:rsid w:val="00824B8E"/>
    <w:rsid w:val="00826FB5"/>
    <w:rsid w:val="008273E1"/>
    <w:rsid w:val="00827B93"/>
    <w:rsid w:val="008306C7"/>
    <w:rsid w:val="00832491"/>
    <w:rsid w:val="00832F32"/>
    <w:rsid w:val="0083356E"/>
    <w:rsid w:val="00833835"/>
    <w:rsid w:val="00835B4F"/>
    <w:rsid w:val="008364A6"/>
    <w:rsid w:val="00836E26"/>
    <w:rsid w:val="00836FBD"/>
    <w:rsid w:val="00837C6C"/>
    <w:rsid w:val="008410F9"/>
    <w:rsid w:val="00842C0A"/>
    <w:rsid w:val="00843E93"/>
    <w:rsid w:val="0084723C"/>
    <w:rsid w:val="00850359"/>
    <w:rsid w:val="00850D62"/>
    <w:rsid w:val="00851316"/>
    <w:rsid w:val="00851DE1"/>
    <w:rsid w:val="00852EDE"/>
    <w:rsid w:val="00853349"/>
    <w:rsid w:val="008534FC"/>
    <w:rsid w:val="00853C73"/>
    <w:rsid w:val="008541E2"/>
    <w:rsid w:val="008552DD"/>
    <w:rsid w:val="00855517"/>
    <w:rsid w:val="0085605A"/>
    <w:rsid w:val="0086046F"/>
    <w:rsid w:val="008613EE"/>
    <w:rsid w:val="00861D1C"/>
    <w:rsid w:val="00863195"/>
    <w:rsid w:val="0086324B"/>
    <w:rsid w:val="00864893"/>
    <w:rsid w:val="00864CE1"/>
    <w:rsid w:val="00865652"/>
    <w:rsid w:val="00865AC4"/>
    <w:rsid w:val="008660ED"/>
    <w:rsid w:val="0086632E"/>
    <w:rsid w:val="008672C8"/>
    <w:rsid w:val="00867419"/>
    <w:rsid w:val="00867A64"/>
    <w:rsid w:val="00870626"/>
    <w:rsid w:val="00871F37"/>
    <w:rsid w:val="008725F5"/>
    <w:rsid w:val="008748EC"/>
    <w:rsid w:val="00874B89"/>
    <w:rsid w:val="00875956"/>
    <w:rsid w:val="00876A01"/>
    <w:rsid w:val="00877238"/>
    <w:rsid w:val="008801B9"/>
    <w:rsid w:val="008808CB"/>
    <w:rsid w:val="008826E6"/>
    <w:rsid w:val="0088464B"/>
    <w:rsid w:val="0088517E"/>
    <w:rsid w:val="00885A22"/>
    <w:rsid w:val="00885EB5"/>
    <w:rsid w:val="008864C3"/>
    <w:rsid w:val="008866EF"/>
    <w:rsid w:val="00887E9D"/>
    <w:rsid w:val="008913BE"/>
    <w:rsid w:val="00892FE7"/>
    <w:rsid w:val="00893143"/>
    <w:rsid w:val="008953E4"/>
    <w:rsid w:val="0089565E"/>
    <w:rsid w:val="008966AC"/>
    <w:rsid w:val="00897859"/>
    <w:rsid w:val="00897980"/>
    <w:rsid w:val="008A028D"/>
    <w:rsid w:val="008A0E9A"/>
    <w:rsid w:val="008A1B10"/>
    <w:rsid w:val="008A1C78"/>
    <w:rsid w:val="008A340A"/>
    <w:rsid w:val="008A3EBD"/>
    <w:rsid w:val="008A413A"/>
    <w:rsid w:val="008A4A3A"/>
    <w:rsid w:val="008A4C88"/>
    <w:rsid w:val="008A643D"/>
    <w:rsid w:val="008B0713"/>
    <w:rsid w:val="008B074E"/>
    <w:rsid w:val="008B142D"/>
    <w:rsid w:val="008B152E"/>
    <w:rsid w:val="008B2A36"/>
    <w:rsid w:val="008B2E26"/>
    <w:rsid w:val="008B386F"/>
    <w:rsid w:val="008B42B3"/>
    <w:rsid w:val="008B753D"/>
    <w:rsid w:val="008C046C"/>
    <w:rsid w:val="008C1AA9"/>
    <w:rsid w:val="008C1D5F"/>
    <w:rsid w:val="008C66AC"/>
    <w:rsid w:val="008C6DC3"/>
    <w:rsid w:val="008C6E4C"/>
    <w:rsid w:val="008C7295"/>
    <w:rsid w:val="008D003B"/>
    <w:rsid w:val="008D0E9B"/>
    <w:rsid w:val="008D1E51"/>
    <w:rsid w:val="008D223A"/>
    <w:rsid w:val="008D29EF"/>
    <w:rsid w:val="008D3C49"/>
    <w:rsid w:val="008D4E3F"/>
    <w:rsid w:val="008D4F04"/>
    <w:rsid w:val="008D526B"/>
    <w:rsid w:val="008D7680"/>
    <w:rsid w:val="008D7688"/>
    <w:rsid w:val="008D7820"/>
    <w:rsid w:val="008D78C4"/>
    <w:rsid w:val="008D7F32"/>
    <w:rsid w:val="008E1AC9"/>
    <w:rsid w:val="008E3A66"/>
    <w:rsid w:val="008E3DCB"/>
    <w:rsid w:val="008E4494"/>
    <w:rsid w:val="008E54A6"/>
    <w:rsid w:val="008E61FB"/>
    <w:rsid w:val="008E6CDC"/>
    <w:rsid w:val="008E6E57"/>
    <w:rsid w:val="008E702D"/>
    <w:rsid w:val="008E71C0"/>
    <w:rsid w:val="008E7CBC"/>
    <w:rsid w:val="008F047D"/>
    <w:rsid w:val="008F1DE6"/>
    <w:rsid w:val="008F2960"/>
    <w:rsid w:val="008F2A17"/>
    <w:rsid w:val="008F2A72"/>
    <w:rsid w:val="008F36ED"/>
    <w:rsid w:val="008F5B65"/>
    <w:rsid w:val="008F60AE"/>
    <w:rsid w:val="008F6163"/>
    <w:rsid w:val="008F7966"/>
    <w:rsid w:val="0090038D"/>
    <w:rsid w:val="00900E80"/>
    <w:rsid w:val="009024F3"/>
    <w:rsid w:val="009027AB"/>
    <w:rsid w:val="00903552"/>
    <w:rsid w:val="00903C76"/>
    <w:rsid w:val="00905E39"/>
    <w:rsid w:val="0090620D"/>
    <w:rsid w:val="00906313"/>
    <w:rsid w:val="00906D81"/>
    <w:rsid w:val="00907376"/>
    <w:rsid w:val="00910CCC"/>
    <w:rsid w:val="00912169"/>
    <w:rsid w:val="00912E18"/>
    <w:rsid w:val="00914291"/>
    <w:rsid w:val="009145EC"/>
    <w:rsid w:val="00914812"/>
    <w:rsid w:val="00914833"/>
    <w:rsid w:val="00914C69"/>
    <w:rsid w:val="00915C4C"/>
    <w:rsid w:val="00915E2E"/>
    <w:rsid w:val="00916171"/>
    <w:rsid w:val="00916874"/>
    <w:rsid w:val="009211EB"/>
    <w:rsid w:val="009226D4"/>
    <w:rsid w:val="00924175"/>
    <w:rsid w:val="0092540B"/>
    <w:rsid w:val="00925601"/>
    <w:rsid w:val="0092570E"/>
    <w:rsid w:val="009257B0"/>
    <w:rsid w:val="00925C7A"/>
    <w:rsid w:val="00926439"/>
    <w:rsid w:val="0092735F"/>
    <w:rsid w:val="0092753C"/>
    <w:rsid w:val="00930222"/>
    <w:rsid w:val="009302B5"/>
    <w:rsid w:val="00930693"/>
    <w:rsid w:val="00930BEA"/>
    <w:rsid w:val="00931704"/>
    <w:rsid w:val="009326FE"/>
    <w:rsid w:val="00934A29"/>
    <w:rsid w:val="009354C2"/>
    <w:rsid w:val="0093593C"/>
    <w:rsid w:val="00935994"/>
    <w:rsid w:val="009359A4"/>
    <w:rsid w:val="00935BE3"/>
    <w:rsid w:val="00944263"/>
    <w:rsid w:val="00944362"/>
    <w:rsid w:val="0094468F"/>
    <w:rsid w:val="00944CF7"/>
    <w:rsid w:val="00945CB3"/>
    <w:rsid w:val="009461D6"/>
    <w:rsid w:val="00950F50"/>
    <w:rsid w:val="00952236"/>
    <w:rsid w:val="00952E39"/>
    <w:rsid w:val="0095349C"/>
    <w:rsid w:val="00953DA0"/>
    <w:rsid w:val="009541FA"/>
    <w:rsid w:val="0095435E"/>
    <w:rsid w:val="009543DA"/>
    <w:rsid w:val="00954C42"/>
    <w:rsid w:val="00954CB6"/>
    <w:rsid w:val="00956A88"/>
    <w:rsid w:val="0095725D"/>
    <w:rsid w:val="0095784F"/>
    <w:rsid w:val="00957D26"/>
    <w:rsid w:val="00957DBD"/>
    <w:rsid w:val="00961277"/>
    <w:rsid w:val="0096182A"/>
    <w:rsid w:val="00962BC2"/>
    <w:rsid w:val="00962CF3"/>
    <w:rsid w:val="009631F3"/>
    <w:rsid w:val="00964DC3"/>
    <w:rsid w:val="0096577F"/>
    <w:rsid w:val="00966241"/>
    <w:rsid w:val="00966561"/>
    <w:rsid w:val="00966BCE"/>
    <w:rsid w:val="00970313"/>
    <w:rsid w:val="00970CFC"/>
    <w:rsid w:val="00971269"/>
    <w:rsid w:val="00971C4D"/>
    <w:rsid w:val="009728FF"/>
    <w:rsid w:val="00972A11"/>
    <w:rsid w:val="00972B33"/>
    <w:rsid w:val="00973F3F"/>
    <w:rsid w:val="00973F7A"/>
    <w:rsid w:val="00974656"/>
    <w:rsid w:val="00974A1C"/>
    <w:rsid w:val="0097567C"/>
    <w:rsid w:val="0097637E"/>
    <w:rsid w:val="00976429"/>
    <w:rsid w:val="009806DE"/>
    <w:rsid w:val="009809ED"/>
    <w:rsid w:val="0098205D"/>
    <w:rsid w:val="00983204"/>
    <w:rsid w:val="00985BF5"/>
    <w:rsid w:val="00985EA2"/>
    <w:rsid w:val="0098603D"/>
    <w:rsid w:val="009869F0"/>
    <w:rsid w:val="00987889"/>
    <w:rsid w:val="00990BAD"/>
    <w:rsid w:val="00991502"/>
    <w:rsid w:val="009923AD"/>
    <w:rsid w:val="009925C2"/>
    <w:rsid w:val="009929D4"/>
    <w:rsid w:val="00992ED1"/>
    <w:rsid w:val="009930E0"/>
    <w:rsid w:val="00993123"/>
    <w:rsid w:val="0099345E"/>
    <w:rsid w:val="00993B62"/>
    <w:rsid w:val="00993C5A"/>
    <w:rsid w:val="00995CC4"/>
    <w:rsid w:val="00995F48"/>
    <w:rsid w:val="00996A08"/>
    <w:rsid w:val="00996FDE"/>
    <w:rsid w:val="00996FE5"/>
    <w:rsid w:val="009A09E8"/>
    <w:rsid w:val="009A280A"/>
    <w:rsid w:val="009A3AE9"/>
    <w:rsid w:val="009A3CE8"/>
    <w:rsid w:val="009A7EF9"/>
    <w:rsid w:val="009B1DB9"/>
    <w:rsid w:val="009B4914"/>
    <w:rsid w:val="009B4C32"/>
    <w:rsid w:val="009B58F6"/>
    <w:rsid w:val="009B61CA"/>
    <w:rsid w:val="009B6C34"/>
    <w:rsid w:val="009B754D"/>
    <w:rsid w:val="009B77C3"/>
    <w:rsid w:val="009C0BB4"/>
    <w:rsid w:val="009C2F3C"/>
    <w:rsid w:val="009C2FAA"/>
    <w:rsid w:val="009C5273"/>
    <w:rsid w:val="009C5A85"/>
    <w:rsid w:val="009C5FD1"/>
    <w:rsid w:val="009C7396"/>
    <w:rsid w:val="009D067E"/>
    <w:rsid w:val="009D120C"/>
    <w:rsid w:val="009D1BCD"/>
    <w:rsid w:val="009D327A"/>
    <w:rsid w:val="009D3F34"/>
    <w:rsid w:val="009D3FAF"/>
    <w:rsid w:val="009D4145"/>
    <w:rsid w:val="009D50DD"/>
    <w:rsid w:val="009D5996"/>
    <w:rsid w:val="009D6413"/>
    <w:rsid w:val="009D73C1"/>
    <w:rsid w:val="009D7774"/>
    <w:rsid w:val="009D7992"/>
    <w:rsid w:val="009E0C26"/>
    <w:rsid w:val="009E2459"/>
    <w:rsid w:val="009E29B7"/>
    <w:rsid w:val="009E2BCE"/>
    <w:rsid w:val="009E2BFF"/>
    <w:rsid w:val="009E31B3"/>
    <w:rsid w:val="009E343E"/>
    <w:rsid w:val="009E3AC1"/>
    <w:rsid w:val="009E3F31"/>
    <w:rsid w:val="009E4B1A"/>
    <w:rsid w:val="009E61DE"/>
    <w:rsid w:val="009E6CD0"/>
    <w:rsid w:val="009F1438"/>
    <w:rsid w:val="009F3D0B"/>
    <w:rsid w:val="009F4012"/>
    <w:rsid w:val="009F4A7F"/>
    <w:rsid w:val="009F53F2"/>
    <w:rsid w:val="00A01415"/>
    <w:rsid w:val="00A01B2F"/>
    <w:rsid w:val="00A01BD7"/>
    <w:rsid w:val="00A01C3C"/>
    <w:rsid w:val="00A01D4A"/>
    <w:rsid w:val="00A047A9"/>
    <w:rsid w:val="00A04C81"/>
    <w:rsid w:val="00A04DA8"/>
    <w:rsid w:val="00A051F5"/>
    <w:rsid w:val="00A06447"/>
    <w:rsid w:val="00A064AD"/>
    <w:rsid w:val="00A06FC9"/>
    <w:rsid w:val="00A07B73"/>
    <w:rsid w:val="00A10934"/>
    <w:rsid w:val="00A10CB4"/>
    <w:rsid w:val="00A10FA4"/>
    <w:rsid w:val="00A11AED"/>
    <w:rsid w:val="00A12425"/>
    <w:rsid w:val="00A12C30"/>
    <w:rsid w:val="00A130D5"/>
    <w:rsid w:val="00A134E7"/>
    <w:rsid w:val="00A1577D"/>
    <w:rsid w:val="00A15877"/>
    <w:rsid w:val="00A162A4"/>
    <w:rsid w:val="00A17747"/>
    <w:rsid w:val="00A17C74"/>
    <w:rsid w:val="00A17F8C"/>
    <w:rsid w:val="00A21E9C"/>
    <w:rsid w:val="00A23066"/>
    <w:rsid w:val="00A233CE"/>
    <w:rsid w:val="00A23462"/>
    <w:rsid w:val="00A240B7"/>
    <w:rsid w:val="00A269DE"/>
    <w:rsid w:val="00A31595"/>
    <w:rsid w:val="00A31AE1"/>
    <w:rsid w:val="00A31AE5"/>
    <w:rsid w:val="00A31D72"/>
    <w:rsid w:val="00A33ED4"/>
    <w:rsid w:val="00A35085"/>
    <w:rsid w:val="00A364E7"/>
    <w:rsid w:val="00A367D2"/>
    <w:rsid w:val="00A36A5C"/>
    <w:rsid w:val="00A36BE0"/>
    <w:rsid w:val="00A37B8C"/>
    <w:rsid w:val="00A37E25"/>
    <w:rsid w:val="00A40894"/>
    <w:rsid w:val="00A40AC9"/>
    <w:rsid w:val="00A40EA1"/>
    <w:rsid w:val="00A425A3"/>
    <w:rsid w:val="00A44983"/>
    <w:rsid w:val="00A45529"/>
    <w:rsid w:val="00A467E8"/>
    <w:rsid w:val="00A52376"/>
    <w:rsid w:val="00A53047"/>
    <w:rsid w:val="00A530F3"/>
    <w:rsid w:val="00A53912"/>
    <w:rsid w:val="00A53B52"/>
    <w:rsid w:val="00A551B5"/>
    <w:rsid w:val="00A5600E"/>
    <w:rsid w:val="00A5604A"/>
    <w:rsid w:val="00A5660D"/>
    <w:rsid w:val="00A56E29"/>
    <w:rsid w:val="00A607D1"/>
    <w:rsid w:val="00A60A2D"/>
    <w:rsid w:val="00A627FB"/>
    <w:rsid w:val="00A63909"/>
    <w:rsid w:val="00A64B20"/>
    <w:rsid w:val="00A66215"/>
    <w:rsid w:val="00A66339"/>
    <w:rsid w:val="00A66386"/>
    <w:rsid w:val="00A70494"/>
    <w:rsid w:val="00A70599"/>
    <w:rsid w:val="00A70A32"/>
    <w:rsid w:val="00A71317"/>
    <w:rsid w:val="00A715E3"/>
    <w:rsid w:val="00A71864"/>
    <w:rsid w:val="00A71DF7"/>
    <w:rsid w:val="00A72702"/>
    <w:rsid w:val="00A73361"/>
    <w:rsid w:val="00A74926"/>
    <w:rsid w:val="00A76410"/>
    <w:rsid w:val="00A772EC"/>
    <w:rsid w:val="00A8054B"/>
    <w:rsid w:val="00A8063F"/>
    <w:rsid w:val="00A80C62"/>
    <w:rsid w:val="00A80E87"/>
    <w:rsid w:val="00A81761"/>
    <w:rsid w:val="00A81CAF"/>
    <w:rsid w:val="00A81E71"/>
    <w:rsid w:val="00A81FBF"/>
    <w:rsid w:val="00A83BC9"/>
    <w:rsid w:val="00A84AB4"/>
    <w:rsid w:val="00A85DEF"/>
    <w:rsid w:val="00A860A8"/>
    <w:rsid w:val="00A860E4"/>
    <w:rsid w:val="00A86125"/>
    <w:rsid w:val="00A86423"/>
    <w:rsid w:val="00A8695E"/>
    <w:rsid w:val="00A874B5"/>
    <w:rsid w:val="00A9065D"/>
    <w:rsid w:val="00A91D07"/>
    <w:rsid w:val="00A94C4E"/>
    <w:rsid w:val="00A97052"/>
    <w:rsid w:val="00A97264"/>
    <w:rsid w:val="00A9771A"/>
    <w:rsid w:val="00AA0248"/>
    <w:rsid w:val="00AA2356"/>
    <w:rsid w:val="00AA2405"/>
    <w:rsid w:val="00AA2D0F"/>
    <w:rsid w:val="00AA31E4"/>
    <w:rsid w:val="00AA3273"/>
    <w:rsid w:val="00AA3A67"/>
    <w:rsid w:val="00AA3AD5"/>
    <w:rsid w:val="00AA4283"/>
    <w:rsid w:val="00AA548C"/>
    <w:rsid w:val="00AA600E"/>
    <w:rsid w:val="00AA6903"/>
    <w:rsid w:val="00AA7403"/>
    <w:rsid w:val="00AA7AF9"/>
    <w:rsid w:val="00AB0882"/>
    <w:rsid w:val="00AB240E"/>
    <w:rsid w:val="00AB2531"/>
    <w:rsid w:val="00AB2923"/>
    <w:rsid w:val="00AB47E2"/>
    <w:rsid w:val="00AB4C72"/>
    <w:rsid w:val="00AB627D"/>
    <w:rsid w:val="00AC0E2C"/>
    <w:rsid w:val="00AC1A71"/>
    <w:rsid w:val="00AC2045"/>
    <w:rsid w:val="00AC31CD"/>
    <w:rsid w:val="00AC3999"/>
    <w:rsid w:val="00AC3E61"/>
    <w:rsid w:val="00AC3FC8"/>
    <w:rsid w:val="00AC52B7"/>
    <w:rsid w:val="00AC57DD"/>
    <w:rsid w:val="00AC5C70"/>
    <w:rsid w:val="00AC6146"/>
    <w:rsid w:val="00AC6491"/>
    <w:rsid w:val="00AC6798"/>
    <w:rsid w:val="00AC76FC"/>
    <w:rsid w:val="00AD2368"/>
    <w:rsid w:val="00AD2737"/>
    <w:rsid w:val="00AD5FCA"/>
    <w:rsid w:val="00AD7F78"/>
    <w:rsid w:val="00AE1421"/>
    <w:rsid w:val="00AE1886"/>
    <w:rsid w:val="00AE25E5"/>
    <w:rsid w:val="00AE29D8"/>
    <w:rsid w:val="00AE2DA1"/>
    <w:rsid w:val="00AE4348"/>
    <w:rsid w:val="00AE491F"/>
    <w:rsid w:val="00AE518F"/>
    <w:rsid w:val="00AE52CD"/>
    <w:rsid w:val="00AE60C0"/>
    <w:rsid w:val="00AE6570"/>
    <w:rsid w:val="00AE7629"/>
    <w:rsid w:val="00AF17C9"/>
    <w:rsid w:val="00AF298B"/>
    <w:rsid w:val="00AF3E7B"/>
    <w:rsid w:val="00AF3F8D"/>
    <w:rsid w:val="00AF4D77"/>
    <w:rsid w:val="00AF67F8"/>
    <w:rsid w:val="00B00D00"/>
    <w:rsid w:val="00B01620"/>
    <w:rsid w:val="00B0279C"/>
    <w:rsid w:val="00B02A7B"/>
    <w:rsid w:val="00B03801"/>
    <w:rsid w:val="00B0515A"/>
    <w:rsid w:val="00B05508"/>
    <w:rsid w:val="00B057BB"/>
    <w:rsid w:val="00B05B5A"/>
    <w:rsid w:val="00B05FFF"/>
    <w:rsid w:val="00B06AD9"/>
    <w:rsid w:val="00B0763E"/>
    <w:rsid w:val="00B10F4A"/>
    <w:rsid w:val="00B11458"/>
    <w:rsid w:val="00B12162"/>
    <w:rsid w:val="00B12340"/>
    <w:rsid w:val="00B12DBA"/>
    <w:rsid w:val="00B12EAA"/>
    <w:rsid w:val="00B13150"/>
    <w:rsid w:val="00B16403"/>
    <w:rsid w:val="00B17C8F"/>
    <w:rsid w:val="00B17DA7"/>
    <w:rsid w:val="00B20D64"/>
    <w:rsid w:val="00B20E4A"/>
    <w:rsid w:val="00B22317"/>
    <w:rsid w:val="00B224D3"/>
    <w:rsid w:val="00B22C5E"/>
    <w:rsid w:val="00B22D1B"/>
    <w:rsid w:val="00B2329F"/>
    <w:rsid w:val="00B23ECF"/>
    <w:rsid w:val="00B23FD2"/>
    <w:rsid w:val="00B24C5D"/>
    <w:rsid w:val="00B24D73"/>
    <w:rsid w:val="00B263D1"/>
    <w:rsid w:val="00B269B5"/>
    <w:rsid w:val="00B27F57"/>
    <w:rsid w:val="00B3044A"/>
    <w:rsid w:val="00B31553"/>
    <w:rsid w:val="00B3246D"/>
    <w:rsid w:val="00B33177"/>
    <w:rsid w:val="00B3318D"/>
    <w:rsid w:val="00B33217"/>
    <w:rsid w:val="00B33320"/>
    <w:rsid w:val="00B3538F"/>
    <w:rsid w:val="00B374E0"/>
    <w:rsid w:val="00B4010D"/>
    <w:rsid w:val="00B40753"/>
    <w:rsid w:val="00B40F76"/>
    <w:rsid w:val="00B41C90"/>
    <w:rsid w:val="00B4319E"/>
    <w:rsid w:val="00B43417"/>
    <w:rsid w:val="00B44E80"/>
    <w:rsid w:val="00B45D92"/>
    <w:rsid w:val="00B45E44"/>
    <w:rsid w:val="00B463CE"/>
    <w:rsid w:val="00B46BD7"/>
    <w:rsid w:val="00B47877"/>
    <w:rsid w:val="00B47E1F"/>
    <w:rsid w:val="00B5128F"/>
    <w:rsid w:val="00B514E7"/>
    <w:rsid w:val="00B515FC"/>
    <w:rsid w:val="00B517F1"/>
    <w:rsid w:val="00B51F0F"/>
    <w:rsid w:val="00B53644"/>
    <w:rsid w:val="00B53CA2"/>
    <w:rsid w:val="00B545A5"/>
    <w:rsid w:val="00B56177"/>
    <w:rsid w:val="00B5764E"/>
    <w:rsid w:val="00B576E9"/>
    <w:rsid w:val="00B6054B"/>
    <w:rsid w:val="00B609AB"/>
    <w:rsid w:val="00B6202D"/>
    <w:rsid w:val="00B62404"/>
    <w:rsid w:val="00B62B20"/>
    <w:rsid w:val="00B657D2"/>
    <w:rsid w:val="00B65C70"/>
    <w:rsid w:val="00B660A7"/>
    <w:rsid w:val="00B70041"/>
    <w:rsid w:val="00B70860"/>
    <w:rsid w:val="00B70E7F"/>
    <w:rsid w:val="00B70EFF"/>
    <w:rsid w:val="00B71478"/>
    <w:rsid w:val="00B71DEF"/>
    <w:rsid w:val="00B72437"/>
    <w:rsid w:val="00B72E4C"/>
    <w:rsid w:val="00B73D47"/>
    <w:rsid w:val="00B73D57"/>
    <w:rsid w:val="00B74120"/>
    <w:rsid w:val="00B74FF7"/>
    <w:rsid w:val="00B75691"/>
    <w:rsid w:val="00B75A61"/>
    <w:rsid w:val="00B76215"/>
    <w:rsid w:val="00B763DA"/>
    <w:rsid w:val="00B764B6"/>
    <w:rsid w:val="00B76A30"/>
    <w:rsid w:val="00B76DAB"/>
    <w:rsid w:val="00B775E9"/>
    <w:rsid w:val="00B77B1F"/>
    <w:rsid w:val="00B77C98"/>
    <w:rsid w:val="00B8207F"/>
    <w:rsid w:val="00B833ED"/>
    <w:rsid w:val="00B85FBA"/>
    <w:rsid w:val="00B86A29"/>
    <w:rsid w:val="00B934A8"/>
    <w:rsid w:val="00B93669"/>
    <w:rsid w:val="00B9451F"/>
    <w:rsid w:val="00B96193"/>
    <w:rsid w:val="00B96FAE"/>
    <w:rsid w:val="00B96FF5"/>
    <w:rsid w:val="00B975D0"/>
    <w:rsid w:val="00BA04A7"/>
    <w:rsid w:val="00BA04A9"/>
    <w:rsid w:val="00BA06EF"/>
    <w:rsid w:val="00BA0DAF"/>
    <w:rsid w:val="00BA2F00"/>
    <w:rsid w:val="00BA3A70"/>
    <w:rsid w:val="00BA455B"/>
    <w:rsid w:val="00BA4FD9"/>
    <w:rsid w:val="00BA5360"/>
    <w:rsid w:val="00BA65C1"/>
    <w:rsid w:val="00BA724B"/>
    <w:rsid w:val="00BA7643"/>
    <w:rsid w:val="00BA7970"/>
    <w:rsid w:val="00BB0528"/>
    <w:rsid w:val="00BB0D26"/>
    <w:rsid w:val="00BB183E"/>
    <w:rsid w:val="00BB2EFC"/>
    <w:rsid w:val="00BB2F9D"/>
    <w:rsid w:val="00BB44CA"/>
    <w:rsid w:val="00BB545F"/>
    <w:rsid w:val="00BB717D"/>
    <w:rsid w:val="00BB7412"/>
    <w:rsid w:val="00BC158E"/>
    <w:rsid w:val="00BC2362"/>
    <w:rsid w:val="00BC23BA"/>
    <w:rsid w:val="00BC359E"/>
    <w:rsid w:val="00BC3770"/>
    <w:rsid w:val="00BC3D3B"/>
    <w:rsid w:val="00BC5038"/>
    <w:rsid w:val="00BC5E51"/>
    <w:rsid w:val="00BC607F"/>
    <w:rsid w:val="00BC62A8"/>
    <w:rsid w:val="00BC6F6A"/>
    <w:rsid w:val="00BC7F5A"/>
    <w:rsid w:val="00BD471E"/>
    <w:rsid w:val="00BD5C04"/>
    <w:rsid w:val="00BD5F3E"/>
    <w:rsid w:val="00BD60D3"/>
    <w:rsid w:val="00BD6DF5"/>
    <w:rsid w:val="00BE017D"/>
    <w:rsid w:val="00BE05D1"/>
    <w:rsid w:val="00BE09A7"/>
    <w:rsid w:val="00BE162A"/>
    <w:rsid w:val="00BE1872"/>
    <w:rsid w:val="00BE2842"/>
    <w:rsid w:val="00BE28B9"/>
    <w:rsid w:val="00BE3A8B"/>
    <w:rsid w:val="00BE5391"/>
    <w:rsid w:val="00BE553D"/>
    <w:rsid w:val="00BE6B53"/>
    <w:rsid w:val="00BE7769"/>
    <w:rsid w:val="00BE78B8"/>
    <w:rsid w:val="00BE7E3F"/>
    <w:rsid w:val="00BE7F0E"/>
    <w:rsid w:val="00BF02CA"/>
    <w:rsid w:val="00BF0784"/>
    <w:rsid w:val="00BF0CD8"/>
    <w:rsid w:val="00BF10FE"/>
    <w:rsid w:val="00BF1F87"/>
    <w:rsid w:val="00BF2AC0"/>
    <w:rsid w:val="00BF334C"/>
    <w:rsid w:val="00BF33A2"/>
    <w:rsid w:val="00BF3A2C"/>
    <w:rsid w:val="00BF4808"/>
    <w:rsid w:val="00BF482C"/>
    <w:rsid w:val="00BF5731"/>
    <w:rsid w:val="00BF6429"/>
    <w:rsid w:val="00BF64CF"/>
    <w:rsid w:val="00BF6A35"/>
    <w:rsid w:val="00BF78EB"/>
    <w:rsid w:val="00C01A5E"/>
    <w:rsid w:val="00C01B45"/>
    <w:rsid w:val="00C02C21"/>
    <w:rsid w:val="00C0580E"/>
    <w:rsid w:val="00C0595A"/>
    <w:rsid w:val="00C05BEB"/>
    <w:rsid w:val="00C07438"/>
    <w:rsid w:val="00C0743A"/>
    <w:rsid w:val="00C11056"/>
    <w:rsid w:val="00C1211A"/>
    <w:rsid w:val="00C12166"/>
    <w:rsid w:val="00C12CE0"/>
    <w:rsid w:val="00C13133"/>
    <w:rsid w:val="00C14E59"/>
    <w:rsid w:val="00C151FE"/>
    <w:rsid w:val="00C160FC"/>
    <w:rsid w:val="00C16407"/>
    <w:rsid w:val="00C1721C"/>
    <w:rsid w:val="00C17306"/>
    <w:rsid w:val="00C20182"/>
    <w:rsid w:val="00C2103B"/>
    <w:rsid w:val="00C23523"/>
    <w:rsid w:val="00C2385E"/>
    <w:rsid w:val="00C23C33"/>
    <w:rsid w:val="00C24533"/>
    <w:rsid w:val="00C24824"/>
    <w:rsid w:val="00C25024"/>
    <w:rsid w:val="00C271D8"/>
    <w:rsid w:val="00C27720"/>
    <w:rsid w:val="00C27BB7"/>
    <w:rsid w:val="00C30115"/>
    <w:rsid w:val="00C30E03"/>
    <w:rsid w:val="00C324D7"/>
    <w:rsid w:val="00C338F6"/>
    <w:rsid w:val="00C34A97"/>
    <w:rsid w:val="00C35CA4"/>
    <w:rsid w:val="00C36A74"/>
    <w:rsid w:val="00C36D0E"/>
    <w:rsid w:val="00C37DB4"/>
    <w:rsid w:val="00C4001B"/>
    <w:rsid w:val="00C411EA"/>
    <w:rsid w:val="00C414B7"/>
    <w:rsid w:val="00C43E87"/>
    <w:rsid w:val="00C4532F"/>
    <w:rsid w:val="00C46A78"/>
    <w:rsid w:val="00C50620"/>
    <w:rsid w:val="00C50FE4"/>
    <w:rsid w:val="00C524D3"/>
    <w:rsid w:val="00C52966"/>
    <w:rsid w:val="00C530CB"/>
    <w:rsid w:val="00C53189"/>
    <w:rsid w:val="00C5372B"/>
    <w:rsid w:val="00C53E96"/>
    <w:rsid w:val="00C54ACF"/>
    <w:rsid w:val="00C550AB"/>
    <w:rsid w:val="00C556AB"/>
    <w:rsid w:val="00C55A88"/>
    <w:rsid w:val="00C561CA"/>
    <w:rsid w:val="00C5648F"/>
    <w:rsid w:val="00C56A79"/>
    <w:rsid w:val="00C573B1"/>
    <w:rsid w:val="00C57E35"/>
    <w:rsid w:val="00C604E3"/>
    <w:rsid w:val="00C617F2"/>
    <w:rsid w:val="00C64536"/>
    <w:rsid w:val="00C649C9"/>
    <w:rsid w:val="00C65DEB"/>
    <w:rsid w:val="00C67274"/>
    <w:rsid w:val="00C675C9"/>
    <w:rsid w:val="00C70104"/>
    <w:rsid w:val="00C705CF"/>
    <w:rsid w:val="00C706FC"/>
    <w:rsid w:val="00C71903"/>
    <w:rsid w:val="00C71E77"/>
    <w:rsid w:val="00C71E82"/>
    <w:rsid w:val="00C73A82"/>
    <w:rsid w:val="00C766F5"/>
    <w:rsid w:val="00C81124"/>
    <w:rsid w:val="00C81C7C"/>
    <w:rsid w:val="00C8279B"/>
    <w:rsid w:val="00C82B7D"/>
    <w:rsid w:val="00C836CD"/>
    <w:rsid w:val="00C83868"/>
    <w:rsid w:val="00C85079"/>
    <w:rsid w:val="00C8514A"/>
    <w:rsid w:val="00C85640"/>
    <w:rsid w:val="00C858D6"/>
    <w:rsid w:val="00C858F7"/>
    <w:rsid w:val="00C85FE0"/>
    <w:rsid w:val="00C8679B"/>
    <w:rsid w:val="00C8791A"/>
    <w:rsid w:val="00C90211"/>
    <w:rsid w:val="00C90571"/>
    <w:rsid w:val="00C90F82"/>
    <w:rsid w:val="00C910E7"/>
    <w:rsid w:val="00C912FD"/>
    <w:rsid w:val="00C91595"/>
    <w:rsid w:val="00C916EA"/>
    <w:rsid w:val="00C927A3"/>
    <w:rsid w:val="00C93C61"/>
    <w:rsid w:val="00C93CBE"/>
    <w:rsid w:val="00C94EB0"/>
    <w:rsid w:val="00C95BA8"/>
    <w:rsid w:val="00C97029"/>
    <w:rsid w:val="00C976F0"/>
    <w:rsid w:val="00C97807"/>
    <w:rsid w:val="00CA024F"/>
    <w:rsid w:val="00CA09D0"/>
    <w:rsid w:val="00CA24CB"/>
    <w:rsid w:val="00CA2590"/>
    <w:rsid w:val="00CA26EB"/>
    <w:rsid w:val="00CA2DFF"/>
    <w:rsid w:val="00CA303A"/>
    <w:rsid w:val="00CA5553"/>
    <w:rsid w:val="00CA7184"/>
    <w:rsid w:val="00CA7A64"/>
    <w:rsid w:val="00CA7B0C"/>
    <w:rsid w:val="00CB0CFC"/>
    <w:rsid w:val="00CB28AD"/>
    <w:rsid w:val="00CB30D4"/>
    <w:rsid w:val="00CB4455"/>
    <w:rsid w:val="00CB4EE9"/>
    <w:rsid w:val="00CB68BF"/>
    <w:rsid w:val="00CB6F35"/>
    <w:rsid w:val="00CB7364"/>
    <w:rsid w:val="00CB7941"/>
    <w:rsid w:val="00CB7A4C"/>
    <w:rsid w:val="00CB7ABF"/>
    <w:rsid w:val="00CB7D7F"/>
    <w:rsid w:val="00CC11E2"/>
    <w:rsid w:val="00CC1407"/>
    <w:rsid w:val="00CC1D10"/>
    <w:rsid w:val="00CC2CEF"/>
    <w:rsid w:val="00CC3DC5"/>
    <w:rsid w:val="00CC5211"/>
    <w:rsid w:val="00CC614F"/>
    <w:rsid w:val="00CC634A"/>
    <w:rsid w:val="00CC68BF"/>
    <w:rsid w:val="00CC6918"/>
    <w:rsid w:val="00CC7DAC"/>
    <w:rsid w:val="00CD039B"/>
    <w:rsid w:val="00CD1AB2"/>
    <w:rsid w:val="00CD1F0B"/>
    <w:rsid w:val="00CD312C"/>
    <w:rsid w:val="00CD4512"/>
    <w:rsid w:val="00CD5FC1"/>
    <w:rsid w:val="00CD644A"/>
    <w:rsid w:val="00CD6637"/>
    <w:rsid w:val="00CD6B47"/>
    <w:rsid w:val="00CD746C"/>
    <w:rsid w:val="00CD7B49"/>
    <w:rsid w:val="00CE020C"/>
    <w:rsid w:val="00CE0C0F"/>
    <w:rsid w:val="00CE2BFF"/>
    <w:rsid w:val="00CE4248"/>
    <w:rsid w:val="00CE4B6A"/>
    <w:rsid w:val="00CE5445"/>
    <w:rsid w:val="00CE58BF"/>
    <w:rsid w:val="00CE7310"/>
    <w:rsid w:val="00CE751B"/>
    <w:rsid w:val="00CE7A01"/>
    <w:rsid w:val="00CF0CDA"/>
    <w:rsid w:val="00CF2E5F"/>
    <w:rsid w:val="00CF321F"/>
    <w:rsid w:val="00CF3E0C"/>
    <w:rsid w:val="00CF3E58"/>
    <w:rsid w:val="00CF4830"/>
    <w:rsid w:val="00CF5E44"/>
    <w:rsid w:val="00CF6296"/>
    <w:rsid w:val="00CF6EC8"/>
    <w:rsid w:val="00D019D3"/>
    <w:rsid w:val="00D02BC5"/>
    <w:rsid w:val="00D0452C"/>
    <w:rsid w:val="00D04F1B"/>
    <w:rsid w:val="00D056E3"/>
    <w:rsid w:val="00D0787E"/>
    <w:rsid w:val="00D07BAE"/>
    <w:rsid w:val="00D10146"/>
    <w:rsid w:val="00D12252"/>
    <w:rsid w:val="00D13104"/>
    <w:rsid w:val="00D1387D"/>
    <w:rsid w:val="00D157B5"/>
    <w:rsid w:val="00D15809"/>
    <w:rsid w:val="00D160A3"/>
    <w:rsid w:val="00D17510"/>
    <w:rsid w:val="00D17EF4"/>
    <w:rsid w:val="00D20CC8"/>
    <w:rsid w:val="00D2214B"/>
    <w:rsid w:val="00D225A6"/>
    <w:rsid w:val="00D23071"/>
    <w:rsid w:val="00D23627"/>
    <w:rsid w:val="00D237B8"/>
    <w:rsid w:val="00D24748"/>
    <w:rsid w:val="00D24F9C"/>
    <w:rsid w:val="00D266A4"/>
    <w:rsid w:val="00D26D97"/>
    <w:rsid w:val="00D30EA3"/>
    <w:rsid w:val="00D31414"/>
    <w:rsid w:val="00D31E81"/>
    <w:rsid w:val="00D33B44"/>
    <w:rsid w:val="00D34417"/>
    <w:rsid w:val="00D354F7"/>
    <w:rsid w:val="00D35AE0"/>
    <w:rsid w:val="00D363E5"/>
    <w:rsid w:val="00D366CA"/>
    <w:rsid w:val="00D37773"/>
    <w:rsid w:val="00D42311"/>
    <w:rsid w:val="00D42921"/>
    <w:rsid w:val="00D43165"/>
    <w:rsid w:val="00D431AE"/>
    <w:rsid w:val="00D436DB"/>
    <w:rsid w:val="00D44313"/>
    <w:rsid w:val="00D462C3"/>
    <w:rsid w:val="00D463E8"/>
    <w:rsid w:val="00D467B7"/>
    <w:rsid w:val="00D46C4B"/>
    <w:rsid w:val="00D50EEE"/>
    <w:rsid w:val="00D53154"/>
    <w:rsid w:val="00D5630C"/>
    <w:rsid w:val="00D56690"/>
    <w:rsid w:val="00D578C0"/>
    <w:rsid w:val="00D579D1"/>
    <w:rsid w:val="00D60FDC"/>
    <w:rsid w:val="00D62496"/>
    <w:rsid w:val="00D6330A"/>
    <w:rsid w:val="00D63D61"/>
    <w:rsid w:val="00D65C17"/>
    <w:rsid w:val="00D66102"/>
    <w:rsid w:val="00D67022"/>
    <w:rsid w:val="00D675B9"/>
    <w:rsid w:val="00D67C76"/>
    <w:rsid w:val="00D67E33"/>
    <w:rsid w:val="00D67F31"/>
    <w:rsid w:val="00D70F79"/>
    <w:rsid w:val="00D71597"/>
    <w:rsid w:val="00D715CD"/>
    <w:rsid w:val="00D72787"/>
    <w:rsid w:val="00D72BD2"/>
    <w:rsid w:val="00D72D1E"/>
    <w:rsid w:val="00D72EBB"/>
    <w:rsid w:val="00D74174"/>
    <w:rsid w:val="00D744BA"/>
    <w:rsid w:val="00D75BB9"/>
    <w:rsid w:val="00D762E6"/>
    <w:rsid w:val="00D76B39"/>
    <w:rsid w:val="00D76E80"/>
    <w:rsid w:val="00D77D05"/>
    <w:rsid w:val="00D800EC"/>
    <w:rsid w:val="00D80B27"/>
    <w:rsid w:val="00D831D5"/>
    <w:rsid w:val="00D83DB3"/>
    <w:rsid w:val="00D84266"/>
    <w:rsid w:val="00D848A1"/>
    <w:rsid w:val="00D84C58"/>
    <w:rsid w:val="00D85830"/>
    <w:rsid w:val="00D85840"/>
    <w:rsid w:val="00D861D5"/>
    <w:rsid w:val="00D875C5"/>
    <w:rsid w:val="00D879A7"/>
    <w:rsid w:val="00D87A3B"/>
    <w:rsid w:val="00D87FE7"/>
    <w:rsid w:val="00D918D2"/>
    <w:rsid w:val="00D91CA7"/>
    <w:rsid w:val="00D9267A"/>
    <w:rsid w:val="00D9279B"/>
    <w:rsid w:val="00D94100"/>
    <w:rsid w:val="00D9442E"/>
    <w:rsid w:val="00D948E9"/>
    <w:rsid w:val="00D96571"/>
    <w:rsid w:val="00D974BB"/>
    <w:rsid w:val="00D97AA3"/>
    <w:rsid w:val="00DA17FC"/>
    <w:rsid w:val="00DA196F"/>
    <w:rsid w:val="00DA3A1E"/>
    <w:rsid w:val="00DA66B7"/>
    <w:rsid w:val="00DA6F70"/>
    <w:rsid w:val="00DA7743"/>
    <w:rsid w:val="00DA7ED6"/>
    <w:rsid w:val="00DB0D0F"/>
    <w:rsid w:val="00DB1FF9"/>
    <w:rsid w:val="00DB3497"/>
    <w:rsid w:val="00DB4303"/>
    <w:rsid w:val="00DB44B8"/>
    <w:rsid w:val="00DB5E80"/>
    <w:rsid w:val="00DB6C41"/>
    <w:rsid w:val="00DB7E5B"/>
    <w:rsid w:val="00DC0E4F"/>
    <w:rsid w:val="00DC1482"/>
    <w:rsid w:val="00DC1B00"/>
    <w:rsid w:val="00DC21EE"/>
    <w:rsid w:val="00DC313C"/>
    <w:rsid w:val="00DC3BDB"/>
    <w:rsid w:val="00DC4087"/>
    <w:rsid w:val="00DC42E2"/>
    <w:rsid w:val="00DC4637"/>
    <w:rsid w:val="00DC4FD5"/>
    <w:rsid w:val="00DC5C96"/>
    <w:rsid w:val="00DC7C51"/>
    <w:rsid w:val="00DD16EA"/>
    <w:rsid w:val="00DD16F8"/>
    <w:rsid w:val="00DD1DB3"/>
    <w:rsid w:val="00DD5020"/>
    <w:rsid w:val="00DD658E"/>
    <w:rsid w:val="00DD6AC9"/>
    <w:rsid w:val="00DD6BE1"/>
    <w:rsid w:val="00DD70AD"/>
    <w:rsid w:val="00DE002D"/>
    <w:rsid w:val="00DE017D"/>
    <w:rsid w:val="00DE0CE2"/>
    <w:rsid w:val="00DE1231"/>
    <w:rsid w:val="00DE17DB"/>
    <w:rsid w:val="00DE2107"/>
    <w:rsid w:val="00DE32C4"/>
    <w:rsid w:val="00DE44E8"/>
    <w:rsid w:val="00DE4931"/>
    <w:rsid w:val="00DE4B9A"/>
    <w:rsid w:val="00DE500D"/>
    <w:rsid w:val="00DE67CC"/>
    <w:rsid w:val="00DF0510"/>
    <w:rsid w:val="00DF0618"/>
    <w:rsid w:val="00DF266C"/>
    <w:rsid w:val="00DF524C"/>
    <w:rsid w:val="00DF5A25"/>
    <w:rsid w:val="00DF6747"/>
    <w:rsid w:val="00DF7534"/>
    <w:rsid w:val="00E010FF"/>
    <w:rsid w:val="00E015A7"/>
    <w:rsid w:val="00E025FD"/>
    <w:rsid w:val="00E028A5"/>
    <w:rsid w:val="00E04768"/>
    <w:rsid w:val="00E04C18"/>
    <w:rsid w:val="00E04FCD"/>
    <w:rsid w:val="00E05295"/>
    <w:rsid w:val="00E05E16"/>
    <w:rsid w:val="00E05F90"/>
    <w:rsid w:val="00E06C81"/>
    <w:rsid w:val="00E06FA1"/>
    <w:rsid w:val="00E077D3"/>
    <w:rsid w:val="00E07F85"/>
    <w:rsid w:val="00E1040D"/>
    <w:rsid w:val="00E10AB4"/>
    <w:rsid w:val="00E10BD3"/>
    <w:rsid w:val="00E11F1F"/>
    <w:rsid w:val="00E12923"/>
    <w:rsid w:val="00E145BE"/>
    <w:rsid w:val="00E151F5"/>
    <w:rsid w:val="00E1527D"/>
    <w:rsid w:val="00E1679F"/>
    <w:rsid w:val="00E20BA9"/>
    <w:rsid w:val="00E21DC5"/>
    <w:rsid w:val="00E2422E"/>
    <w:rsid w:val="00E25311"/>
    <w:rsid w:val="00E2548B"/>
    <w:rsid w:val="00E270F2"/>
    <w:rsid w:val="00E27B99"/>
    <w:rsid w:val="00E27BF5"/>
    <w:rsid w:val="00E27E56"/>
    <w:rsid w:val="00E300F2"/>
    <w:rsid w:val="00E32202"/>
    <w:rsid w:val="00E34210"/>
    <w:rsid w:val="00E34436"/>
    <w:rsid w:val="00E3516C"/>
    <w:rsid w:val="00E35456"/>
    <w:rsid w:val="00E35B13"/>
    <w:rsid w:val="00E36213"/>
    <w:rsid w:val="00E36247"/>
    <w:rsid w:val="00E36292"/>
    <w:rsid w:val="00E36651"/>
    <w:rsid w:val="00E40077"/>
    <w:rsid w:val="00E426B7"/>
    <w:rsid w:val="00E42CAB"/>
    <w:rsid w:val="00E434F7"/>
    <w:rsid w:val="00E44A05"/>
    <w:rsid w:val="00E46E46"/>
    <w:rsid w:val="00E51397"/>
    <w:rsid w:val="00E51F4A"/>
    <w:rsid w:val="00E5245A"/>
    <w:rsid w:val="00E52917"/>
    <w:rsid w:val="00E53093"/>
    <w:rsid w:val="00E53387"/>
    <w:rsid w:val="00E540EC"/>
    <w:rsid w:val="00E54963"/>
    <w:rsid w:val="00E562E7"/>
    <w:rsid w:val="00E56EC3"/>
    <w:rsid w:val="00E57B11"/>
    <w:rsid w:val="00E6053C"/>
    <w:rsid w:val="00E60B34"/>
    <w:rsid w:val="00E612D8"/>
    <w:rsid w:val="00E6169B"/>
    <w:rsid w:val="00E61C2D"/>
    <w:rsid w:val="00E6230C"/>
    <w:rsid w:val="00E62C05"/>
    <w:rsid w:val="00E62DBF"/>
    <w:rsid w:val="00E6371E"/>
    <w:rsid w:val="00E6485E"/>
    <w:rsid w:val="00E6530A"/>
    <w:rsid w:val="00E6555B"/>
    <w:rsid w:val="00E65E1D"/>
    <w:rsid w:val="00E67643"/>
    <w:rsid w:val="00E67AB2"/>
    <w:rsid w:val="00E67AB4"/>
    <w:rsid w:val="00E70374"/>
    <w:rsid w:val="00E703A4"/>
    <w:rsid w:val="00E70DE6"/>
    <w:rsid w:val="00E71405"/>
    <w:rsid w:val="00E71770"/>
    <w:rsid w:val="00E71FC3"/>
    <w:rsid w:val="00E7211A"/>
    <w:rsid w:val="00E73781"/>
    <w:rsid w:val="00E74E06"/>
    <w:rsid w:val="00E7683A"/>
    <w:rsid w:val="00E76CEB"/>
    <w:rsid w:val="00E76D35"/>
    <w:rsid w:val="00E8195D"/>
    <w:rsid w:val="00E8401A"/>
    <w:rsid w:val="00E84324"/>
    <w:rsid w:val="00E853B3"/>
    <w:rsid w:val="00E855F3"/>
    <w:rsid w:val="00E8580D"/>
    <w:rsid w:val="00E85A02"/>
    <w:rsid w:val="00E85A4F"/>
    <w:rsid w:val="00E8602D"/>
    <w:rsid w:val="00E87D7A"/>
    <w:rsid w:val="00E906A4"/>
    <w:rsid w:val="00E9109A"/>
    <w:rsid w:val="00E91C7C"/>
    <w:rsid w:val="00E928CB"/>
    <w:rsid w:val="00E92ADD"/>
    <w:rsid w:val="00E92AE9"/>
    <w:rsid w:val="00E93677"/>
    <w:rsid w:val="00E94566"/>
    <w:rsid w:val="00E9460F"/>
    <w:rsid w:val="00E94FB8"/>
    <w:rsid w:val="00E96D2D"/>
    <w:rsid w:val="00EA00D0"/>
    <w:rsid w:val="00EA0772"/>
    <w:rsid w:val="00EA08DE"/>
    <w:rsid w:val="00EA0BFB"/>
    <w:rsid w:val="00EA1F64"/>
    <w:rsid w:val="00EA3969"/>
    <w:rsid w:val="00EA3DA0"/>
    <w:rsid w:val="00EA40CC"/>
    <w:rsid w:val="00EA4735"/>
    <w:rsid w:val="00EA76DD"/>
    <w:rsid w:val="00EB0FE7"/>
    <w:rsid w:val="00EB2844"/>
    <w:rsid w:val="00EB2D67"/>
    <w:rsid w:val="00EB3FBD"/>
    <w:rsid w:val="00EB3FE0"/>
    <w:rsid w:val="00EB4558"/>
    <w:rsid w:val="00EB4737"/>
    <w:rsid w:val="00EB495F"/>
    <w:rsid w:val="00EB5B98"/>
    <w:rsid w:val="00EB6D7E"/>
    <w:rsid w:val="00EB739D"/>
    <w:rsid w:val="00EC06CC"/>
    <w:rsid w:val="00EC0DEC"/>
    <w:rsid w:val="00EC139C"/>
    <w:rsid w:val="00EC19C7"/>
    <w:rsid w:val="00EC1C19"/>
    <w:rsid w:val="00EC2829"/>
    <w:rsid w:val="00EC4488"/>
    <w:rsid w:val="00EC561A"/>
    <w:rsid w:val="00EC57C8"/>
    <w:rsid w:val="00ED17DB"/>
    <w:rsid w:val="00ED1F4D"/>
    <w:rsid w:val="00ED35AD"/>
    <w:rsid w:val="00ED4907"/>
    <w:rsid w:val="00ED50BB"/>
    <w:rsid w:val="00ED6496"/>
    <w:rsid w:val="00ED7908"/>
    <w:rsid w:val="00EE236A"/>
    <w:rsid w:val="00EE27AE"/>
    <w:rsid w:val="00EE29CA"/>
    <w:rsid w:val="00EE325A"/>
    <w:rsid w:val="00EE37DC"/>
    <w:rsid w:val="00EE57C1"/>
    <w:rsid w:val="00EE5A53"/>
    <w:rsid w:val="00EE6D85"/>
    <w:rsid w:val="00EF0BFC"/>
    <w:rsid w:val="00EF157C"/>
    <w:rsid w:val="00EF15B4"/>
    <w:rsid w:val="00EF21C6"/>
    <w:rsid w:val="00EF3C41"/>
    <w:rsid w:val="00EF49A2"/>
    <w:rsid w:val="00EF4C5B"/>
    <w:rsid w:val="00EF543F"/>
    <w:rsid w:val="00EF6CFE"/>
    <w:rsid w:val="00EF6FBD"/>
    <w:rsid w:val="00EF7452"/>
    <w:rsid w:val="00F0029F"/>
    <w:rsid w:val="00F00999"/>
    <w:rsid w:val="00F013AF"/>
    <w:rsid w:val="00F01402"/>
    <w:rsid w:val="00F0143D"/>
    <w:rsid w:val="00F01A9A"/>
    <w:rsid w:val="00F03817"/>
    <w:rsid w:val="00F03A18"/>
    <w:rsid w:val="00F053DF"/>
    <w:rsid w:val="00F06F18"/>
    <w:rsid w:val="00F07092"/>
    <w:rsid w:val="00F0788D"/>
    <w:rsid w:val="00F07EDA"/>
    <w:rsid w:val="00F1091C"/>
    <w:rsid w:val="00F11910"/>
    <w:rsid w:val="00F11E74"/>
    <w:rsid w:val="00F1276F"/>
    <w:rsid w:val="00F12E77"/>
    <w:rsid w:val="00F145FF"/>
    <w:rsid w:val="00F14E94"/>
    <w:rsid w:val="00F1527D"/>
    <w:rsid w:val="00F15B61"/>
    <w:rsid w:val="00F16EA3"/>
    <w:rsid w:val="00F16F08"/>
    <w:rsid w:val="00F1772F"/>
    <w:rsid w:val="00F206CA"/>
    <w:rsid w:val="00F20988"/>
    <w:rsid w:val="00F20B1F"/>
    <w:rsid w:val="00F21CA7"/>
    <w:rsid w:val="00F22897"/>
    <w:rsid w:val="00F233BA"/>
    <w:rsid w:val="00F2380A"/>
    <w:rsid w:val="00F23B9C"/>
    <w:rsid w:val="00F242F5"/>
    <w:rsid w:val="00F2505D"/>
    <w:rsid w:val="00F273BF"/>
    <w:rsid w:val="00F2778E"/>
    <w:rsid w:val="00F3093E"/>
    <w:rsid w:val="00F3240B"/>
    <w:rsid w:val="00F32BA1"/>
    <w:rsid w:val="00F33DDC"/>
    <w:rsid w:val="00F35119"/>
    <w:rsid w:val="00F356B0"/>
    <w:rsid w:val="00F37E32"/>
    <w:rsid w:val="00F40836"/>
    <w:rsid w:val="00F414BF"/>
    <w:rsid w:val="00F42513"/>
    <w:rsid w:val="00F428C7"/>
    <w:rsid w:val="00F443F7"/>
    <w:rsid w:val="00F45C01"/>
    <w:rsid w:val="00F45D3C"/>
    <w:rsid w:val="00F512D4"/>
    <w:rsid w:val="00F514A5"/>
    <w:rsid w:val="00F51717"/>
    <w:rsid w:val="00F52856"/>
    <w:rsid w:val="00F55E2A"/>
    <w:rsid w:val="00F565F3"/>
    <w:rsid w:val="00F57532"/>
    <w:rsid w:val="00F57558"/>
    <w:rsid w:val="00F60355"/>
    <w:rsid w:val="00F60EA9"/>
    <w:rsid w:val="00F61FBD"/>
    <w:rsid w:val="00F620C4"/>
    <w:rsid w:val="00F627F7"/>
    <w:rsid w:val="00F6396C"/>
    <w:rsid w:val="00F6488A"/>
    <w:rsid w:val="00F64CD7"/>
    <w:rsid w:val="00F64F19"/>
    <w:rsid w:val="00F65CAC"/>
    <w:rsid w:val="00F65EC5"/>
    <w:rsid w:val="00F66429"/>
    <w:rsid w:val="00F666A6"/>
    <w:rsid w:val="00F670C9"/>
    <w:rsid w:val="00F6791A"/>
    <w:rsid w:val="00F67AA7"/>
    <w:rsid w:val="00F713B1"/>
    <w:rsid w:val="00F7180A"/>
    <w:rsid w:val="00F72683"/>
    <w:rsid w:val="00F73DA8"/>
    <w:rsid w:val="00F754BD"/>
    <w:rsid w:val="00F75760"/>
    <w:rsid w:val="00F75EF1"/>
    <w:rsid w:val="00F77301"/>
    <w:rsid w:val="00F83094"/>
    <w:rsid w:val="00F84AE8"/>
    <w:rsid w:val="00F85D4C"/>
    <w:rsid w:val="00F86810"/>
    <w:rsid w:val="00F86A40"/>
    <w:rsid w:val="00F86E66"/>
    <w:rsid w:val="00F90926"/>
    <w:rsid w:val="00F92C07"/>
    <w:rsid w:val="00F93FED"/>
    <w:rsid w:val="00F962DE"/>
    <w:rsid w:val="00F97E1A"/>
    <w:rsid w:val="00FA07ED"/>
    <w:rsid w:val="00FA142D"/>
    <w:rsid w:val="00FA1653"/>
    <w:rsid w:val="00FA1DB4"/>
    <w:rsid w:val="00FA222E"/>
    <w:rsid w:val="00FA236C"/>
    <w:rsid w:val="00FA2730"/>
    <w:rsid w:val="00FA4100"/>
    <w:rsid w:val="00FA6BC1"/>
    <w:rsid w:val="00FA6FAC"/>
    <w:rsid w:val="00FA7839"/>
    <w:rsid w:val="00FA7C31"/>
    <w:rsid w:val="00FA7D55"/>
    <w:rsid w:val="00FA7F68"/>
    <w:rsid w:val="00FB0DD5"/>
    <w:rsid w:val="00FB1111"/>
    <w:rsid w:val="00FB1AAD"/>
    <w:rsid w:val="00FB23F3"/>
    <w:rsid w:val="00FB2F9C"/>
    <w:rsid w:val="00FB41AD"/>
    <w:rsid w:val="00FB4DFE"/>
    <w:rsid w:val="00FB5843"/>
    <w:rsid w:val="00FB6746"/>
    <w:rsid w:val="00FB6961"/>
    <w:rsid w:val="00FB6E0F"/>
    <w:rsid w:val="00FB7AA8"/>
    <w:rsid w:val="00FC13F7"/>
    <w:rsid w:val="00FC14DB"/>
    <w:rsid w:val="00FC1E61"/>
    <w:rsid w:val="00FC1F92"/>
    <w:rsid w:val="00FC27FF"/>
    <w:rsid w:val="00FC2D21"/>
    <w:rsid w:val="00FC2FD8"/>
    <w:rsid w:val="00FC3F14"/>
    <w:rsid w:val="00FC4FC2"/>
    <w:rsid w:val="00FC4FC5"/>
    <w:rsid w:val="00FC5998"/>
    <w:rsid w:val="00FC6BB2"/>
    <w:rsid w:val="00FC7038"/>
    <w:rsid w:val="00FD0502"/>
    <w:rsid w:val="00FD0B45"/>
    <w:rsid w:val="00FD198D"/>
    <w:rsid w:val="00FD2DE1"/>
    <w:rsid w:val="00FD393D"/>
    <w:rsid w:val="00FD40BA"/>
    <w:rsid w:val="00FD6D27"/>
    <w:rsid w:val="00FE1299"/>
    <w:rsid w:val="00FE1BDE"/>
    <w:rsid w:val="00FE21D4"/>
    <w:rsid w:val="00FE37E8"/>
    <w:rsid w:val="00FE3F51"/>
    <w:rsid w:val="00FE4178"/>
    <w:rsid w:val="00FE4185"/>
    <w:rsid w:val="00FE44D0"/>
    <w:rsid w:val="00FE4E23"/>
    <w:rsid w:val="00FE5748"/>
    <w:rsid w:val="00FE6351"/>
    <w:rsid w:val="00FE6D06"/>
    <w:rsid w:val="00FE71E4"/>
    <w:rsid w:val="00FE7E26"/>
    <w:rsid w:val="00FE7F6B"/>
    <w:rsid w:val="00FE7F75"/>
    <w:rsid w:val="00FF195C"/>
    <w:rsid w:val="00FF228D"/>
    <w:rsid w:val="00FF291F"/>
    <w:rsid w:val="00FF2DAB"/>
    <w:rsid w:val="00FF2DCE"/>
    <w:rsid w:val="00FF4666"/>
    <w:rsid w:val="00FF4A3F"/>
    <w:rsid w:val="00FF4B85"/>
    <w:rsid w:val="00FF4BFF"/>
    <w:rsid w:val="00FF58AF"/>
    <w:rsid w:val="00FF5AF2"/>
    <w:rsid w:val="00FF64E3"/>
    <w:rsid w:val="00FF7D95"/>
    <w:rsid w:val="00FF7ED4"/>
    <w:rsid w:val="0B3FFE92"/>
    <w:rsid w:val="0B5C831A"/>
    <w:rsid w:val="0F9D200E"/>
    <w:rsid w:val="12911B14"/>
    <w:rsid w:val="177A96A4"/>
    <w:rsid w:val="181816DE"/>
    <w:rsid w:val="18ECC24B"/>
    <w:rsid w:val="1E0E235E"/>
    <w:rsid w:val="22223E43"/>
    <w:rsid w:val="23F7305E"/>
    <w:rsid w:val="24373CA4"/>
    <w:rsid w:val="25D4B7B5"/>
    <w:rsid w:val="2771F5D3"/>
    <w:rsid w:val="28C3ED1B"/>
    <w:rsid w:val="29AF9EAC"/>
    <w:rsid w:val="2A26BC2C"/>
    <w:rsid w:val="2D147E87"/>
    <w:rsid w:val="320B379F"/>
    <w:rsid w:val="351B494A"/>
    <w:rsid w:val="35C67697"/>
    <w:rsid w:val="361B0A68"/>
    <w:rsid w:val="36C3284E"/>
    <w:rsid w:val="3BD1AA96"/>
    <w:rsid w:val="3C708168"/>
    <w:rsid w:val="3D969D1A"/>
    <w:rsid w:val="3DFC5C08"/>
    <w:rsid w:val="3E08E958"/>
    <w:rsid w:val="3E3B2445"/>
    <w:rsid w:val="3EEED9D8"/>
    <w:rsid w:val="425CEAF5"/>
    <w:rsid w:val="43580641"/>
    <w:rsid w:val="43658767"/>
    <w:rsid w:val="478AB169"/>
    <w:rsid w:val="4825F144"/>
    <w:rsid w:val="4945034B"/>
    <w:rsid w:val="49C8668D"/>
    <w:rsid w:val="4A079469"/>
    <w:rsid w:val="4A8243D1"/>
    <w:rsid w:val="4B5CDDA2"/>
    <w:rsid w:val="4C4834A3"/>
    <w:rsid w:val="568BE656"/>
    <w:rsid w:val="56F0FC81"/>
    <w:rsid w:val="5DEE6AAE"/>
    <w:rsid w:val="5F07CC71"/>
    <w:rsid w:val="614DA06A"/>
    <w:rsid w:val="61CCEEF3"/>
    <w:rsid w:val="687CF76F"/>
    <w:rsid w:val="6949215C"/>
    <w:rsid w:val="69F215EC"/>
    <w:rsid w:val="6D212EDA"/>
    <w:rsid w:val="6DE7525D"/>
    <w:rsid w:val="6F76731B"/>
    <w:rsid w:val="7003E5FD"/>
    <w:rsid w:val="71A8F2B0"/>
    <w:rsid w:val="72D94C14"/>
    <w:rsid w:val="75107A44"/>
    <w:rsid w:val="76F2F063"/>
    <w:rsid w:val="7751754A"/>
    <w:rsid w:val="786108E3"/>
    <w:rsid w:val="7D4B7FBD"/>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3CAAEA"/>
  <w15:chartTrackingRefBased/>
  <w15:docId w15:val="{8996DA50-67A3-4BEC-94D2-DEF2BC240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nl-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A3F"/>
    <w:pPr>
      <w:spacing w:after="200" w:line="276" w:lineRule="auto"/>
    </w:pPr>
    <w:rPr>
      <w:rFonts w:ascii="Times New Roman" w:eastAsia="Times New Roman" w:hAnsi="Times New Roman"/>
      <w:kern w:val="0"/>
      <w:szCs w:val="22"/>
      <w:lang w:val="en-US"/>
      <w14:ligatures w14:val="none"/>
    </w:rPr>
  </w:style>
  <w:style w:type="paragraph" w:styleId="Heading1">
    <w:name w:val="heading 1"/>
    <w:basedOn w:val="Normal"/>
    <w:next w:val="Normal"/>
    <w:link w:val="Heading1Char"/>
    <w:uiPriority w:val="9"/>
    <w:qFormat/>
    <w:rsid w:val="00FF4A3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F4A3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F4A3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F4A3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F4A3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F4A3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F4A3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F4A3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F4A3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4A3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F4A3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F4A3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F4A3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F4A3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F4A3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F4A3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F4A3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F4A3F"/>
    <w:rPr>
      <w:rFonts w:eastAsiaTheme="majorEastAsia" w:cstheme="majorBidi"/>
      <w:color w:val="272727" w:themeColor="text1" w:themeTint="D8"/>
    </w:rPr>
  </w:style>
  <w:style w:type="paragraph" w:styleId="Title">
    <w:name w:val="Title"/>
    <w:basedOn w:val="Normal"/>
    <w:next w:val="Normal"/>
    <w:link w:val="TitleChar"/>
    <w:uiPriority w:val="10"/>
    <w:qFormat/>
    <w:rsid w:val="00FF4A3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F4A3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F4A3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F4A3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F4A3F"/>
    <w:pPr>
      <w:spacing w:before="160"/>
      <w:jc w:val="center"/>
    </w:pPr>
    <w:rPr>
      <w:i/>
      <w:iCs/>
      <w:color w:val="404040" w:themeColor="text1" w:themeTint="BF"/>
    </w:rPr>
  </w:style>
  <w:style w:type="character" w:customStyle="1" w:styleId="QuoteChar">
    <w:name w:val="Quote Char"/>
    <w:basedOn w:val="DefaultParagraphFont"/>
    <w:link w:val="Quote"/>
    <w:uiPriority w:val="29"/>
    <w:rsid w:val="00FF4A3F"/>
    <w:rPr>
      <w:i/>
      <w:iCs/>
      <w:color w:val="404040" w:themeColor="text1" w:themeTint="BF"/>
    </w:rPr>
  </w:style>
  <w:style w:type="paragraph" w:styleId="ListParagraph">
    <w:name w:val="List Paragraph"/>
    <w:basedOn w:val="Normal"/>
    <w:uiPriority w:val="34"/>
    <w:qFormat/>
    <w:rsid w:val="00FF4A3F"/>
    <w:pPr>
      <w:ind w:left="720"/>
      <w:contextualSpacing/>
    </w:pPr>
  </w:style>
  <w:style w:type="character" w:styleId="IntenseEmphasis">
    <w:name w:val="Intense Emphasis"/>
    <w:basedOn w:val="DefaultParagraphFont"/>
    <w:uiPriority w:val="21"/>
    <w:qFormat/>
    <w:rsid w:val="00FF4A3F"/>
    <w:rPr>
      <w:i/>
      <w:iCs/>
      <w:color w:val="0F4761" w:themeColor="accent1" w:themeShade="BF"/>
    </w:rPr>
  </w:style>
  <w:style w:type="paragraph" w:styleId="IntenseQuote">
    <w:name w:val="Intense Quote"/>
    <w:basedOn w:val="Normal"/>
    <w:next w:val="Normal"/>
    <w:link w:val="IntenseQuoteChar"/>
    <w:uiPriority w:val="30"/>
    <w:qFormat/>
    <w:rsid w:val="00FF4A3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F4A3F"/>
    <w:rPr>
      <w:i/>
      <w:iCs/>
      <w:color w:val="0F4761" w:themeColor="accent1" w:themeShade="BF"/>
    </w:rPr>
  </w:style>
  <w:style w:type="character" w:styleId="IntenseReference">
    <w:name w:val="Intense Reference"/>
    <w:basedOn w:val="DefaultParagraphFont"/>
    <w:uiPriority w:val="32"/>
    <w:qFormat/>
    <w:rsid w:val="00FF4A3F"/>
    <w:rPr>
      <w:b/>
      <w:bCs/>
      <w:smallCaps/>
      <w:color w:val="0F4761" w:themeColor="accent1" w:themeShade="BF"/>
      <w:spacing w:val="5"/>
    </w:rPr>
  </w:style>
  <w:style w:type="paragraph" w:styleId="Caption">
    <w:name w:val="caption"/>
    <w:basedOn w:val="Normal"/>
    <w:next w:val="Normal"/>
    <w:uiPriority w:val="35"/>
    <w:unhideWhenUsed/>
    <w:qFormat/>
    <w:rsid w:val="00FF4A3F"/>
    <w:pPr>
      <w:spacing w:line="240" w:lineRule="auto"/>
    </w:pPr>
    <w:rPr>
      <w:b/>
      <w:bCs/>
      <w:color w:val="156082" w:themeColor="accent1"/>
      <w:sz w:val="18"/>
      <w:szCs w:val="18"/>
    </w:rPr>
  </w:style>
  <w:style w:type="table" w:styleId="TableGrid">
    <w:name w:val="Table Grid"/>
    <w:basedOn w:val="TableNormal"/>
    <w:uiPriority w:val="59"/>
    <w:rsid w:val="00FF4A3F"/>
    <w:pPr>
      <w:spacing w:after="0" w:line="240" w:lineRule="auto"/>
    </w:pPr>
    <w:rPr>
      <w:rFonts w:eastAsiaTheme="minorEastAsia"/>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FF4A3F"/>
    <w:rPr>
      <w:color w:val="467886" w:themeColor="hyperlink"/>
      <w:u w:val="single"/>
    </w:rPr>
  </w:style>
  <w:style w:type="paragraph" w:styleId="NormalWeb">
    <w:name w:val="Normal (Web)"/>
    <w:basedOn w:val="Normal"/>
    <w:uiPriority w:val="99"/>
    <w:unhideWhenUsed/>
    <w:rsid w:val="00FF4A3F"/>
    <w:pPr>
      <w:spacing w:before="100" w:beforeAutospacing="1" w:after="100" w:afterAutospacing="1" w:line="240" w:lineRule="auto"/>
    </w:pPr>
    <w:rPr>
      <w:rFonts w:cs="Times New Roman"/>
      <w:szCs w:val="24"/>
      <w:lang w:val="nl-NL" w:eastAsia="nl-NL"/>
    </w:rPr>
  </w:style>
  <w:style w:type="character" w:styleId="UnresolvedMention">
    <w:name w:val="Unresolved Mention"/>
    <w:basedOn w:val="DefaultParagraphFont"/>
    <w:uiPriority w:val="99"/>
    <w:semiHidden/>
    <w:unhideWhenUsed/>
    <w:rsid w:val="00AE7629"/>
    <w:rPr>
      <w:color w:val="605E5C"/>
      <w:shd w:val="clear" w:color="auto" w:fill="E1DFDD"/>
    </w:rPr>
  </w:style>
  <w:style w:type="table" w:styleId="PlainTable2">
    <w:name w:val="Plain Table 2"/>
    <w:basedOn w:val="TableNormal"/>
    <w:uiPriority w:val="42"/>
    <w:rsid w:val="00A9771A"/>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CommentReference">
    <w:name w:val="annotation reference"/>
    <w:basedOn w:val="DefaultParagraphFont"/>
    <w:uiPriority w:val="99"/>
    <w:semiHidden/>
    <w:unhideWhenUsed/>
    <w:rsid w:val="00A627FB"/>
    <w:rPr>
      <w:sz w:val="16"/>
      <w:szCs w:val="16"/>
    </w:rPr>
  </w:style>
  <w:style w:type="paragraph" w:styleId="CommentText">
    <w:name w:val="annotation text"/>
    <w:basedOn w:val="Normal"/>
    <w:link w:val="CommentTextChar"/>
    <w:uiPriority w:val="99"/>
    <w:unhideWhenUsed/>
    <w:rsid w:val="00A627FB"/>
    <w:pPr>
      <w:spacing w:line="240" w:lineRule="auto"/>
    </w:pPr>
    <w:rPr>
      <w:sz w:val="20"/>
      <w:szCs w:val="20"/>
    </w:rPr>
  </w:style>
  <w:style w:type="character" w:customStyle="1" w:styleId="CommentTextChar">
    <w:name w:val="Comment Text Char"/>
    <w:basedOn w:val="DefaultParagraphFont"/>
    <w:link w:val="CommentText"/>
    <w:uiPriority w:val="99"/>
    <w:rsid w:val="00A627FB"/>
    <w:rPr>
      <w:rFonts w:ascii="Times New Roman" w:eastAsia="Times New Roman" w:hAnsi="Times New Roman"/>
      <w:kern w:val="0"/>
      <w:sz w:val="20"/>
      <w:szCs w:val="20"/>
      <w:lang w:val="en-US"/>
      <w14:ligatures w14:val="none"/>
    </w:rPr>
  </w:style>
  <w:style w:type="paragraph" w:styleId="CommentSubject">
    <w:name w:val="annotation subject"/>
    <w:basedOn w:val="CommentText"/>
    <w:next w:val="CommentText"/>
    <w:link w:val="CommentSubjectChar"/>
    <w:uiPriority w:val="99"/>
    <w:semiHidden/>
    <w:unhideWhenUsed/>
    <w:rsid w:val="00A627FB"/>
    <w:rPr>
      <w:b/>
      <w:bCs/>
    </w:rPr>
  </w:style>
  <w:style w:type="character" w:customStyle="1" w:styleId="CommentSubjectChar">
    <w:name w:val="Comment Subject Char"/>
    <w:basedOn w:val="CommentTextChar"/>
    <w:link w:val="CommentSubject"/>
    <w:uiPriority w:val="99"/>
    <w:semiHidden/>
    <w:rsid w:val="00A627FB"/>
    <w:rPr>
      <w:rFonts w:ascii="Times New Roman" w:eastAsia="Times New Roman" w:hAnsi="Times New Roman"/>
      <w:b/>
      <w:bCs/>
      <w:kern w:val="0"/>
      <w:sz w:val="20"/>
      <w:szCs w:val="20"/>
      <w:lang w:val="en-US"/>
      <w14:ligatures w14:val="none"/>
    </w:rPr>
  </w:style>
  <w:style w:type="paragraph" w:styleId="Revision">
    <w:name w:val="Revision"/>
    <w:hidden/>
    <w:uiPriority w:val="99"/>
    <w:semiHidden/>
    <w:rsid w:val="00A627FB"/>
    <w:pPr>
      <w:spacing w:after="0" w:line="240" w:lineRule="auto"/>
    </w:pPr>
    <w:rPr>
      <w:rFonts w:ascii="Times New Roman" w:eastAsia="Times New Roman" w:hAnsi="Times New Roman"/>
      <w:kern w:val="0"/>
      <w:szCs w:val="22"/>
      <w:lang w:val="en-US"/>
      <w14:ligatures w14:val="none"/>
    </w:rPr>
  </w:style>
  <w:style w:type="character" w:styleId="PlaceholderText">
    <w:name w:val="Placeholder Text"/>
    <w:basedOn w:val="DefaultParagraphFont"/>
    <w:uiPriority w:val="99"/>
    <w:semiHidden/>
    <w:rsid w:val="00C2385E"/>
    <w:rPr>
      <w:color w:val="666666"/>
    </w:rPr>
  </w:style>
  <w:style w:type="character" w:styleId="FollowedHyperlink">
    <w:name w:val="FollowedHyperlink"/>
    <w:basedOn w:val="DefaultParagraphFont"/>
    <w:uiPriority w:val="99"/>
    <w:semiHidden/>
    <w:unhideWhenUsed/>
    <w:rsid w:val="00EB2D6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95472">
      <w:bodyDiv w:val="1"/>
      <w:marLeft w:val="0"/>
      <w:marRight w:val="0"/>
      <w:marTop w:val="0"/>
      <w:marBottom w:val="0"/>
      <w:divBdr>
        <w:top w:val="none" w:sz="0" w:space="0" w:color="auto"/>
        <w:left w:val="none" w:sz="0" w:space="0" w:color="auto"/>
        <w:bottom w:val="none" w:sz="0" w:space="0" w:color="auto"/>
        <w:right w:val="none" w:sz="0" w:space="0" w:color="auto"/>
      </w:divBdr>
    </w:div>
    <w:div w:id="46876176">
      <w:bodyDiv w:val="1"/>
      <w:marLeft w:val="0"/>
      <w:marRight w:val="0"/>
      <w:marTop w:val="0"/>
      <w:marBottom w:val="0"/>
      <w:divBdr>
        <w:top w:val="none" w:sz="0" w:space="0" w:color="auto"/>
        <w:left w:val="none" w:sz="0" w:space="0" w:color="auto"/>
        <w:bottom w:val="none" w:sz="0" w:space="0" w:color="auto"/>
        <w:right w:val="none" w:sz="0" w:space="0" w:color="auto"/>
      </w:divBdr>
    </w:div>
    <w:div w:id="55514093">
      <w:bodyDiv w:val="1"/>
      <w:marLeft w:val="0"/>
      <w:marRight w:val="0"/>
      <w:marTop w:val="0"/>
      <w:marBottom w:val="0"/>
      <w:divBdr>
        <w:top w:val="none" w:sz="0" w:space="0" w:color="auto"/>
        <w:left w:val="none" w:sz="0" w:space="0" w:color="auto"/>
        <w:bottom w:val="none" w:sz="0" w:space="0" w:color="auto"/>
        <w:right w:val="none" w:sz="0" w:space="0" w:color="auto"/>
      </w:divBdr>
    </w:div>
    <w:div w:id="120660611">
      <w:bodyDiv w:val="1"/>
      <w:marLeft w:val="0"/>
      <w:marRight w:val="0"/>
      <w:marTop w:val="0"/>
      <w:marBottom w:val="0"/>
      <w:divBdr>
        <w:top w:val="none" w:sz="0" w:space="0" w:color="auto"/>
        <w:left w:val="none" w:sz="0" w:space="0" w:color="auto"/>
        <w:bottom w:val="none" w:sz="0" w:space="0" w:color="auto"/>
        <w:right w:val="none" w:sz="0" w:space="0" w:color="auto"/>
      </w:divBdr>
    </w:div>
    <w:div w:id="144518831">
      <w:bodyDiv w:val="1"/>
      <w:marLeft w:val="0"/>
      <w:marRight w:val="0"/>
      <w:marTop w:val="0"/>
      <w:marBottom w:val="0"/>
      <w:divBdr>
        <w:top w:val="none" w:sz="0" w:space="0" w:color="auto"/>
        <w:left w:val="none" w:sz="0" w:space="0" w:color="auto"/>
        <w:bottom w:val="none" w:sz="0" w:space="0" w:color="auto"/>
        <w:right w:val="none" w:sz="0" w:space="0" w:color="auto"/>
      </w:divBdr>
    </w:div>
    <w:div w:id="186984990">
      <w:bodyDiv w:val="1"/>
      <w:marLeft w:val="0"/>
      <w:marRight w:val="0"/>
      <w:marTop w:val="0"/>
      <w:marBottom w:val="0"/>
      <w:divBdr>
        <w:top w:val="none" w:sz="0" w:space="0" w:color="auto"/>
        <w:left w:val="none" w:sz="0" w:space="0" w:color="auto"/>
        <w:bottom w:val="none" w:sz="0" w:space="0" w:color="auto"/>
        <w:right w:val="none" w:sz="0" w:space="0" w:color="auto"/>
      </w:divBdr>
    </w:div>
    <w:div w:id="278613114">
      <w:bodyDiv w:val="1"/>
      <w:marLeft w:val="0"/>
      <w:marRight w:val="0"/>
      <w:marTop w:val="0"/>
      <w:marBottom w:val="0"/>
      <w:divBdr>
        <w:top w:val="none" w:sz="0" w:space="0" w:color="auto"/>
        <w:left w:val="none" w:sz="0" w:space="0" w:color="auto"/>
        <w:bottom w:val="none" w:sz="0" w:space="0" w:color="auto"/>
        <w:right w:val="none" w:sz="0" w:space="0" w:color="auto"/>
      </w:divBdr>
    </w:div>
    <w:div w:id="286013464">
      <w:bodyDiv w:val="1"/>
      <w:marLeft w:val="0"/>
      <w:marRight w:val="0"/>
      <w:marTop w:val="0"/>
      <w:marBottom w:val="0"/>
      <w:divBdr>
        <w:top w:val="none" w:sz="0" w:space="0" w:color="auto"/>
        <w:left w:val="none" w:sz="0" w:space="0" w:color="auto"/>
        <w:bottom w:val="none" w:sz="0" w:space="0" w:color="auto"/>
        <w:right w:val="none" w:sz="0" w:space="0" w:color="auto"/>
      </w:divBdr>
    </w:div>
    <w:div w:id="293483880">
      <w:bodyDiv w:val="1"/>
      <w:marLeft w:val="0"/>
      <w:marRight w:val="0"/>
      <w:marTop w:val="0"/>
      <w:marBottom w:val="0"/>
      <w:divBdr>
        <w:top w:val="none" w:sz="0" w:space="0" w:color="auto"/>
        <w:left w:val="none" w:sz="0" w:space="0" w:color="auto"/>
        <w:bottom w:val="none" w:sz="0" w:space="0" w:color="auto"/>
        <w:right w:val="none" w:sz="0" w:space="0" w:color="auto"/>
      </w:divBdr>
    </w:div>
    <w:div w:id="377826873">
      <w:bodyDiv w:val="1"/>
      <w:marLeft w:val="0"/>
      <w:marRight w:val="0"/>
      <w:marTop w:val="0"/>
      <w:marBottom w:val="0"/>
      <w:divBdr>
        <w:top w:val="none" w:sz="0" w:space="0" w:color="auto"/>
        <w:left w:val="none" w:sz="0" w:space="0" w:color="auto"/>
        <w:bottom w:val="none" w:sz="0" w:space="0" w:color="auto"/>
        <w:right w:val="none" w:sz="0" w:space="0" w:color="auto"/>
      </w:divBdr>
    </w:div>
    <w:div w:id="457457482">
      <w:bodyDiv w:val="1"/>
      <w:marLeft w:val="0"/>
      <w:marRight w:val="0"/>
      <w:marTop w:val="0"/>
      <w:marBottom w:val="0"/>
      <w:divBdr>
        <w:top w:val="none" w:sz="0" w:space="0" w:color="auto"/>
        <w:left w:val="none" w:sz="0" w:space="0" w:color="auto"/>
        <w:bottom w:val="none" w:sz="0" w:space="0" w:color="auto"/>
        <w:right w:val="none" w:sz="0" w:space="0" w:color="auto"/>
      </w:divBdr>
    </w:div>
    <w:div w:id="485123935">
      <w:bodyDiv w:val="1"/>
      <w:marLeft w:val="0"/>
      <w:marRight w:val="0"/>
      <w:marTop w:val="0"/>
      <w:marBottom w:val="0"/>
      <w:divBdr>
        <w:top w:val="none" w:sz="0" w:space="0" w:color="auto"/>
        <w:left w:val="none" w:sz="0" w:space="0" w:color="auto"/>
        <w:bottom w:val="none" w:sz="0" w:space="0" w:color="auto"/>
        <w:right w:val="none" w:sz="0" w:space="0" w:color="auto"/>
      </w:divBdr>
    </w:div>
    <w:div w:id="502473976">
      <w:bodyDiv w:val="1"/>
      <w:marLeft w:val="0"/>
      <w:marRight w:val="0"/>
      <w:marTop w:val="0"/>
      <w:marBottom w:val="0"/>
      <w:divBdr>
        <w:top w:val="none" w:sz="0" w:space="0" w:color="auto"/>
        <w:left w:val="none" w:sz="0" w:space="0" w:color="auto"/>
        <w:bottom w:val="none" w:sz="0" w:space="0" w:color="auto"/>
        <w:right w:val="none" w:sz="0" w:space="0" w:color="auto"/>
      </w:divBdr>
    </w:div>
    <w:div w:id="515777920">
      <w:bodyDiv w:val="1"/>
      <w:marLeft w:val="0"/>
      <w:marRight w:val="0"/>
      <w:marTop w:val="0"/>
      <w:marBottom w:val="0"/>
      <w:divBdr>
        <w:top w:val="none" w:sz="0" w:space="0" w:color="auto"/>
        <w:left w:val="none" w:sz="0" w:space="0" w:color="auto"/>
        <w:bottom w:val="none" w:sz="0" w:space="0" w:color="auto"/>
        <w:right w:val="none" w:sz="0" w:space="0" w:color="auto"/>
      </w:divBdr>
    </w:div>
    <w:div w:id="568344440">
      <w:bodyDiv w:val="1"/>
      <w:marLeft w:val="0"/>
      <w:marRight w:val="0"/>
      <w:marTop w:val="0"/>
      <w:marBottom w:val="0"/>
      <w:divBdr>
        <w:top w:val="none" w:sz="0" w:space="0" w:color="auto"/>
        <w:left w:val="none" w:sz="0" w:space="0" w:color="auto"/>
        <w:bottom w:val="none" w:sz="0" w:space="0" w:color="auto"/>
        <w:right w:val="none" w:sz="0" w:space="0" w:color="auto"/>
      </w:divBdr>
    </w:div>
    <w:div w:id="570235872">
      <w:bodyDiv w:val="1"/>
      <w:marLeft w:val="0"/>
      <w:marRight w:val="0"/>
      <w:marTop w:val="0"/>
      <w:marBottom w:val="0"/>
      <w:divBdr>
        <w:top w:val="none" w:sz="0" w:space="0" w:color="auto"/>
        <w:left w:val="none" w:sz="0" w:space="0" w:color="auto"/>
        <w:bottom w:val="none" w:sz="0" w:space="0" w:color="auto"/>
        <w:right w:val="none" w:sz="0" w:space="0" w:color="auto"/>
      </w:divBdr>
    </w:div>
    <w:div w:id="603539044">
      <w:bodyDiv w:val="1"/>
      <w:marLeft w:val="0"/>
      <w:marRight w:val="0"/>
      <w:marTop w:val="0"/>
      <w:marBottom w:val="0"/>
      <w:divBdr>
        <w:top w:val="none" w:sz="0" w:space="0" w:color="auto"/>
        <w:left w:val="none" w:sz="0" w:space="0" w:color="auto"/>
        <w:bottom w:val="none" w:sz="0" w:space="0" w:color="auto"/>
        <w:right w:val="none" w:sz="0" w:space="0" w:color="auto"/>
      </w:divBdr>
    </w:div>
    <w:div w:id="618071628">
      <w:bodyDiv w:val="1"/>
      <w:marLeft w:val="0"/>
      <w:marRight w:val="0"/>
      <w:marTop w:val="0"/>
      <w:marBottom w:val="0"/>
      <w:divBdr>
        <w:top w:val="none" w:sz="0" w:space="0" w:color="auto"/>
        <w:left w:val="none" w:sz="0" w:space="0" w:color="auto"/>
        <w:bottom w:val="none" w:sz="0" w:space="0" w:color="auto"/>
        <w:right w:val="none" w:sz="0" w:space="0" w:color="auto"/>
      </w:divBdr>
    </w:div>
    <w:div w:id="623733400">
      <w:bodyDiv w:val="1"/>
      <w:marLeft w:val="0"/>
      <w:marRight w:val="0"/>
      <w:marTop w:val="0"/>
      <w:marBottom w:val="0"/>
      <w:divBdr>
        <w:top w:val="none" w:sz="0" w:space="0" w:color="auto"/>
        <w:left w:val="none" w:sz="0" w:space="0" w:color="auto"/>
        <w:bottom w:val="none" w:sz="0" w:space="0" w:color="auto"/>
        <w:right w:val="none" w:sz="0" w:space="0" w:color="auto"/>
      </w:divBdr>
    </w:div>
    <w:div w:id="666904051">
      <w:bodyDiv w:val="1"/>
      <w:marLeft w:val="0"/>
      <w:marRight w:val="0"/>
      <w:marTop w:val="0"/>
      <w:marBottom w:val="0"/>
      <w:divBdr>
        <w:top w:val="none" w:sz="0" w:space="0" w:color="auto"/>
        <w:left w:val="none" w:sz="0" w:space="0" w:color="auto"/>
        <w:bottom w:val="none" w:sz="0" w:space="0" w:color="auto"/>
        <w:right w:val="none" w:sz="0" w:space="0" w:color="auto"/>
      </w:divBdr>
    </w:div>
    <w:div w:id="697583157">
      <w:bodyDiv w:val="1"/>
      <w:marLeft w:val="0"/>
      <w:marRight w:val="0"/>
      <w:marTop w:val="0"/>
      <w:marBottom w:val="0"/>
      <w:divBdr>
        <w:top w:val="none" w:sz="0" w:space="0" w:color="auto"/>
        <w:left w:val="none" w:sz="0" w:space="0" w:color="auto"/>
        <w:bottom w:val="none" w:sz="0" w:space="0" w:color="auto"/>
        <w:right w:val="none" w:sz="0" w:space="0" w:color="auto"/>
      </w:divBdr>
    </w:div>
    <w:div w:id="710568130">
      <w:bodyDiv w:val="1"/>
      <w:marLeft w:val="0"/>
      <w:marRight w:val="0"/>
      <w:marTop w:val="0"/>
      <w:marBottom w:val="0"/>
      <w:divBdr>
        <w:top w:val="none" w:sz="0" w:space="0" w:color="auto"/>
        <w:left w:val="none" w:sz="0" w:space="0" w:color="auto"/>
        <w:bottom w:val="none" w:sz="0" w:space="0" w:color="auto"/>
        <w:right w:val="none" w:sz="0" w:space="0" w:color="auto"/>
      </w:divBdr>
    </w:div>
    <w:div w:id="728963582">
      <w:bodyDiv w:val="1"/>
      <w:marLeft w:val="0"/>
      <w:marRight w:val="0"/>
      <w:marTop w:val="0"/>
      <w:marBottom w:val="0"/>
      <w:divBdr>
        <w:top w:val="none" w:sz="0" w:space="0" w:color="auto"/>
        <w:left w:val="none" w:sz="0" w:space="0" w:color="auto"/>
        <w:bottom w:val="none" w:sz="0" w:space="0" w:color="auto"/>
        <w:right w:val="none" w:sz="0" w:space="0" w:color="auto"/>
      </w:divBdr>
    </w:div>
    <w:div w:id="800147645">
      <w:bodyDiv w:val="1"/>
      <w:marLeft w:val="0"/>
      <w:marRight w:val="0"/>
      <w:marTop w:val="0"/>
      <w:marBottom w:val="0"/>
      <w:divBdr>
        <w:top w:val="none" w:sz="0" w:space="0" w:color="auto"/>
        <w:left w:val="none" w:sz="0" w:space="0" w:color="auto"/>
        <w:bottom w:val="none" w:sz="0" w:space="0" w:color="auto"/>
        <w:right w:val="none" w:sz="0" w:space="0" w:color="auto"/>
      </w:divBdr>
    </w:div>
    <w:div w:id="823397721">
      <w:bodyDiv w:val="1"/>
      <w:marLeft w:val="0"/>
      <w:marRight w:val="0"/>
      <w:marTop w:val="0"/>
      <w:marBottom w:val="0"/>
      <w:divBdr>
        <w:top w:val="none" w:sz="0" w:space="0" w:color="auto"/>
        <w:left w:val="none" w:sz="0" w:space="0" w:color="auto"/>
        <w:bottom w:val="none" w:sz="0" w:space="0" w:color="auto"/>
        <w:right w:val="none" w:sz="0" w:space="0" w:color="auto"/>
      </w:divBdr>
    </w:div>
    <w:div w:id="848570231">
      <w:bodyDiv w:val="1"/>
      <w:marLeft w:val="0"/>
      <w:marRight w:val="0"/>
      <w:marTop w:val="0"/>
      <w:marBottom w:val="0"/>
      <w:divBdr>
        <w:top w:val="none" w:sz="0" w:space="0" w:color="auto"/>
        <w:left w:val="none" w:sz="0" w:space="0" w:color="auto"/>
        <w:bottom w:val="none" w:sz="0" w:space="0" w:color="auto"/>
        <w:right w:val="none" w:sz="0" w:space="0" w:color="auto"/>
      </w:divBdr>
    </w:div>
    <w:div w:id="879976764">
      <w:bodyDiv w:val="1"/>
      <w:marLeft w:val="0"/>
      <w:marRight w:val="0"/>
      <w:marTop w:val="0"/>
      <w:marBottom w:val="0"/>
      <w:divBdr>
        <w:top w:val="none" w:sz="0" w:space="0" w:color="auto"/>
        <w:left w:val="none" w:sz="0" w:space="0" w:color="auto"/>
        <w:bottom w:val="none" w:sz="0" w:space="0" w:color="auto"/>
        <w:right w:val="none" w:sz="0" w:space="0" w:color="auto"/>
      </w:divBdr>
    </w:div>
    <w:div w:id="914167793">
      <w:bodyDiv w:val="1"/>
      <w:marLeft w:val="0"/>
      <w:marRight w:val="0"/>
      <w:marTop w:val="0"/>
      <w:marBottom w:val="0"/>
      <w:divBdr>
        <w:top w:val="none" w:sz="0" w:space="0" w:color="auto"/>
        <w:left w:val="none" w:sz="0" w:space="0" w:color="auto"/>
        <w:bottom w:val="none" w:sz="0" w:space="0" w:color="auto"/>
        <w:right w:val="none" w:sz="0" w:space="0" w:color="auto"/>
      </w:divBdr>
    </w:div>
    <w:div w:id="920479973">
      <w:bodyDiv w:val="1"/>
      <w:marLeft w:val="0"/>
      <w:marRight w:val="0"/>
      <w:marTop w:val="0"/>
      <w:marBottom w:val="0"/>
      <w:divBdr>
        <w:top w:val="none" w:sz="0" w:space="0" w:color="auto"/>
        <w:left w:val="none" w:sz="0" w:space="0" w:color="auto"/>
        <w:bottom w:val="none" w:sz="0" w:space="0" w:color="auto"/>
        <w:right w:val="none" w:sz="0" w:space="0" w:color="auto"/>
      </w:divBdr>
    </w:div>
    <w:div w:id="953440818">
      <w:bodyDiv w:val="1"/>
      <w:marLeft w:val="0"/>
      <w:marRight w:val="0"/>
      <w:marTop w:val="0"/>
      <w:marBottom w:val="0"/>
      <w:divBdr>
        <w:top w:val="none" w:sz="0" w:space="0" w:color="auto"/>
        <w:left w:val="none" w:sz="0" w:space="0" w:color="auto"/>
        <w:bottom w:val="none" w:sz="0" w:space="0" w:color="auto"/>
        <w:right w:val="none" w:sz="0" w:space="0" w:color="auto"/>
      </w:divBdr>
      <w:divsChild>
        <w:div w:id="16197249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36811279">
      <w:bodyDiv w:val="1"/>
      <w:marLeft w:val="0"/>
      <w:marRight w:val="0"/>
      <w:marTop w:val="0"/>
      <w:marBottom w:val="0"/>
      <w:divBdr>
        <w:top w:val="none" w:sz="0" w:space="0" w:color="auto"/>
        <w:left w:val="none" w:sz="0" w:space="0" w:color="auto"/>
        <w:bottom w:val="none" w:sz="0" w:space="0" w:color="auto"/>
        <w:right w:val="none" w:sz="0" w:space="0" w:color="auto"/>
      </w:divBdr>
    </w:div>
    <w:div w:id="1059016335">
      <w:bodyDiv w:val="1"/>
      <w:marLeft w:val="0"/>
      <w:marRight w:val="0"/>
      <w:marTop w:val="0"/>
      <w:marBottom w:val="0"/>
      <w:divBdr>
        <w:top w:val="none" w:sz="0" w:space="0" w:color="auto"/>
        <w:left w:val="none" w:sz="0" w:space="0" w:color="auto"/>
        <w:bottom w:val="none" w:sz="0" w:space="0" w:color="auto"/>
        <w:right w:val="none" w:sz="0" w:space="0" w:color="auto"/>
      </w:divBdr>
    </w:div>
    <w:div w:id="1106656292">
      <w:bodyDiv w:val="1"/>
      <w:marLeft w:val="0"/>
      <w:marRight w:val="0"/>
      <w:marTop w:val="0"/>
      <w:marBottom w:val="0"/>
      <w:divBdr>
        <w:top w:val="none" w:sz="0" w:space="0" w:color="auto"/>
        <w:left w:val="none" w:sz="0" w:space="0" w:color="auto"/>
        <w:bottom w:val="none" w:sz="0" w:space="0" w:color="auto"/>
        <w:right w:val="none" w:sz="0" w:space="0" w:color="auto"/>
      </w:divBdr>
    </w:div>
    <w:div w:id="1124618573">
      <w:bodyDiv w:val="1"/>
      <w:marLeft w:val="0"/>
      <w:marRight w:val="0"/>
      <w:marTop w:val="0"/>
      <w:marBottom w:val="0"/>
      <w:divBdr>
        <w:top w:val="none" w:sz="0" w:space="0" w:color="auto"/>
        <w:left w:val="none" w:sz="0" w:space="0" w:color="auto"/>
        <w:bottom w:val="none" w:sz="0" w:space="0" w:color="auto"/>
        <w:right w:val="none" w:sz="0" w:space="0" w:color="auto"/>
      </w:divBdr>
    </w:div>
    <w:div w:id="1232275777">
      <w:bodyDiv w:val="1"/>
      <w:marLeft w:val="0"/>
      <w:marRight w:val="0"/>
      <w:marTop w:val="0"/>
      <w:marBottom w:val="0"/>
      <w:divBdr>
        <w:top w:val="none" w:sz="0" w:space="0" w:color="auto"/>
        <w:left w:val="none" w:sz="0" w:space="0" w:color="auto"/>
        <w:bottom w:val="none" w:sz="0" w:space="0" w:color="auto"/>
        <w:right w:val="none" w:sz="0" w:space="0" w:color="auto"/>
      </w:divBdr>
    </w:div>
    <w:div w:id="1239175895">
      <w:bodyDiv w:val="1"/>
      <w:marLeft w:val="0"/>
      <w:marRight w:val="0"/>
      <w:marTop w:val="0"/>
      <w:marBottom w:val="0"/>
      <w:divBdr>
        <w:top w:val="none" w:sz="0" w:space="0" w:color="auto"/>
        <w:left w:val="none" w:sz="0" w:space="0" w:color="auto"/>
        <w:bottom w:val="none" w:sz="0" w:space="0" w:color="auto"/>
        <w:right w:val="none" w:sz="0" w:space="0" w:color="auto"/>
      </w:divBdr>
    </w:div>
    <w:div w:id="1279216753">
      <w:bodyDiv w:val="1"/>
      <w:marLeft w:val="0"/>
      <w:marRight w:val="0"/>
      <w:marTop w:val="0"/>
      <w:marBottom w:val="0"/>
      <w:divBdr>
        <w:top w:val="none" w:sz="0" w:space="0" w:color="auto"/>
        <w:left w:val="none" w:sz="0" w:space="0" w:color="auto"/>
        <w:bottom w:val="none" w:sz="0" w:space="0" w:color="auto"/>
        <w:right w:val="none" w:sz="0" w:space="0" w:color="auto"/>
      </w:divBdr>
    </w:div>
    <w:div w:id="1338997727">
      <w:bodyDiv w:val="1"/>
      <w:marLeft w:val="0"/>
      <w:marRight w:val="0"/>
      <w:marTop w:val="0"/>
      <w:marBottom w:val="0"/>
      <w:divBdr>
        <w:top w:val="none" w:sz="0" w:space="0" w:color="auto"/>
        <w:left w:val="none" w:sz="0" w:space="0" w:color="auto"/>
        <w:bottom w:val="none" w:sz="0" w:space="0" w:color="auto"/>
        <w:right w:val="none" w:sz="0" w:space="0" w:color="auto"/>
      </w:divBdr>
    </w:div>
    <w:div w:id="1384325874">
      <w:bodyDiv w:val="1"/>
      <w:marLeft w:val="0"/>
      <w:marRight w:val="0"/>
      <w:marTop w:val="0"/>
      <w:marBottom w:val="0"/>
      <w:divBdr>
        <w:top w:val="none" w:sz="0" w:space="0" w:color="auto"/>
        <w:left w:val="none" w:sz="0" w:space="0" w:color="auto"/>
        <w:bottom w:val="none" w:sz="0" w:space="0" w:color="auto"/>
        <w:right w:val="none" w:sz="0" w:space="0" w:color="auto"/>
      </w:divBdr>
    </w:div>
    <w:div w:id="1404792766">
      <w:bodyDiv w:val="1"/>
      <w:marLeft w:val="0"/>
      <w:marRight w:val="0"/>
      <w:marTop w:val="0"/>
      <w:marBottom w:val="0"/>
      <w:divBdr>
        <w:top w:val="none" w:sz="0" w:space="0" w:color="auto"/>
        <w:left w:val="none" w:sz="0" w:space="0" w:color="auto"/>
        <w:bottom w:val="none" w:sz="0" w:space="0" w:color="auto"/>
        <w:right w:val="none" w:sz="0" w:space="0" w:color="auto"/>
      </w:divBdr>
    </w:div>
    <w:div w:id="1406880284">
      <w:bodyDiv w:val="1"/>
      <w:marLeft w:val="0"/>
      <w:marRight w:val="0"/>
      <w:marTop w:val="0"/>
      <w:marBottom w:val="0"/>
      <w:divBdr>
        <w:top w:val="none" w:sz="0" w:space="0" w:color="auto"/>
        <w:left w:val="none" w:sz="0" w:space="0" w:color="auto"/>
        <w:bottom w:val="none" w:sz="0" w:space="0" w:color="auto"/>
        <w:right w:val="none" w:sz="0" w:space="0" w:color="auto"/>
      </w:divBdr>
    </w:div>
    <w:div w:id="1416245974">
      <w:bodyDiv w:val="1"/>
      <w:marLeft w:val="0"/>
      <w:marRight w:val="0"/>
      <w:marTop w:val="0"/>
      <w:marBottom w:val="0"/>
      <w:divBdr>
        <w:top w:val="none" w:sz="0" w:space="0" w:color="auto"/>
        <w:left w:val="none" w:sz="0" w:space="0" w:color="auto"/>
        <w:bottom w:val="none" w:sz="0" w:space="0" w:color="auto"/>
        <w:right w:val="none" w:sz="0" w:space="0" w:color="auto"/>
      </w:divBdr>
    </w:div>
    <w:div w:id="1490168211">
      <w:bodyDiv w:val="1"/>
      <w:marLeft w:val="0"/>
      <w:marRight w:val="0"/>
      <w:marTop w:val="0"/>
      <w:marBottom w:val="0"/>
      <w:divBdr>
        <w:top w:val="none" w:sz="0" w:space="0" w:color="auto"/>
        <w:left w:val="none" w:sz="0" w:space="0" w:color="auto"/>
        <w:bottom w:val="none" w:sz="0" w:space="0" w:color="auto"/>
        <w:right w:val="none" w:sz="0" w:space="0" w:color="auto"/>
      </w:divBdr>
    </w:div>
    <w:div w:id="1501117771">
      <w:bodyDiv w:val="1"/>
      <w:marLeft w:val="0"/>
      <w:marRight w:val="0"/>
      <w:marTop w:val="0"/>
      <w:marBottom w:val="0"/>
      <w:divBdr>
        <w:top w:val="none" w:sz="0" w:space="0" w:color="auto"/>
        <w:left w:val="none" w:sz="0" w:space="0" w:color="auto"/>
        <w:bottom w:val="none" w:sz="0" w:space="0" w:color="auto"/>
        <w:right w:val="none" w:sz="0" w:space="0" w:color="auto"/>
      </w:divBdr>
    </w:div>
    <w:div w:id="1517424265">
      <w:bodyDiv w:val="1"/>
      <w:marLeft w:val="0"/>
      <w:marRight w:val="0"/>
      <w:marTop w:val="0"/>
      <w:marBottom w:val="0"/>
      <w:divBdr>
        <w:top w:val="none" w:sz="0" w:space="0" w:color="auto"/>
        <w:left w:val="none" w:sz="0" w:space="0" w:color="auto"/>
        <w:bottom w:val="none" w:sz="0" w:space="0" w:color="auto"/>
        <w:right w:val="none" w:sz="0" w:space="0" w:color="auto"/>
      </w:divBdr>
    </w:div>
    <w:div w:id="1602176924">
      <w:bodyDiv w:val="1"/>
      <w:marLeft w:val="0"/>
      <w:marRight w:val="0"/>
      <w:marTop w:val="0"/>
      <w:marBottom w:val="0"/>
      <w:divBdr>
        <w:top w:val="none" w:sz="0" w:space="0" w:color="auto"/>
        <w:left w:val="none" w:sz="0" w:space="0" w:color="auto"/>
        <w:bottom w:val="none" w:sz="0" w:space="0" w:color="auto"/>
        <w:right w:val="none" w:sz="0" w:space="0" w:color="auto"/>
      </w:divBdr>
    </w:div>
    <w:div w:id="1610116275">
      <w:bodyDiv w:val="1"/>
      <w:marLeft w:val="0"/>
      <w:marRight w:val="0"/>
      <w:marTop w:val="0"/>
      <w:marBottom w:val="0"/>
      <w:divBdr>
        <w:top w:val="none" w:sz="0" w:space="0" w:color="auto"/>
        <w:left w:val="none" w:sz="0" w:space="0" w:color="auto"/>
        <w:bottom w:val="none" w:sz="0" w:space="0" w:color="auto"/>
        <w:right w:val="none" w:sz="0" w:space="0" w:color="auto"/>
      </w:divBdr>
    </w:div>
    <w:div w:id="1613587506">
      <w:bodyDiv w:val="1"/>
      <w:marLeft w:val="0"/>
      <w:marRight w:val="0"/>
      <w:marTop w:val="0"/>
      <w:marBottom w:val="0"/>
      <w:divBdr>
        <w:top w:val="none" w:sz="0" w:space="0" w:color="auto"/>
        <w:left w:val="none" w:sz="0" w:space="0" w:color="auto"/>
        <w:bottom w:val="none" w:sz="0" w:space="0" w:color="auto"/>
        <w:right w:val="none" w:sz="0" w:space="0" w:color="auto"/>
      </w:divBdr>
    </w:div>
    <w:div w:id="1675259136">
      <w:bodyDiv w:val="1"/>
      <w:marLeft w:val="0"/>
      <w:marRight w:val="0"/>
      <w:marTop w:val="0"/>
      <w:marBottom w:val="0"/>
      <w:divBdr>
        <w:top w:val="none" w:sz="0" w:space="0" w:color="auto"/>
        <w:left w:val="none" w:sz="0" w:space="0" w:color="auto"/>
        <w:bottom w:val="none" w:sz="0" w:space="0" w:color="auto"/>
        <w:right w:val="none" w:sz="0" w:space="0" w:color="auto"/>
      </w:divBdr>
    </w:div>
    <w:div w:id="1701929822">
      <w:bodyDiv w:val="1"/>
      <w:marLeft w:val="0"/>
      <w:marRight w:val="0"/>
      <w:marTop w:val="0"/>
      <w:marBottom w:val="0"/>
      <w:divBdr>
        <w:top w:val="none" w:sz="0" w:space="0" w:color="auto"/>
        <w:left w:val="none" w:sz="0" w:space="0" w:color="auto"/>
        <w:bottom w:val="none" w:sz="0" w:space="0" w:color="auto"/>
        <w:right w:val="none" w:sz="0" w:space="0" w:color="auto"/>
      </w:divBdr>
    </w:div>
    <w:div w:id="1719167413">
      <w:bodyDiv w:val="1"/>
      <w:marLeft w:val="0"/>
      <w:marRight w:val="0"/>
      <w:marTop w:val="0"/>
      <w:marBottom w:val="0"/>
      <w:divBdr>
        <w:top w:val="none" w:sz="0" w:space="0" w:color="auto"/>
        <w:left w:val="none" w:sz="0" w:space="0" w:color="auto"/>
        <w:bottom w:val="none" w:sz="0" w:space="0" w:color="auto"/>
        <w:right w:val="none" w:sz="0" w:space="0" w:color="auto"/>
      </w:divBdr>
    </w:div>
    <w:div w:id="1742095756">
      <w:bodyDiv w:val="1"/>
      <w:marLeft w:val="0"/>
      <w:marRight w:val="0"/>
      <w:marTop w:val="0"/>
      <w:marBottom w:val="0"/>
      <w:divBdr>
        <w:top w:val="none" w:sz="0" w:space="0" w:color="auto"/>
        <w:left w:val="none" w:sz="0" w:space="0" w:color="auto"/>
        <w:bottom w:val="none" w:sz="0" w:space="0" w:color="auto"/>
        <w:right w:val="none" w:sz="0" w:space="0" w:color="auto"/>
      </w:divBdr>
    </w:div>
    <w:div w:id="1755666411">
      <w:bodyDiv w:val="1"/>
      <w:marLeft w:val="0"/>
      <w:marRight w:val="0"/>
      <w:marTop w:val="0"/>
      <w:marBottom w:val="0"/>
      <w:divBdr>
        <w:top w:val="none" w:sz="0" w:space="0" w:color="auto"/>
        <w:left w:val="none" w:sz="0" w:space="0" w:color="auto"/>
        <w:bottom w:val="none" w:sz="0" w:space="0" w:color="auto"/>
        <w:right w:val="none" w:sz="0" w:space="0" w:color="auto"/>
      </w:divBdr>
    </w:div>
    <w:div w:id="1793984289">
      <w:bodyDiv w:val="1"/>
      <w:marLeft w:val="0"/>
      <w:marRight w:val="0"/>
      <w:marTop w:val="0"/>
      <w:marBottom w:val="0"/>
      <w:divBdr>
        <w:top w:val="none" w:sz="0" w:space="0" w:color="auto"/>
        <w:left w:val="none" w:sz="0" w:space="0" w:color="auto"/>
        <w:bottom w:val="none" w:sz="0" w:space="0" w:color="auto"/>
        <w:right w:val="none" w:sz="0" w:space="0" w:color="auto"/>
      </w:divBdr>
    </w:div>
    <w:div w:id="1829437614">
      <w:bodyDiv w:val="1"/>
      <w:marLeft w:val="0"/>
      <w:marRight w:val="0"/>
      <w:marTop w:val="0"/>
      <w:marBottom w:val="0"/>
      <w:divBdr>
        <w:top w:val="none" w:sz="0" w:space="0" w:color="auto"/>
        <w:left w:val="none" w:sz="0" w:space="0" w:color="auto"/>
        <w:bottom w:val="none" w:sz="0" w:space="0" w:color="auto"/>
        <w:right w:val="none" w:sz="0" w:space="0" w:color="auto"/>
      </w:divBdr>
    </w:div>
    <w:div w:id="1844272685">
      <w:bodyDiv w:val="1"/>
      <w:marLeft w:val="0"/>
      <w:marRight w:val="0"/>
      <w:marTop w:val="0"/>
      <w:marBottom w:val="0"/>
      <w:divBdr>
        <w:top w:val="none" w:sz="0" w:space="0" w:color="auto"/>
        <w:left w:val="none" w:sz="0" w:space="0" w:color="auto"/>
        <w:bottom w:val="none" w:sz="0" w:space="0" w:color="auto"/>
        <w:right w:val="none" w:sz="0" w:space="0" w:color="auto"/>
      </w:divBdr>
      <w:divsChild>
        <w:div w:id="9267669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51096622">
      <w:bodyDiv w:val="1"/>
      <w:marLeft w:val="0"/>
      <w:marRight w:val="0"/>
      <w:marTop w:val="0"/>
      <w:marBottom w:val="0"/>
      <w:divBdr>
        <w:top w:val="none" w:sz="0" w:space="0" w:color="auto"/>
        <w:left w:val="none" w:sz="0" w:space="0" w:color="auto"/>
        <w:bottom w:val="none" w:sz="0" w:space="0" w:color="auto"/>
        <w:right w:val="none" w:sz="0" w:space="0" w:color="auto"/>
      </w:divBdr>
    </w:div>
    <w:div w:id="1904024779">
      <w:bodyDiv w:val="1"/>
      <w:marLeft w:val="0"/>
      <w:marRight w:val="0"/>
      <w:marTop w:val="0"/>
      <w:marBottom w:val="0"/>
      <w:divBdr>
        <w:top w:val="none" w:sz="0" w:space="0" w:color="auto"/>
        <w:left w:val="none" w:sz="0" w:space="0" w:color="auto"/>
        <w:bottom w:val="none" w:sz="0" w:space="0" w:color="auto"/>
        <w:right w:val="none" w:sz="0" w:space="0" w:color="auto"/>
      </w:divBdr>
    </w:div>
    <w:div w:id="2099910146">
      <w:bodyDiv w:val="1"/>
      <w:marLeft w:val="0"/>
      <w:marRight w:val="0"/>
      <w:marTop w:val="0"/>
      <w:marBottom w:val="0"/>
      <w:divBdr>
        <w:top w:val="none" w:sz="0" w:space="0" w:color="auto"/>
        <w:left w:val="none" w:sz="0" w:space="0" w:color="auto"/>
        <w:bottom w:val="none" w:sz="0" w:space="0" w:color="auto"/>
        <w:right w:val="none" w:sz="0" w:space="0" w:color="auto"/>
      </w:divBdr>
    </w:div>
    <w:div w:id="21031356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oi.org/10.5285/58f00d8814064b79a0c49662ad3af537" TargetMode="External"/><Relationship Id="rId21" Type="http://schemas.openxmlformats.org/officeDocument/2006/relationships/hyperlink" Target="https://doi.org/10.1111/j.1466-8238.2010.00568.x" TargetMode="External"/><Relationship Id="rId42" Type="http://schemas.openxmlformats.org/officeDocument/2006/relationships/hyperlink" Target="https://doi.org/10.1007/s00267-010-9564-5" TargetMode="External"/><Relationship Id="rId47" Type="http://schemas.openxmlformats.org/officeDocument/2006/relationships/hyperlink" Target="https://doi.org/10.1016/j.rse.2014.02.015" TargetMode="External"/><Relationship Id="rId63" Type="http://schemas.openxmlformats.org/officeDocument/2006/relationships/hyperlink" Target="https://ipisresearch.be/publication/mapping-interests-conflict-areas-katanga/" TargetMode="External"/><Relationship Id="rId68" Type="http://schemas.openxmlformats.org/officeDocument/2006/relationships/hyperlink" Target="https://www.radiookapi.net/actualite/2010/11/27/katanga-les-fardc-ripostent-a-une-attaque-des-mai-mai-a-luena-5-morts" TargetMode="External"/><Relationship Id="rId16" Type="http://schemas.openxmlformats.org/officeDocument/2006/relationships/image" Target="media/image4.png"/><Relationship Id="rId11" Type="http://schemas.microsoft.com/office/2016/09/relationships/commentsIds" Target="commentsIds.xml"/><Relationship Id="rId32" Type="http://schemas.openxmlformats.org/officeDocument/2006/relationships/hyperlink" Target="https://doi.org/10.1016/j.envsci.2025.104242" TargetMode="External"/><Relationship Id="rId37" Type="http://schemas.openxmlformats.org/officeDocument/2006/relationships/hyperlink" Target="https://earthengine.google.com/" TargetMode="External"/><Relationship Id="rId53" Type="http://schemas.openxmlformats.org/officeDocument/2006/relationships/hyperlink" Target="https://doi.org/10.17265/2328-7136/2019.02.003" TargetMode="External"/><Relationship Id="rId58" Type="http://schemas.openxmlformats.org/officeDocument/2006/relationships/hyperlink" Target="https://news.mongabay.com/2012/07/gang-raids-remote-national-park-in-the-democratic-republic-of-the-congo/" TargetMode="External"/><Relationship Id="rId74" Type="http://schemas.openxmlformats.org/officeDocument/2006/relationships/hyperlink" Target="https://www.radiookapi.net/actualite/2014/11/05/katanga-les-fardc-delogent-les-mai-mai-bakata-katanga-de-musumari" TargetMode="External"/><Relationship Id="rId79" Type="http://schemas.openxmlformats.org/officeDocument/2006/relationships/hyperlink" Target="https://doi.org/10.3917/polaf.084.0103" TargetMode="External"/><Relationship Id="rId5" Type="http://schemas.openxmlformats.org/officeDocument/2006/relationships/numbering" Target="numbering.xml"/><Relationship Id="rId61" Type="http://schemas.openxmlformats.org/officeDocument/2006/relationships/hyperlink" Target="https://www.hbvl.be/regio/limburg/ik-ben-al-drie-keer-op-de-loop-moeten-gaan/31994038.html" TargetMode="External"/><Relationship Id="rId82" Type="http://schemas.microsoft.com/office/2011/relationships/people" Target="people.xml"/><Relationship Id="rId19" Type="http://schemas.openxmlformats.org/officeDocument/2006/relationships/hyperlink" Target="https://doi.org/10.1073/pnas.0914471107" TargetMode="External"/><Relationship Id="rId14" Type="http://schemas.openxmlformats.org/officeDocument/2006/relationships/image" Target="media/image2.png"/><Relationship Id="rId22" Type="http://schemas.openxmlformats.org/officeDocument/2006/relationships/hyperlink" Target="https://doi.org/10.1016/j.jenvman.2022.116680" TargetMode="External"/><Relationship Id="rId27" Type="http://schemas.openxmlformats.org/officeDocument/2006/relationships/hyperlink" Target="https://doi.org/10.1098/rstb.2014.0281" TargetMode="External"/><Relationship Id="rId30" Type="http://schemas.openxmlformats.org/officeDocument/2006/relationships/hyperlink" Target="https://doi.org/10.1016/j.biocon.2019.01.013" TargetMode="External"/><Relationship Id="rId35" Type="http://schemas.openxmlformats.org/officeDocument/2006/relationships/hyperlink" Target="https://doi.org/10.2305/IUCN.CH.2022.PARKS-28-1CG.en" TargetMode="External"/><Relationship Id="rId43" Type="http://schemas.openxmlformats.org/officeDocument/2006/relationships/hyperlink" Target="https://doi.org/10.5281/zenodo.14920706" TargetMode="External"/><Relationship Id="rId48" Type="http://schemas.openxmlformats.org/officeDocument/2006/relationships/hyperlink" Target="https://doi.org/10.1126/science.1172133" TargetMode="External"/><Relationship Id="rId56" Type="http://schemas.openxmlformats.org/officeDocument/2006/relationships/hyperlink" Target="https://www.ecoi.net/en/file/local/1095206/1930_1401096604_kantaga-report-2014-final-english-22052014-001.pdf" TargetMode="External"/><Relationship Id="rId64" Type="http://schemas.openxmlformats.org/officeDocument/2006/relationships/hyperlink" Target="https://www.npr.org/2024/11/12/nx-s1-5110010-e1/a-rainforest-in-africa-aims-to-reverse-damage-after-years-of-conflict-and-neglect" TargetMode="External"/><Relationship Id="rId69" Type="http://schemas.openxmlformats.org/officeDocument/2006/relationships/hyperlink" Target="https://www.radiookapi.net/actualite/2012/08/05/katanga-12-miliciens-de-mitwaba-se-rendent-aux-autorites-provinciales" TargetMode="External"/><Relationship Id="rId77" Type="http://schemas.openxmlformats.org/officeDocument/2006/relationships/hyperlink" Target="https://www.radiookapi.net/2024/05/15/actualite/societe/rdc-le-parc-national-dupemba-celebre-ses-85-ans-sous-le-signe-de" TargetMode="External"/><Relationship Id="rId8" Type="http://schemas.openxmlformats.org/officeDocument/2006/relationships/webSettings" Target="webSettings.xml"/><Relationship Id="rId51" Type="http://schemas.openxmlformats.org/officeDocument/2006/relationships/hyperlink" Target="https://doi.org/10.5194/soil-7-217-2021" TargetMode="External"/><Relationship Id="rId72" Type="http://schemas.openxmlformats.org/officeDocument/2006/relationships/hyperlink" Target="https://www.radiookapi.net/environnement/2014/03/14/parc-upemba-liccn-denonce-le-braconnage-des-habitants-dun-village-disperse/" TargetMode="External"/><Relationship Id="rId80" Type="http://schemas.openxmlformats.org/officeDocument/2006/relationships/hyperlink" Target="https://www.iucn.nl/en/story/underprivileged-youth-become-proud-park-rangers/" TargetMode="External"/><Relationship Id="rId3" Type="http://schemas.openxmlformats.org/officeDocument/2006/relationships/customXml" Target="../customXml/item3.xml"/><Relationship Id="rId12" Type="http://schemas.microsoft.com/office/2018/08/relationships/commentsExtensible" Target="commentsExtensible.xml"/><Relationship Id="rId17" Type="http://schemas.openxmlformats.org/officeDocument/2006/relationships/hyperlink" Target="https://doi.org/10.1038/sdata.2017.191" TargetMode="External"/><Relationship Id="rId25" Type="http://schemas.openxmlformats.org/officeDocument/2006/relationships/hyperlink" Target="https://doi.org/10.1214/ss/1009213286" TargetMode="External"/><Relationship Id="rId33" Type="http://schemas.openxmlformats.org/officeDocument/2006/relationships/hyperlink" Target="https://doi.org/10.1038/sdata.2015.66" TargetMode="External"/><Relationship Id="rId38" Type="http://schemas.openxmlformats.org/officeDocument/2006/relationships/hyperlink" Target="https://doi.org/10.1126/science.1244693" TargetMode="External"/><Relationship Id="rId46" Type="http://schemas.openxmlformats.org/officeDocument/2006/relationships/hyperlink" Target="https://doi.org/10.1596/978-0-8213-9742-8" TargetMode="External"/><Relationship Id="rId59" Type="http://schemas.openxmlformats.org/officeDocument/2006/relationships/hyperlink" Target="https://news.mongabay.com/2012/09/conflict-and-perseverance-rehabilitating-a-forgotten-park-in-the-congo/" TargetMode="External"/><Relationship Id="rId67" Type="http://schemas.openxmlformats.org/officeDocument/2006/relationships/hyperlink" Target="https://kanyundu.jouwweb.be/realisations" TargetMode="External"/><Relationship Id="rId20" Type="http://schemas.openxmlformats.org/officeDocument/2006/relationships/hyperlink" Target="https://doi.org/10.1371/journal.pone.0240271" TargetMode="External"/><Relationship Id="rId41" Type="http://schemas.openxmlformats.org/officeDocument/2006/relationships/hyperlink" Target="https://doi.org/10.1038/s41597-024-03306-z" TargetMode="External"/><Relationship Id="rId54" Type="http://schemas.openxmlformats.org/officeDocument/2006/relationships/hyperlink" Target="https://doi.org/10.1016/j.biocon.2018.03.022" TargetMode="External"/><Relationship Id="rId62" Type="http://schemas.openxmlformats.org/officeDocument/2006/relationships/hyperlink" Target="https://www.hrw.org/fr/news/2006/07/21/rd-congo-les-elections-approchent-limpunite-perdure-au-katanga" TargetMode="External"/><Relationship Id="rId70" Type="http://schemas.openxmlformats.org/officeDocument/2006/relationships/hyperlink" Target="https://www.radiookapi.net/environnement/2012/12/18/mitwaba-des-hommes-armes-tuent-le-conservateur-du-parc-de-lupemba" TargetMode="External"/><Relationship Id="rId75" Type="http://schemas.openxmlformats.org/officeDocument/2006/relationships/hyperlink" Target="https://www.radiookapi.net/environnement/2014/11/12/katanga-les-fardc-se-deploient-dans-le-parc-de-lupemba-pour-traquer-des-miliciens"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3.png"/><Relationship Id="rId23" Type="http://schemas.openxmlformats.org/officeDocument/2006/relationships/hyperlink" Target="https://doi.org/10.1111/1477-8947.12118" TargetMode="External"/><Relationship Id="rId28" Type="http://schemas.openxmlformats.org/officeDocument/2006/relationships/hyperlink" Target="https://doi.org/10.1002/eap.1584" TargetMode="External"/><Relationship Id="rId36" Type="http://schemas.openxmlformats.org/officeDocument/2006/relationships/hyperlink" Target="https://doi.org/10.1002/ecs2.4053" TargetMode="External"/><Relationship Id="rId49" Type="http://schemas.openxmlformats.org/officeDocument/2006/relationships/hyperlink" Target="https://doi.org/10.1038/nature20584" TargetMode="External"/><Relationship Id="rId57" Type="http://schemas.openxmlformats.org/officeDocument/2006/relationships/hyperlink" Target="https://www.theguardian.com/environment/article/2024/aug/20/drc-wildlife-reserve-upemba" TargetMode="External"/><Relationship Id="rId10" Type="http://schemas.microsoft.com/office/2011/relationships/commentsExtended" Target="commentsExtended.xml"/><Relationship Id="rId31" Type="http://schemas.openxmlformats.org/officeDocument/2006/relationships/hyperlink" Target="https://doi.org/10.5270/ESA-c5d3d65" TargetMode="External"/><Relationship Id="rId44" Type="http://schemas.openxmlformats.org/officeDocument/2006/relationships/hyperlink" Target="https://doi.org/10.1016/j.geoforum.2016.08.003" TargetMode="External"/><Relationship Id="rId52" Type="http://schemas.openxmlformats.org/officeDocument/2006/relationships/hyperlink" Target="https://doi.org/10.48550/arXiv.2310.11622" TargetMode="External"/><Relationship Id="rId60" Type="http://schemas.openxmlformats.org/officeDocument/2006/relationships/hyperlink" Target="https://www.thenewhumanitarian.org/report/58122/drc-peculiar-terror-northern-katanga" TargetMode="External"/><Relationship Id="rId65" Type="http://schemas.openxmlformats.org/officeDocument/2006/relationships/hyperlink" Target="https://monusco.unmissions.org/en/news/monusco-welcomes-separation-82-children-mayi-mayi-bakata-katanga-0" TargetMode="External"/><Relationship Id="rId73" Type="http://schemas.openxmlformats.org/officeDocument/2006/relationships/hyperlink" Target="https://www.radiookapi.net/regions/katanga/2014/11/04/deux-attaques-des-miliciens-bakata-katanga-enregistrees-mitwaba" TargetMode="External"/><Relationship Id="rId78" Type="http://schemas.openxmlformats.org/officeDocument/2006/relationships/hyperlink" Target="https://www.upemba.org/post/the-high-cost-of-conservation-in-the-drc" TargetMode="External"/><Relationship Id="rId8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yperlink" Target="https://doi.org/10.1002/0471249688" TargetMode="External"/><Relationship Id="rId39" Type="http://schemas.openxmlformats.org/officeDocument/2006/relationships/hyperlink" Target="https://doi.org/10.1111/csp2.12670" TargetMode="External"/><Relationship Id="rId34" Type="http://schemas.openxmlformats.org/officeDocument/2006/relationships/hyperlink" Target="https://doi.org/10.1016/j.biocon.2023.110434" TargetMode="External"/><Relationship Id="rId50" Type="http://schemas.openxmlformats.org/officeDocument/2006/relationships/hyperlink" Target="https://doi.org/10.1080/17538947.2024.2390454" TargetMode="External"/><Relationship Id="rId55" Type="http://schemas.openxmlformats.org/officeDocument/2006/relationships/hyperlink" Target="https://doi.org/10.1038/nature25181" TargetMode="External"/><Relationship Id="rId76" Type="http://schemas.openxmlformats.org/officeDocument/2006/relationships/hyperlink" Target="https://www.radiookapi.net/2021/10/11/actualite/societe/construction-dun-barrage-dans-le-parc-upemba-185-ong-saisissent-felix" TargetMode="External"/><Relationship Id="rId7" Type="http://schemas.openxmlformats.org/officeDocument/2006/relationships/settings" Target="settings.xml"/><Relationship Id="rId71" Type="http://schemas.openxmlformats.org/officeDocument/2006/relationships/hyperlink" Target="https://www.radiookapi.net/actualite/2013/04/22/parc-upemba-liccn-veut-refouler-des-elephants-rapatrier-2-gardes-retenus-en-otage-par-des-mai-mai" TargetMode="External"/><Relationship Id="rId2" Type="http://schemas.openxmlformats.org/officeDocument/2006/relationships/customXml" Target="../customXml/item2.xml"/><Relationship Id="rId29" Type="http://schemas.openxmlformats.org/officeDocument/2006/relationships/hyperlink" Target="https://doi.org/10.1098/rsbl.2007.0010" TargetMode="External"/><Relationship Id="rId24" Type="http://schemas.openxmlformats.org/officeDocument/2006/relationships/hyperlink" Target="https://doi.org/10.32614/RJ-2017-066" TargetMode="External"/><Relationship Id="rId40" Type="http://schemas.openxmlformats.org/officeDocument/2006/relationships/hyperlink" Target="https://doi.org/10.1126/science.abb0355" TargetMode="External"/><Relationship Id="rId45" Type="http://schemas.openxmlformats.org/officeDocument/2006/relationships/hyperlink" Target="https://doi.org/10.1038/s43247-023-01053-4" TargetMode="External"/><Relationship Id="rId66" Type="http://schemas.openxmlformats.org/officeDocument/2006/relationships/hyperlink" Target="https://www.unocha.org/publications/report/democratic-republic-congo/dr-congo%E2%80%99s-neglected-%E2%80%9Ctriangle-death%E2%80%9D-challenges-protec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407ba6af-89b5-4291-81d0-1afa5a3b8325">
      <Terms xmlns="http://schemas.microsoft.com/office/infopath/2007/PartnerControls"/>
    </lcf76f155ced4ddcb4097134ff3c332f>
    <TaxCatchAll xmlns="135140ae-a164-4bee-af04-3373c0c7da45"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CD1282D1D65395498BFDC10766BA048B" ma:contentTypeVersion="10" ma:contentTypeDescription="Create a new document." ma:contentTypeScope="" ma:versionID="b037323c1672fe5d76d2c44dbcd2bc91">
  <xsd:schema xmlns:xsd="http://www.w3.org/2001/XMLSchema" xmlns:xs="http://www.w3.org/2001/XMLSchema" xmlns:p="http://schemas.microsoft.com/office/2006/metadata/properties" xmlns:ns2="407ba6af-89b5-4291-81d0-1afa5a3b8325" xmlns:ns3="135140ae-a164-4bee-af04-3373c0c7da45" targetNamespace="http://schemas.microsoft.com/office/2006/metadata/properties" ma:root="true" ma:fieldsID="7da990e92187b422d0237dcf76ffb798" ns2:_="" ns3:_="">
    <xsd:import namespace="407ba6af-89b5-4291-81d0-1afa5a3b8325"/>
    <xsd:import namespace="135140ae-a164-4bee-af04-3373c0c7da45"/>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07ba6af-89b5-4291-81d0-1afa5a3b83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ec99919-4982-4388-8a64-83a11d2ca210"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35140ae-a164-4bee-af04-3373c0c7da4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feff7cc8-0d00-4c75-a364-2caef57c4614}" ma:internalName="TaxCatchAll" ma:showField="CatchAllData" ma:web="135140ae-a164-4bee-af04-3373c0c7da4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5D8300A-4C51-45F5-AD54-1CA155E31022}">
  <ds:schemaRefs>
    <ds:schemaRef ds:uri="http://schemas.openxmlformats.org/officeDocument/2006/bibliography"/>
  </ds:schemaRefs>
</ds:datastoreItem>
</file>

<file path=customXml/itemProps2.xml><?xml version="1.0" encoding="utf-8"?>
<ds:datastoreItem xmlns:ds="http://schemas.openxmlformats.org/officeDocument/2006/customXml" ds:itemID="{D4E2D5FE-FDF6-4972-9532-586D01712793}">
  <ds:schemaRefs>
    <ds:schemaRef ds:uri="http://schemas.microsoft.com/office/2006/metadata/properties"/>
    <ds:schemaRef ds:uri="http://schemas.microsoft.com/office/infopath/2007/PartnerControls"/>
    <ds:schemaRef ds:uri="407ba6af-89b5-4291-81d0-1afa5a3b8325"/>
    <ds:schemaRef ds:uri="135140ae-a164-4bee-af04-3373c0c7da45"/>
  </ds:schemaRefs>
</ds:datastoreItem>
</file>

<file path=customXml/itemProps3.xml><?xml version="1.0" encoding="utf-8"?>
<ds:datastoreItem xmlns:ds="http://schemas.openxmlformats.org/officeDocument/2006/customXml" ds:itemID="{71113D76-4E55-4E1D-897B-61E9E9A82A54}">
  <ds:schemaRefs>
    <ds:schemaRef ds:uri="http://schemas.microsoft.com/sharepoint/v3/contenttype/forms"/>
  </ds:schemaRefs>
</ds:datastoreItem>
</file>

<file path=customXml/itemProps4.xml><?xml version="1.0" encoding="utf-8"?>
<ds:datastoreItem xmlns:ds="http://schemas.openxmlformats.org/officeDocument/2006/customXml" ds:itemID="{D5DC05DB-C198-4B1E-8208-2F393861AE7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07ba6af-89b5-4291-81d0-1afa5a3b8325"/>
    <ds:schemaRef ds:uri="135140ae-a164-4bee-af04-3373c0c7da4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5729</TotalTime>
  <Pages>31</Pages>
  <Words>11219</Words>
  <Characters>63952</Characters>
  <Application>Microsoft Office Word</Application>
  <DocSecurity>0</DocSecurity>
  <Lines>532</Lines>
  <Paragraphs>150</Paragraphs>
  <ScaleCrop>false</ScaleCrop>
  <Company>Wageningen University and Research</Company>
  <LinksUpToDate>false</LinksUpToDate>
  <CharactersWithSpaces>75021</CharactersWithSpaces>
  <SharedDoc>false</SharedDoc>
  <HLinks>
    <vt:vector size="378" baseType="variant">
      <vt:variant>
        <vt:i4>1966148</vt:i4>
      </vt:variant>
      <vt:variant>
        <vt:i4>222</vt:i4>
      </vt:variant>
      <vt:variant>
        <vt:i4>0</vt:i4>
      </vt:variant>
      <vt:variant>
        <vt:i4>5</vt:i4>
      </vt:variant>
      <vt:variant>
        <vt:lpwstr>https://www.iucn.nl/en/story/underprivileged-youth-become-proud-park-rangers/</vt:lpwstr>
      </vt:variant>
      <vt:variant>
        <vt:lpwstr/>
      </vt:variant>
      <vt:variant>
        <vt:i4>2359338</vt:i4>
      </vt:variant>
      <vt:variant>
        <vt:i4>219</vt:i4>
      </vt:variant>
      <vt:variant>
        <vt:i4>0</vt:i4>
      </vt:variant>
      <vt:variant>
        <vt:i4>5</vt:i4>
      </vt:variant>
      <vt:variant>
        <vt:lpwstr>https://doi.org/10.3917/polaf.084.0103</vt:lpwstr>
      </vt:variant>
      <vt:variant>
        <vt:lpwstr/>
      </vt:variant>
      <vt:variant>
        <vt:i4>6225995</vt:i4>
      </vt:variant>
      <vt:variant>
        <vt:i4>216</vt:i4>
      </vt:variant>
      <vt:variant>
        <vt:i4>0</vt:i4>
      </vt:variant>
      <vt:variant>
        <vt:i4>5</vt:i4>
      </vt:variant>
      <vt:variant>
        <vt:lpwstr>https://www.upemba.org/post/the-high-cost-of-conservation-in-the-drc</vt:lpwstr>
      </vt:variant>
      <vt:variant>
        <vt:lpwstr/>
      </vt:variant>
      <vt:variant>
        <vt:i4>1572959</vt:i4>
      </vt:variant>
      <vt:variant>
        <vt:i4>213</vt:i4>
      </vt:variant>
      <vt:variant>
        <vt:i4>0</vt:i4>
      </vt:variant>
      <vt:variant>
        <vt:i4>5</vt:i4>
      </vt:variant>
      <vt:variant>
        <vt:lpwstr>https://www.radiookapi.net/2024/05/15/actualite/societe/rdc-le-parc-national-dupemba-celebre-ses-85-ans-sous-le-signe-de</vt:lpwstr>
      </vt:variant>
      <vt:variant>
        <vt:lpwstr/>
      </vt:variant>
      <vt:variant>
        <vt:i4>393241</vt:i4>
      </vt:variant>
      <vt:variant>
        <vt:i4>210</vt:i4>
      </vt:variant>
      <vt:variant>
        <vt:i4>0</vt:i4>
      </vt:variant>
      <vt:variant>
        <vt:i4>5</vt:i4>
      </vt:variant>
      <vt:variant>
        <vt:lpwstr>https://www.radiookapi.net/2021/10/11/actualite/societe/construction-dun-barrage-dans-le-parc-upemba-185-ong-saisissent-felix</vt:lpwstr>
      </vt:variant>
      <vt:variant>
        <vt:lpwstr/>
      </vt:variant>
      <vt:variant>
        <vt:i4>5505049</vt:i4>
      </vt:variant>
      <vt:variant>
        <vt:i4>207</vt:i4>
      </vt:variant>
      <vt:variant>
        <vt:i4>0</vt:i4>
      </vt:variant>
      <vt:variant>
        <vt:i4>5</vt:i4>
      </vt:variant>
      <vt:variant>
        <vt:lpwstr>https://www.radiookapi.net/environnement/2014/11/12/katanga-les-fardc-se-deploient-dans-le-parc-de-lupemba-pour-traquer-des-miliciens</vt:lpwstr>
      </vt:variant>
      <vt:variant>
        <vt:lpwstr/>
      </vt:variant>
      <vt:variant>
        <vt:i4>1507341</vt:i4>
      </vt:variant>
      <vt:variant>
        <vt:i4>204</vt:i4>
      </vt:variant>
      <vt:variant>
        <vt:i4>0</vt:i4>
      </vt:variant>
      <vt:variant>
        <vt:i4>5</vt:i4>
      </vt:variant>
      <vt:variant>
        <vt:lpwstr>https://www.radiookapi.net/actualite/2014/11/05/katanga-les-fardc-delogent-les-mai-mai-bakata-katanga-de-musumari</vt:lpwstr>
      </vt:variant>
      <vt:variant>
        <vt:lpwstr/>
      </vt:variant>
      <vt:variant>
        <vt:i4>4259907</vt:i4>
      </vt:variant>
      <vt:variant>
        <vt:i4>201</vt:i4>
      </vt:variant>
      <vt:variant>
        <vt:i4>0</vt:i4>
      </vt:variant>
      <vt:variant>
        <vt:i4>5</vt:i4>
      </vt:variant>
      <vt:variant>
        <vt:lpwstr>https://www.radiookapi.net/regions/katanga/2014/11/04/deux-attaques-des-miliciens-bakata-katanga-enregistrees-mitwaba</vt:lpwstr>
      </vt:variant>
      <vt:variant>
        <vt:lpwstr/>
      </vt:variant>
      <vt:variant>
        <vt:i4>3473451</vt:i4>
      </vt:variant>
      <vt:variant>
        <vt:i4>198</vt:i4>
      </vt:variant>
      <vt:variant>
        <vt:i4>0</vt:i4>
      </vt:variant>
      <vt:variant>
        <vt:i4>5</vt:i4>
      </vt:variant>
      <vt:variant>
        <vt:lpwstr>https://www.radiookapi.net/environnement/2014/03/14/parc-upemba-liccn-denonce-le-braconnage-des-habitants-dun-village-disperse/</vt:lpwstr>
      </vt:variant>
      <vt:variant>
        <vt:lpwstr/>
      </vt:variant>
      <vt:variant>
        <vt:i4>4915200</vt:i4>
      </vt:variant>
      <vt:variant>
        <vt:i4>195</vt:i4>
      </vt:variant>
      <vt:variant>
        <vt:i4>0</vt:i4>
      </vt:variant>
      <vt:variant>
        <vt:i4>5</vt:i4>
      </vt:variant>
      <vt:variant>
        <vt:lpwstr>https://www.radiookapi.net/actualite/2013/04/22/parc-upemba-liccn-veut-refouler-des-elephants-rapatrier-2-gardes-retenus-en-otage-par-des-mai-mai</vt:lpwstr>
      </vt:variant>
      <vt:variant>
        <vt:lpwstr/>
      </vt:variant>
      <vt:variant>
        <vt:i4>1900574</vt:i4>
      </vt:variant>
      <vt:variant>
        <vt:i4>192</vt:i4>
      </vt:variant>
      <vt:variant>
        <vt:i4>0</vt:i4>
      </vt:variant>
      <vt:variant>
        <vt:i4>5</vt:i4>
      </vt:variant>
      <vt:variant>
        <vt:lpwstr>https://www.radiookapi.net/environnement/2012/12/18/mitwaba-des-hommes-armes-tuent-le-conservateur-du-parc-de-lupemba</vt:lpwstr>
      </vt:variant>
      <vt:variant>
        <vt:lpwstr/>
      </vt:variant>
      <vt:variant>
        <vt:i4>5898245</vt:i4>
      </vt:variant>
      <vt:variant>
        <vt:i4>189</vt:i4>
      </vt:variant>
      <vt:variant>
        <vt:i4>0</vt:i4>
      </vt:variant>
      <vt:variant>
        <vt:i4>5</vt:i4>
      </vt:variant>
      <vt:variant>
        <vt:lpwstr>https://www.radiookapi.net/actualite/2012/08/05/katanga-12-miliciens-de-mitwaba-se-rendent-aux-autorites-provinciales</vt:lpwstr>
      </vt:variant>
      <vt:variant>
        <vt:lpwstr/>
      </vt:variant>
      <vt:variant>
        <vt:i4>1572882</vt:i4>
      </vt:variant>
      <vt:variant>
        <vt:i4>186</vt:i4>
      </vt:variant>
      <vt:variant>
        <vt:i4>0</vt:i4>
      </vt:variant>
      <vt:variant>
        <vt:i4>5</vt:i4>
      </vt:variant>
      <vt:variant>
        <vt:lpwstr>https://www.radiookapi.net/actualite/2010/11/27/katanga-les-fardc-ripostent-a-une-attaque-des-mai-mai-a-luena-5-morts</vt:lpwstr>
      </vt:variant>
      <vt:variant>
        <vt:lpwstr/>
      </vt:variant>
      <vt:variant>
        <vt:i4>4653136</vt:i4>
      </vt:variant>
      <vt:variant>
        <vt:i4>183</vt:i4>
      </vt:variant>
      <vt:variant>
        <vt:i4>0</vt:i4>
      </vt:variant>
      <vt:variant>
        <vt:i4>5</vt:i4>
      </vt:variant>
      <vt:variant>
        <vt:lpwstr>https://kanyundu.jouwweb.be/realisations</vt:lpwstr>
      </vt:variant>
      <vt:variant>
        <vt:lpwstr/>
      </vt:variant>
      <vt:variant>
        <vt:i4>65619</vt:i4>
      </vt:variant>
      <vt:variant>
        <vt:i4>180</vt:i4>
      </vt:variant>
      <vt:variant>
        <vt:i4>0</vt:i4>
      </vt:variant>
      <vt:variant>
        <vt:i4>5</vt:i4>
      </vt:variant>
      <vt:variant>
        <vt:lpwstr>https://www.unocha.org/publications/report/democratic-republic-congo/dr-congo%E2%80%99s-neglected-%E2%80%9Ctriangle-death%E2%80%9D-challenges-protection</vt:lpwstr>
      </vt:variant>
      <vt:variant>
        <vt:lpwstr/>
      </vt:variant>
      <vt:variant>
        <vt:i4>1900615</vt:i4>
      </vt:variant>
      <vt:variant>
        <vt:i4>177</vt:i4>
      </vt:variant>
      <vt:variant>
        <vt:i4>0</vt:i4>
      </vt:variant>
      <vt:variant>
        <vt:i4>5</vt:i4>
      </vt:variant>
      <vt:variant>
        <vt:lpwstr>https://monusco.unmissions.org/en/news/monusco-welcomes-separation-82-children-mayi-mayi-bakata-katanga-0</vt:lpwstr>
      </vt:variant>
      <vt:variant>
        <vt:lpwstr/>
      </vt:variant>
      <vt:variant>
        <vt:i4>4390934</vt:i4>
      </vt:variant>
      <vt:variant>
        <vt:i4>174</vt:i4>
      </vt:variant>
      <vt:variant>
        <vt:i4>0</vt:i4>
      </vt:variant>
      <vt:variant>
        <vt:i4>5</vt:i4>
      </vt:variant>
      <vt:variant>
        <vt:lpwstr>https://www.npr.org/2024/11/12/nx-s1-5110010-e1/a-rainforest-in-africa-aims-to-reverse-damage-after-years-of-conflict-and-neglect</vt:lpwstr>
      </vt:variant>
      <vt:variant>
        <vt:lpwstr/>
      </vt:variant>
      <vt:variant>
        <vt:i4>1900575</vt:i4>
      </vt:variant>
      <vt:variant>
        <vt:i4>171</vt:i4>
      </vt:variant>
      <vt:variant>
        <vt:i4>0</vt:i4>
      </vt:variant>
      <vt:variant>
        <vt:i4>5</vt:i4>
      </vt:variant>
      <vt:variant>
        <vt:lpwstr>https://ipisresearch.be/publication/mapping-interests-conflict-areas-katanga/</vt:lpwstr>
      </vt:variant>
      <vt:variant>
        <vt:lpwstr/>
      </vt:variant>
      <vt:variant>
        <vt:i4>196703</vt:i4>
      </vt:variant>
      <vt:variant>
        <vt:i4>168</vt:i4>
      </vt:variant>
      <vt:variant>
        <vt:i4>0</vt:i4>
      </vt:variant>
      <vt:variant>
        <vt:i4>5</vt:i4>
      </vt:variant>
      <vt:variant>
        <vt:lpwstr>https://www.hrw.org/fr/news/2006/07/21/rd-congo-les-elections-approchent-limpunite-perdure-au-katanga</vt:lpwstr>
      </vt:variant>
      <vt:variant>
        <vt:lpwstr/>
      </vt:variant>
      <vt:variant>
        <vt:i4>3342459</vt:i4>
      </vt:variant>
      <vt:variant>
        <vt:i4>165</vt:i4>
      </vt:variant>
      <vt:variant>
        <vt:i4>0</vt:i4>
      </vt:variant>
      <vt:variant>
        <vt:i4>5</vt:i4>
      </vt:variant>
      <vt:variant>
        <vt:lpwstr>https://www.hbvl.be/regio/limburg/ik-ben-al-drie-keer-op-de-loop-moeten-gaan/31994038.html</vt:lpwstr>
      </vt:variant>
      <vt:variant>
        <vt:lpwstr/>
      </vt:variant>
      <vt:variant>
        <vt:i4>4194334</vt:i4>
      </vt:variant>
      <vt:variant>
        <vt:i4>162</vt:i4>
      </vt:variant>
      <vt:variant>
        <vt:i4>0</vt:i4>
      </vt:variant>
      <vt:variant>
        <vt:i4>5</vt:i4>
      </vt:variant>
      <vt:variant>
        <vt:lpwstr>https://www.thenewhumanitarian.org/report/58122/drc-peculiar-terror-northern-katanga</vt:lpwstr>
      </vt:variant>
      <vt:variant>
        <vt:lpwstr/>
      </vt:variant>
      <vt:variant>
        <vt:i4>1179719</vt:i4>
      </vt:variant>
      <vt:variant>
        <vt:i4>159</vt:i4>
      </vt:variant>
      <vt:variant>
        <vt:i4>0</vt:i4>
      </vt:variant>
      <vt:variant>
        <vt:i4>5</vt:i4>
      </vt:variant>
      <vt:variant>
        <vt:lpwstr>https://news.mongabay.com/2012/09/conflict-and-perseverance-rehabilitating-a-forgotten-park-in-the-congo/</vt:lpwstr>
      </vt:variant>
      <vt:variant>
        <vt:lpwstr/>
      </vt:variant>
      <vt:variant>
        <vt:i4>7667838</vt:i4>
      </vt:variant>
      <vt:variant>
        <vt:i4>156</vt:i4>
      </vt:variant>
      <vt:variant>
        <vt:i4>0</vt:i4>
      </vt:variant>
      <vt:variant>
        <vt:i4>5</vt:i4>
      </vt:variant>
      <vt:variant>
        <vt:lpwstr>https://news.mongabay.com/2012/07/gang-raids-remote-national-park-in-the-democratic-republic-of-the-congo/</vt:lpwstr>
      </vt:variant>
      <vt:variant>
        <vt:lpwstr/>
      </vt:variant>
      <vt:variant>
        <vt:i4>7602282</vt:i4>
      </vt:variant>
      <vt:variant>
        <vt:i4>153</vt:i4>
      </vt:variant>
      <vt:variant>
        <vt:i4>0</vt:i4>
      </vt:variant>
      <vt:variant>
        <vt:i4>5</vt:i4>
      </vt:variant>
      <vt:variant>
        <vt:lpwstr>https://www.theguardian.com/environment/article/2024/aug/20/drc-wildlife-reserve-upemba</vt:lpwstr>
      </vt:variant>
      <vt:variant>
        <vt:lpwstr/>
      </vt:variant>
      <vt:variant>
        <vt:i4>8323131</vt:i4>
      </vt:variant>
      <vt:variant>
        <vt:i4>150</vt:i4>
      </vt:variant>
      <vt:variant>
        <vt:i4>0</vt:i4>
      </vt:variant>
      <vt:variant>
        <vt:i4>5</vt:i4>
      </vt:variant>
      <vt:variant>
        <vt:lpwstr>https://www.ecoi.net/en/file/local/1095206/1930_1401096604_kantaga-report-2014-final-english-22052014-001.pdf</vt:lpwstr>
      </vt:variant>
      <vt:variant>
        <vt:lpwstr/>
      </vt:variant>
      <vt:variant>
        <vt:i4>7077945</vt:i4>
      </vt:variant>
      <vt:variant>
        <vt:i4>132</vt:i4>
      </vt:variant>
      <vt:variant>
        <vt:i4>0</vt:i4>
      </vt:variant>
      <vt:variant>
        <vt:i4>5</vt:i4>
      </vt:variant>
      <vt:variant>
        <vt:lpwstr>https://doi.org/10.1038/nature25181</vt:lpwstr>
      </vt:variant>
      <vt:variant>
        <vt:lpwstr/>
      </vt:variant>
      <vt:variant>
        <vt:i4>4456542</vt:i4>
      </vt:variant>
      <vt:variant>
        <vt:i4>129</vt:i4>
      </vt:variant>
      <vt:variant>
        <vt:i4>0</vt:i4>
      </vt:variant>
      <vt:variant>
        <vt:i4>5</vt:i4>
      </vt:variant>
      <vt:variant>
        <vt:lpwstr>https://doi.org/10.1016/j.biocon.2018.03.022</vt:lpwstr>
      </vt:variant>
      <vt:variant>
        <vt:lpwstr/>
      </vt:variant>
      <vt:variant>
        <vt:i4>3997811</vt:i4>
      </vt:variant>
      <vt:variant>
        <vt:i4>126</vt:i4>
      </vt:variant>
      <vt:variant>
        <vt:i4>0</vt:i4>
      </vt:variant>
      <vt:variant>
        <vt:i4>5</vt:i4>
      </vt:variant>
      <vt:variant>
        <vt:lpwstr>https://doi.org/10.17265/2328-7136/2019.02.003</vt:lpwstr>
      </vt:variant>
      <vt:variant>
        <vt:lpwstr/>
      </vt:variant>
      <vt:variant>
        <vt:i4>5046345</vt:i4>
      </vt:variant>
      <vt:variant>
        <vt:i4>123</vt:i4>
      </vt:variant>
      <vt:variant>
        <vt:i4>0</vt:i4>
      </vt:variant>
      <vt:variant>
        <vt:i4>5</vt:i4>
      </vt:variant>
      <vt:variant>
        <vt:lpwstr>https://doi.org/10.48550/arXiv.2310.11622</vt:lpwstr>
      </vt:variant>
      <vt:variant>
        <vt:lpwstr/>
      </vt:variant>
      <vt:variant>
        <vt:i4>3080297</vt:i4>
      </vt:variant>
      <vt:variant>
        <vt:i4>120</vt:i4>
      </vt:variant>
      <vt:variant>
        <vt:i4>0</vt:i4>
      </vt:variant>
      <vt:variant>
        <vt:i4>5</vt:i4>
      </vt:variant>
      <vt:variant>
        <vt:lpwstr>https://doi.org/10.5194/soil-7-217-2021</vt:lpwstr>
      </vt:variant>
      <vt:variant>
        <vt:lpwstr/>
      </vt:variant>
      <vt:variant>
        <vt:i4>589895</vt:i4>
      </vt:variant>
      <vt:variant>
        <vt:i4>117</vt:i4>
      </vt:variant>
      <vt:variant>
        <vt:i4>0</vt:i4>
      </vt:variant>
      <vt:variant>
        <vt:i4>5</vt:i4>
      </vt:variant>
      <vt:variant>
        <vt:lpwstr>https://doi.org/10.1080/17538947.2024.2390454</vt:lpwstr>
      </vt:variant>
      <vt:variant>
        <vt:lpwstr/>
      </vt:variant>
      <vt:variant>
        <vt:i4>6881341</vt:i4>
      </vt:variant>
      <vt:variant>
        <vt:i4>114</vt:i4>
      </vt:variant>
      <vt:variant>
        <vt:i4>0</vt:i4>
      </vt:variant>
      <vt:variant>
        <vt:i4>5</vt:i4>
      </vt:variant>
      <vt:variant>
        <vt:lpwstr>https://doi.org/10.1038/nature20584</vt:lpwstr>
      </vt:variant>
      <vt:variant>
        <vt:lpwstr/>
      </vt:variant>
      <vt:variant>
        <vt:i4>6946939</vt:i4>
      </vt:variant>
      <vt:variant>
        <vt:i4>111</vt:i4>
      </vt:variant>
      <vt:variant>
        <vt:i4>0</vt:i4>
      </vt:variant>
      <vt:variant>
        <vt:i4>5</vt:i4>
      </vt:variant>
      <vt:variant>
        <vt:lpwstr>https://doi.org/10.1126/science.1172133</vt:lpwstr>
      </vt:variant>
      <vt:variant>
        <vt:lpwstr/>
      </vt:variant>
      <vt:variant>
        <vt:i4>4849678</vt:i4>
      </vt:variant>
      <vt:variant>
        <vt:i4>108</vt:i4>
      </vt:variant>
      <vt:variant>
        <vt:i4>0</vt:i4>
      </vt:variant>
      <vt:variant>
        <vt:i4>5</vt:i4>
      </vt:variant>
      <vt:variant>
        <vt:lpwstr>https://doi.org/10.1016/j.rse.2014.02.015</vt:lpwstr>
      </vt:variant>
      <vt:variant>
        <vt:lpwstr/>
      </vt:variant>
      <vt:variant>
        <vt:i4>786505</vt:i4>
      </vt:variant>
      <vt:variant>
        <vt:i4>105</vt:i4>
      </vt:variant>
      <vt:variant>
        <vt:i4>0</vt:i4>
      </vt:variant>
      <vt:variant>
        <vt:i4>5</vt:i4>
      </vt:variant>
      <vt:variant>
        <vt:lpwstr>https://doi.org/10.1596/978-0-8213-9742-8</vt:lpwstr>
      </vt:variant>
      <vt:variant>
        <vt:lpwstr/>
      </vt:variant>
      <vt:variant>
        <vt:i4>2424893</vt:i4>
      </vt:variant>
      <vt:variant>
        <vt:i4>102</vt:i4>
      </vt:variant>
      <vt:variant>
        <vt:i4>0</vt:i4>
      </vt:variant>
      <vt:variant>
        <vt:i4>5</vt:i4>
      </vt:variant>
      <vt:variant>
        <vt:lpwstr>https://doi.org/10.1038/s43247-023-01053-4</vt:lpwstr>
      </vt:variant>
      <vt:variant>
        <vt:lpwstr/>
      </vt:variant>
      <vt:variant>
        <vt:i4>3538978</vt:i4>
      </vt:variant>
      <vt:variant>
        <vt:i4>99</vt:i4>
      </vt:variant>
      <vt:variant>
        <vt:i4>0</vt:i4>
      </vt:variant>
      <vt:variant>
        <vt:i4>5</vt:i4>
      </vt:variant>
      <vt:variant>
        <vt:lpwstr>https://doi.org/10.1016/j.geoforum.2016.08.003</vt:lpwstr>
      </vt:variant>
      <vt:variant>
        <vt:lpwstr/>
      </vt:variant>
      <vt:variant>
        <vt:i4>7471158</vt:i4>
      </vt:variant>
      <vt:variant>
        <vt:i4>96</vt:i4>
      </vt:variant>
      <vt:variant>
        <vt:i4>0</vt:i4>
      </vt:variant>
      <vt:variant>
        <vt:i4>5</vt:i4>
      </vt:variant>
      <vt:variant>
        <vt:lpwstr>https://doi.org/10.5281/zenodo.14920706</vt:lpwstr>
      </vt:variant>
      <vt:variant>
        <vt:lpwstr/>
      </vt:variant>
      <vt:variant>
        <vt:i4>262168</vt:i4>
      </vt:variant>
      <vt:variant>
        <vt:i4>93</vt:i4>
      </vt:variant>
      <vt:variant>
        <vt:i4>0</vt:i4>
      </vt:variant>
      <vt:variant>
        <vt:i4>5</vt:i4>
      </vt:variant>
      <vt:variant>
        <vt:lpwstr>https://doi.org/10.1007/s00267-010-9564-5</vt:lpwstr>
      </vt:variant>
      <vt:variant>
        <vt:lpwstr/>
      </vt:variant>
      <vt:variant>
        <vt:i4>7143477</vt:i4>
      </vt:variant>
      <vt:variant>
        <vt:i4>90</vt:i4>
      </vt:variant>
      <vt:variant>
        <vt:i4>0</vt:i4>
      </vt:variant>
      <vt:variant>
        <vt:i4>5</vt:i4>
      </vt:variant>
      <vt:variant>
        <vt:lpwstr>https://doi.org/10.1038/s41597-024-03306-z</vt:lpwstr>
      </vt:variant>
      <vt:variant>
        <vt:lpwstr/>
      </vt:variant>
      <vt:variant>
        <vt:i4>3997820</vt:i4>
      </vt:variant>
      <vt:variant>
        <vt:i4>87</vt:i4>
      </vt:variant>
      <vt:variant>
        <vt:i4>0</vt:i4>
      </vt:variant>
      <vt:variant>
        <vt:i4>5</vt:i4>
      </vt:variant>
      <vt:variant>
        <vt:lpwstr>https://doi.org/10.1126/science.abb0355</vt:lpwstr>
      </vt:variant>
      <vt:variant>
        <vt:lpwstr/>
      </vt:variant>
      <vt:variant>
        <vt:i4>6553698</vt:i4>
      </vt:variant>
      <vt:variant>
        <vt:i4>84</vt:i4>
      </vt:variant>
      <vt:variant>
        <vt:i4>0</vt:i4>
      </vt:variant>
      <vt:variant>
        <vt:i4>5</vt:i4>
      </vt:variant>
      <vt:variant>
        <vt:lpwstr>https://doi.org/10.1111/csp2.12670</vt:lpwstr>
      </vt:variant>
      <vt:variant>
        <vt:lpwstr/>
      </vt:variant>
      <vt:variant>
        <vt:i4>6619263</vt:i4>
      </vt:variant>
      <vt:variant>
        <vt:i4>81</vt:i4>
      </vt:variant>
      <vt:variant>
        <vt:i4>0</vt:i4>
      </vt:variant>
      <vt:variant>
        <vt:i4>5</vt:i4>
      </vt:variant>
      <vt:variant>
        <vt:lpwstr>https://doi.org/10.1126/science.1244693</vt:lpwstr>
      </vt:variant>
      <vt:variant>
        <vt:lpwstr/>
      </vt:variant>
      <vt:variant>
        <vt:i4>2424952</vt:i4>
      </vt:variant>
      <vt:variant>
        <vt:i4>78</vt:i4>
      </vt:variant>
      <vt:variant>
        <vt:i4>0</vt:i4>
      </vt:variant>
      <vt:variant>
        <vt:i4>5</vt:i4>
      </vt:variant>
      <vt:variant>
        <vt:lpwstr>https://earthengine.google.com/</vt:lpwstr>
      </vt:variant>
      <vt:variant>
        <vt:lpwstr/>
      </vt:variant>
      <vt:variant>
        <vt:i4>4390992</vt:i4>
      </vt:variant>
      <vt:variant>
        <vt:i4>75</vt:i4>
      </vt:variant>
      <vt:variant>
        <vt:i4>0</vt:i4>
      </vt:variant>
      <vt:variant>
        <vt:i4>5</vt:i4>
      </vt:variant>
      <vt:variant>
        <vt:lpwstr>https://doi.org/10.1002/ecs2.4053</vt:lpwstr>
      </vt:variant>
      <vt:variant>
        <vt:lpwstr/>
      </vt:variant>
      <vt:variant>
        <vt:i4>589842</vt:i4>
      </vt:variant>
      <vt:variant>
        <vt:i4>72</vt:i4>
      </vt:variant>
      <vt:variant>
        <vt:i4>0</vt:i4>
      </vt:variant>
      <vt:variant>
        <vt:i4>5</vt:i4>
      </vt:variant>
      <vt:variant>
        <vt:lpwstr>https://doi.org/10.2305/IUCN.CH.2022.PARKS-28-1CG.en</vt:lpwstr>
      </vt:variant>
      <vt:variant>
        <vt:lpwstr/>
      </vt:variant>
      <vt:variant>
        <vt:i4>4653131</vt:i4>
      </vt:variant>
      <vt:variant>
        <vt:i4>69</vt:i4>
      </vt:variant>
      <vt:variant>
        <vt:i4>0</vt:i4>
      </vt:variant>
      <vt:variant>
        <vt:i4>5</vt:i4>
      </vt:variant>
      <vt:variant>
        <vt:lpwstr>https://doi.org/10.1016/j.biocon.2023.110434</vt:lpwstr>
      </vt:variant>
      <vt:variant>
        <vt:lpwstr/>
      </vt:variant>
      <vt:variant>
        <vt:i4>1900556</vt:i4>
      </vt:variant>
      <vt:variant>
        <vt:i4>66</vt:i4>
      </vt:variant>
      <vt:variant>
        <vt:i4>0</vt:i4>
      </vt:variant>
      <vt:variant>
        <vt:i4>5</vt:i4>
      </vt:variant>
      <vt:variant>
        <vt:lpwstr>https://doi.org/10.1038/sdata.2015.66</vt:lpwstr>
      </vt:variant>
      <vt:variant>
        <vt:lpwstr/>
      </vt:variant>
      <vt:variant>
        <vt:i4>5636188</vt:i4>
      </vt:variant>
      <vt:variant>
        <vt:i4>63</vt:i4>
      </vt:variant>
      <vt:variant>
        <vt:i4>0</vt:i4>
      </vt:variant>
      <vt:variant>
        <vt:i4>5</vt:i4>
      </vt:variant>
      <vt:variant>
        <vt:lpwstr>https://doi.org/10.1016/j.envsci.2025.104242</vt:lpwstr>
      </vt:variant>
      <vt:variant>
        <vt:lpwstr/>
      </vt:variant>
      <vt:variant>
        <vt:i4>8257599</vt:i4>
      </vt:variant>
      <vt:variant>
        <vt:i4>60</vt:i4>
      </vt:variant>
      <vt:variant>
        <vt:i4>0</vt:i4>
      </vt:variant>
      <vt:variant>
        <vt:i4>5</vt:i4>
      </vt:variant>
      <vt:variant>
        <vt:lpwstr>https://doi.org/10.5270/ESA-c5d3d65</vt:lpwstr>
      </vt:variant>
      <vt:variant>
        <vt:lpwstr/>
      </vt:variant>
      <vt:variant>
        <vt:i4>4653148</vt:i4>
      </vt:variant>
      <vt:variant>
        <vt:i4>57</vt:i4>
      </vt:variant>
      <vt:variant>
        <vt:i4>0</vt:i4>
      </vt:variant>
      <vt:variant>
        <vt:i4>5</vt:i4>
      </vt:variant>
      <vt:variant>
        <vt:lpwstr>https://doi.org/10.1016/j.biocon.2019.01.013</vt:lpwstr>
      </vt:variant>
      <vt:variant>
        <vt:lpwstr/>
      </vt:variant>
      <vt:variant>
        <vt:i4>2687082</vt:i4>
      </vt:variant>
      <vt:variant>
        <vt:i4>54</vt:i4>
      </vt:variant>
      <vt:variant>
        <vt:i4>0</vt:i4>
      </vt:variant>
      <vt:variant>
        <vt:i4>5</vt:i4>
      </vt:variant>
      <vt:variant>
        <vt:lpwstr>https://doi.org/10.1098/rsbl.2007.0010</vt:lpwstr>
      </vt:variant>
      <vt:variant>
        <vt:lpwstr/>
      </vt:variant>
      <vt:variant>
        <vt:i4>6094916</vt:i4>
      </vt:variant>
      <vt:variant>
        <vt:i4>51</vt:i4>
      </vt:variant>
      <vt:variant>
        <vt:i4>0</vt:i4>
      </vt:variant>
      <vt:variant>
        <vt:i4>5</vt:i4>
      </vt:variant>
      <vt:variant>
        <vt:lpwstr>https://doi.org/10.1002/eap.1584</vt:lpwstr>
      </vt:variant>
      <vt:variant>
        <vt:lpwstr/>
      </vt:variant>
      <vt:variant>
        <vt:i4>2424950</vt:i4>
      </vt:variant>
      <vt:variant>
        <vt:i4>48</vt:i4>
      </vt:variant>
      <vt:variant>
        <vt:i4>0</vt:i4>
      </vt:variant>
      <vt:variant>
        <vt:i4>5</vt:i4>
      </vt:variant>
      <vt:variant>
        <vt:lpwstr>https://doi.org/10.1098/rstb.2014.0281</vt:lpwstr>
      </vt:variant>
      <vt:variant>
        <vt:lpwstr/>
      </vt:variant>
      <vt:variant>
        <vt:i4>1376270</vt:i4>
      </vt:variant>
      <vt:variant>
        <vt:i4>45</vt:i4>
      </vt:variant>
      <vt:variant>
        <vt:i4>0</vt:i4>
      </vt:variant>
      <vt:variant>
        <vt:i4>5</vt:i4>
      </vt:variant>
      <vt:variant>
        <vt:lpwstr>https://doi.org/10.5285/58f00d8814064b79a0c49662ad3af537</vt:lpwstr>
      </vt:variant>
      <vt:variant>
        <vt:lpwstr/>
      </vt:variant>
      <vt:variant>
        <vt:i4>5832714</vt:i4>
      </vt:variant>
      <vt:variant>
        <vt:i4>42</vt:i4>
      </vt:variant>
      <vt:variant>
        <vt:i4>0</vt:i4>
      </vt:variant>
      <vt:variant>
        <vt:i4>5</vt:i4>
      </vt:variant>
      <vt:variant>
        <vt:lpwstr>https://doi.org/10.1214/ss/1009213286</vt:lpwstr>
      </vt:variant>
      <vt:variant>
        <vt:lpwstr/>
      </vt:variant>
      <vt:variant>
        <vt:i4>5373956</vt:i4>
      </vt:variant>
      <vt:variant>
        <vt:i4>39</vt:i4>
      </vt:variant>
      <vt:variant>
        <vt:i4>0</vt:i4>
      </vt:variant>
      <vt:variant>
        <vt:i4>5</vt:i4>
      </vt:variant>
      <vt:variant>
        <vt:lpwstr>https://doi.org/10.32614/RJ-2017-066</vt:lpwstr>
      </vt:variant>
      <vt:variant>
        <vt:lpwstr/>
      </vt:variant>
      <vt:variant>
        <vt:i4>3145855</vt:i4>
      </vt:variant>
      <vt:variant>
        <vt:i4>36</vt:i4>
      </vt:variant>
      <vt:variant>
        <vt:i4>0</vt:i4>
      </vt:variant>
      <vt:variant>
        <vt:i4>5</vt:i4>
      </vt:variant>
      <vt:variant>
        <vt:lpwstr>https://doi.org/10.1111/1477-8947.12118</vt:lpwstr>
      </vt:variant>
      <vt:variant>
        <vt:lpwstr/>
      </vt:variant>
      <vt:variant>
        <vt:i4>6094872</vt:i4>
      </vt:variant>
      <vt:variant>
        <vt:i4>33</vt:i4>
      </vt:variant>
      <vt:variant>
        <vt:i4>0</vt:i4>
      </vt:variant>
      <vt:variant>
        <vt:i4>5</vt:i4>
      </vt:variant>
      <vt:variant>
        <vt:lpwstr>https://doi.org/10.1016/j.jenvman.2022.116680</vt:lpwstr>
      </vt:variant>
      <vt:variant>
        <vt:lpwstr/>
      </vt:variant>
      <vt:variant>
        <vt:i4>6160405</vt:i4>
      </vt:variant>
      <vt:variant>
        <vt:i4>30</vt:i4>
      </vt:variant>
      <vt:variant>
        <vt:i4>0</vt:i4>
      </vt:variant>
      <vt:variant>
        <vt:i4>5</vt:i4>
      </vt:variant>
      <vt:variant>
        <vt:lpwstr>https://doi.org/10.1111/j.1466-8238.2010.00568.x</vt:lpwstr>
      </vt:variant>
      <vt:variant>
        <vt:lpwstr/>
      </vt:variant>
      <vt:variant>
        <vt:i4>4915264</vt:i4>
      </vt:variant>
      <vt:variant>
        <vt:i4>27</vt:i4>
      </vt:variant>
      <vt:variant>
        <vt:i4>0</vt:i4>
      </vt:variant>
      <vt:variant>
        <vt:i4>5</vt:i4>
      </vt:variant>
      <vt:variant>
        <vt:lpwstr>https://doi.org/10.1371/journal.pone.0240271</vt:lpwstr>
      </vt:variant>
      <vt:variant>
        <vt:lpwstr/>
      </vt:variant>
      <vt:variant>
        <vt:i4>2883692</vt:i4>
      </vt:variant>
      <vt:variant>
        <vt:i4>24</vt:i4>
      </vt:variant>
      <vt:variant>
        <vt:i4>0</vt:i4>
      </vt:variant>
      <vt:variant>
        <vt:i4>5</vt:i4>
      </vt:variant>
      <vt:variant>
        <vt:lpwstr>https://doi.org/10.1002/0471249688</vt:lpwstr>
      </vt:variant>
      <vt:variant>
        <vt:lpwstr/>
      </vt:variant>
      <vt:variant>
        <vt:i4>2687029</vt:i4>
      </vt:variant>
      <vt:variant>
        <vt:i4>21</vt:i4>
      </vt:variant>
      <vt:variant>
        <vt:i4>0</vt:i4>
      </vt:variant>
      <vt:variant>
        <vt:i4>5</vt:i4>
      </vt:variant>
      <vt:variant>
        <vt:lpwstr>https://doi.org/10.1038/sdata.2017.191</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Weber, Manuel</dc:creator>
  <cp:keywords/>
  <dc:description/>
  <cp:lastModifiedBy>Weber, Manuel</cp:lastModifiedBy>
  <cp:revision>1734</cp:revision>
  <cp:lastPrinted>2026-04-08T23:34:00Z</cp:lastPrinted>
  <dcterms:created xsi:type="dcterms:W3CDTF">2026-02-07T10:18:00Z</dcterms:created>
  <dcterms:modified xsi:type="dcterms:W3CDTF">2026-06-05T11:19:00Z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0x010100CD1282D1D65395498BFDC10766BA048B</vt:lpwstr>
  </property>
  <property fmtid="{D5CDD505-2E9C-101B-9397-08002B2CF9AE}" pid="3" name="GrammarlyDocumentId">
    <vt:lpwstr>7c5f9ca2-7be3-4a9d-b3fe-1490cac2d076</vt:lpwstr>
  </property>
  <property fmtid="{D5CDD505-2E9C-101B-9397-08002B2CF9AE}" pid="4" name="MediaServiceImageTags">
    <vt:lpwstr/>
  </property>
</Properties>
</file>