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axeij4bpnp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Pruebas - Digital Money House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lmxrwfmmg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Análisis del Producto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 Money House es una billetera virtual que permite a los usuarios registrar una cuenta, iniciar sesión y gestionar la seguridad de sus sesiones. El backend del proyecto está desarrollado en Java utilizando Spring Boot, MySQL y Keycloak, proporcionando una estructura modular, segura y extensible.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qe6knbp1j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Diseño de la Estrategia de Pruebas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51ciktxss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 de la Prueba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Sprint 1 se realizarán pruebas específicas sobre el módulo de autenticación USERS, particularmente en los endpoints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/auth/logout</w:t>
      </w:r>
      <w:r w:rsidDel="00000000" w:rsidR="00000000" w:rsidRPr="00000000">
        <w:rPr>
          <w:rtl w:val="0"/>
        </w:rPr>
        <w:t xml:space="preserve">. El objetivo es verificar el correcto funcionamiento del registro de nuevos usuarios, el inicio de sesión de usuarios registrados y el cierre de sesión. No se incluyen pruebas del frontend.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9jge1xza7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 de Prueba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definirán casos de prueba detallados en el archivo Sprint1.xls y se ejecutarán manualmente usando Postman.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ejecución se realizará en dos ciclos independientes y sus resultados se documentarán en la planilla correspondiente del archivo .xls.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casos de prueba serán categorizados en Funcionales y No Funcionales. Los defectos encontrados serán registrados en la planilla BugReport, incluyendo prioridad y relevancia para facilitar la gestión y resolución.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ayru8mwlf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Definición de Objetivos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principales para las pruebas del Sprint 1 incluyen: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el funcionamiento del registro, inicio y cierre de sesión mediante los endpoints especificados.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que cada endpoint devuelva los resultados esperados y los códigos de error correspondientes en caso de fallos.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as9lnw1u6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fj2jwa9nj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Establecer los Criterios de Prueba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z1nrxprnn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Suspensión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caso de que el 50% o más de las pruebas ejecutadas fallen, se suspenderá inmediatamente la ejecución.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k78b9h848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Salida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considerar exitoso este Sprint: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menos el 80% de los casos de prueba ejecutados deben resultar satisfactorios.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pueden existir defectos críticos abiertos.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i47p1b7h9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Planificación de la Configuración del Entorno de Pruebas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 Postman configurando una collection “Sprint 1”.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je08g85jx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Determinación y Estimación del Calendario de Pruebas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Sprint:</w:t>
      </w:r>
      <w:r w:rsidDel="00000000" w:rsidR="00000000" w:rsidRPr="00000000">
        <w:rPr>
          <w:rtl w:val="0"/>
        </w:rPr>
        <w:t xml:space="preserve"> 1/3/2024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del plan de pruebas: 1/3/2024 al 2/3/2024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Ejecución de pruebas manuales: 3/3/2024 al 6/3/2024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Cierre de pruebas del Sprint: 7/3/2024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 del Sprint:</w:t>
      </w:r>
      <w:r w:rsidDel="00000000" w:rsidR="00000000" w:rsidRPr="00000000">
        <w:rPr>
          <w:rtl w:val="0"/>
        </w:rPr>
        <w:t xml:space="preserve"> 7/3/2024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