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pdoc38qf4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Exploratorio - Sprint 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qaqvwnsxo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un test exploratorio sobre las funcionalidades implementadas en el Sprint 4, específicamente en la gestión de transferencias y consultas relacionadas.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vy0vil5qe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Organización del Test Exploratorio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t0a2bnt2s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Sesiones de Testing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llevó a cabo una sesión exploratoria enfocada en: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 de últimos destinatarios de transferencias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Ejecución de transferencias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sesión tuvo una duración aproximada de 25 minutos, buscando principalmente comportamientos no previstos y errores en la interacción con los endpoints.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xxx4dw6i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Tours y Escenarios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8ea6roljn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Consulta de Destinatarios: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Consulta exitosa de últimos destinatarios.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Consulta realizada con usuarios sin los permisos adecuados.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f92mivpvf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Ejecución de Transferencias: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Transferencia exitosa a cuentas válidas.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Intento de transferencia a cuenta inexistente o con fondos insuficientes.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7wsy7bh5v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Workflow 1: Consulta rápida de destinatarios frecuentes y posterior transferencia.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2: Intento de transferencia a destinatario inválido o inexistente.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3: Transferencia con saldo insuficiente y verificación de mensajes y manejo adecuado de errores.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23wiolchz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Notas y Hallazgos Relevantes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consulta de destinatarios recientes funciona correctamente, gestionando bien los permisos.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transferencias exitosas se procesan correctamente, reflejándose adecuadamente en los registros.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manejo de errores en transferencias (cuenta inexistente o fondos insuficientes) es claro y preciso, con mensajes informativos adecuados.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recomienda mantener monitoreo constante sobre estos escenarios para asegurar estabilidad y confiabilidad en las operaciones críticas de transferencia.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