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Índice de estado y próximos pasos</w:t>
      </w:r>
    </w:p>
    <w:p>
      <w:pPr>
        <w:spacing w:after="300"/>
      </w:pPr>
      <w:r>
        <w:rPr>
          <w:i/>
          <w:iCs/>
          <w:color w:val="555555"/>
        </w:rPr>
        <w:t xml:space="preserve">Legal Case Management — fotografía del proyecto a 2026-08-08, para saber qué falta y en qué orden</w:t>
      </w:r>
    </w:p>
    <w:p>
      <w:pPr>
        <w:spacing w:after="160"/>
      </w:pPr>
      <w:r>
        <w:t xml:space="preserve">Este documento combina el estado real del repositorio (confirmado por Manuel y por revisión de código) con el orden de tareas de guia_construccion_completa.docx (cerrada) y plan_maestro_actualizado.docx (siguiente). No sustituye a ninguno de los dos — es un índice de control para no perder de vista qué está hecho, qué merece una verificación rápida antes de seguir, y qué toca ahora, en orden.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1"/>
        <w:spacing w:after="160" w:before="360"/>
      </w:pPr>
      <w:r>
        <w:t xml:space="preserve">Confirmado completado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/>
      </w:r>
      <w:r>
        <w:t xml:space="preserve">Guía completa (Pasos 0 a 7)</w:t>
      </w:r>
      <w:r>
        <w:rPr>
          <w:i/>
          <w:iCs/>
          <w:color w:val="555555"/>
        </w:rPr>
        <w:t xml:space="preserve"> — JWT+claim de tenant, RLS con FORCE, convención snake_case, proyectos Contracts/Worker/Domain.Tests/Api.IntegrationTests, migración única con todas las tablas de dominio + IA + auditoría, CRUD por entidad visible en Swagger, verificación extremo a extremo con dos tenants — cerrado 2026-08-08.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D.0-D.2. </w:t>
      </w:r>
      <w:r>
        <w:t xml:space="preserve">Modelo de dominio ampliado</w:t>
      </w:r>
      <w:r>
        <w:rPr>
          <w:i/>
          <w:iCs/>
          <w:color w:val="555555"/>
        </w:rPr>
        <w:t xml:space="preserve"> — Cliente, ParteContraria, Materia, Plazo, ProvisionDeFondos, Factura, DocumentoAdjunto ampliada — construidos dentro de la migración única de la guía.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IA.0. </w:t>
      </w:r>
      <w:r>
        <w:t xml:space="preserve">pgvector habilitado</w:t>
      </w:r>
      <w:r>
        <w:rPr>
          <w:i/>
          <w:iCs/>
          <w:color w:val="555555"/>
        </w:rPr>
        <w:t xml:space="preserve"> — cubierto por la misma migración única de la guía; no hace falta repetirlo por separado.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IA.1. </w:t>
      </w:r>
      <w:r>
        <w:t xml:space="preserve">Tabla FragmentoDocumento + estado de procesamiento</w:t>
      </w:r>
      <w:r>
        <w:rPr>
          <w:i/>
          <w:iCs/>
          <w:color w:val="555555"/>
        </w:rPr>
        <w:t xml:space="preserve"> — cubierto por la misma migración única de la guía.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C.0. </w:t>
      </w:r>
      <w:r>
        <w:t xml:space="preserve">AuditLog con hash encadenado</w:t>
      </w:r>
      <w:r>
        <w:rPr>
          <w:i/>
          <w:iCs/>
          <w:color w:val="555555"/>
        </w:rPr>
        <w:t xml:space="preserve"> — cubierto en la guía (Paso 4/6), no en plan_maestro_actualizado.docx — no se repite.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1.1-1.3. </w:t>
      </w:r>
      <w:r>
        <w:t xml:space="preserve">MassTransit contra RabbitMQ</w:t>
      </w:r>
      <w:r>
        <w:rPr>
          <w:i/>
          <w:iCs/>
          <w:color w:val="555555"/>
        </w:rPr>
        <w:t xml:space="preserve"> — confirmado por código real: Worker/Program.cs configura MassTransit+RabbitMQ, DocumentoSubidoConsumer ya consume eventos.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2.1-2.4. </w:t>
      </w:r>
      <w:r>
        <w:t xml:space="preserve">Almacenamiento MinIO/S3</w:t>
      </w:r>
      <w:r>
        <w:rPr>
          <w:i/>
          <w:iCs/>
          <w:color w:val="555555"/>
        </w:rPr>
        <w:t xml:space="preserve"> — confirmado por código real: IDocumentStorage, AddDocumentStorage ya registrados y en uso.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IA.2 (primera versión). </w:t>
      </w:r>
      <w:r>
        <w:t xml:space="preserve">Pipeline asíncrono de ingesta</w:t>
      </w:r>
      <w:r>
        <w:rPr>
          <w:i/>
          <w:iCs/>
          <w:color w:val="555555"/>
        </w:rPr>
        <w:t xml:space="preserve"> — OcrClient.cs llama al microservicio de OCR, el consumer trocea y genera embeddings agrupados en una sola llamada (OpenAiEmbeddingClient.cs) — el flujo de extremo a extremo ya funciona.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IA.2 (verificado). </w:t>
      </w:r>
      <w:r>
        <w:t xml:space="preserve">Motor de OCR confirmado: PaddleOCR + PP-OCRv5</w:t>
      </w:r>
      <w:r>
        <w:rPr>
          <w:i/>
          <w:iCs/>
          <w:color w:val="555555"/>
        </w:rPr>
        <w:t xml:space="preserve"> — confirmado leyendo services/ocr-paddle/main.py (text_detection_model_name / text_recognition_model_name = PP-OCRv5_server, no Tesseract) — verificado 2026-08-09, sin ajustes pendientes antes de IA.2c.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3.3. </w:t>
      </w:r>
      <w:r>
        <w:t xml:space="preserve">Rol legalcase_app creado y en uso</w:t>
      </w:r>
      <w:r>
        <w:rPr>
          <w:i/>
          <w:iCs/>
          <w:color w:val="555555"/>
        </w:rPr>
        <w:t xml:space="preserve"> — confirmado contra la base de datos real: rolsuper=false, rolbypassrls=false, GRANTs aplicados (incl. audit_logs limitado a SELECT+INSERT) — verificado 2026-08-09.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IA.2b. </w:t>
      </w:r>
      <w:r>
        <w:t xml:space="preserve">Foliado automático (Bates) y clasificación de documentos</w:t>
      </w:r>
      <w:r>
        <w:rPr>
          <w:i/>
          <w:iCs/>
          <w:color w:val="555555"/>
        </w:rPr>
        <w:t xml:space="preserve"> — foliado con PDFsharp en el Worker .NET; clasificación con spaCy en un microservicio nuevo y separado (doc-classifier), para no bloquear /ocr — verificado end-to-end 2026-08-09: folios continuos sin solapar, sello visible en el PDF, clasificación correcta en factura/contrato de prueba.</w:t>
      </w:r>
    </w:p>
    <w:p>
      <w:pPr>
        <w:pBdr>
          <w:bottom w:val="single" w:color="CCCCCC" w:sz="6" w:space="4"/>
        </w:pBdr>
        <w:spacing w:after="200" w:before="100"/>
      </w:pP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1"/>
        <w:spacing w:after="160" w:before="360"/>
      </w:pPr>
      <w:r>
        <w:t xml:space="preserve">Siguiente — orden recomendado</w:t>
      </w:r>
    </w:p>
    <w:p>
      <w:pPr>
        <w:spacing w:after="160"/>
      </w:pPr>
      <w:r>
        <w:t xml:space="preserve">A partir de aquí, ninguna de estas tareas tiene código escrito todavía (confirmado): se implementan de cero, ya con la especificación actual de cada una.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IA.2c. </w:t>
      </w:r>
      <w:r>
        <w:t xml:space="preserve">Optimización de OCR sin GPU</w:t>
      </w:r>
      <w:r>
        <w:rPr>
          <w:i/>
          <w:iCs/>
          <w:color w:val="555555"/>
        </w:rPr>
        <w:t xml:space="preserve"> — híbrido mobile/server por confianza, confianza_ocr, paralelismo interno del microservicio, prueba sintética de 500pg Y prueba obligatoria con un expediente real.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IA.3. </w:t>
      </w:r>
      <w:r>
        <w:t xml:space="preserve">Extracción de entidades con spaCy</w:t>
      </w:r>
      <w:r>
        <w:rPr>
          <w:i/>
          <w:iCs/>
          <w:color w:val="555555"/>
        </w:rPr>
        <w:t xml:space="preserve"> — sin LLM — es_core_news_lg/es_dep_news_trf, más regex para importes.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IA.4. </w:t>
      </w:r>
      <w:r>
        <w:t xml:space="preserve">Cronología con descripción extractiva</w:t>
      </w:r>
      <w:r>
        <w:rPr>
          <w:i/>
          <w:iCs/>
          <w:color w:val="555555"/>
        </w:rPr>
        <w:t xml:space="preserve"> — sin LLM — segmentador de frases de spaCy sobre el fragmento de origen.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IA.5. </w:t>
      </w:r>
      <w:r>
        <w:t xml:space="preserve">Chat con citas</w:t>
      </w:r>
      <w:r>
        <w:rPr>
          <w:i/>
          <w:iCs/>
          <w:color w:val="555555"/>
        </w:rPr>
        <w:t xml:space="preserve"> — la única de las tres que sí usa LLM de pago — fijar OpenAI GPT-4o-mini o Claude Haiku 4.5.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E.1. </w:t>
      </w:r>
      <w:r>
        <w:t xml:space="preserve">PDF/A y división por tamaño para LexNET</w:t>
      </w:r>
      <w:r>
        <w:rPr>
          <w:i/>
          <w:iCs/>
          <w:color w:val="555555"/>
        </w:rPr>
        <w:t xml:space="preserve"> — LibreOffice headless + límites configurables (15/100 MB).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E.2. </w:t>
      </w:r>
      <w:r>
        <w:t xml:space="preserve">Firma electrónica — investigación, no código</w:t>
      </w:r>
      <w:r>
        <w:rPr>
          <w:i/>
          <w:iCs/>
          <w:color w:val="555555"/>
        </w:rPr>
        <w:t xml:space="preserve"> — decidir proveedor externo vs. firma fuera de la plataforma en v1.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C.1. </w:t>
      </w:r>
      <w:r>
        <w:t xml:space="preserve">Endpoints RGPD del interesado</w:t>
      </w:r>
      <w:r>
        <w:rPr>
          <w:i/>
          <w:iCs/>
          <w:color w:val="555555"/>
        </w:rPr>
        <w:t xml:space="preserve"> — exportar, rectificar, solicitar supresión.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C.2. </w:t>
      </w:r>
      <w:r>
        <w:t xml:space="preserve">Política de retención y purga</w:t>
      </w:r>
      <w:r>
        <w:rPr>
          <w:i/>
          <w:iCs/>
          <w:color w:val="555555"/>
        </w:rPr>
        <w:t xml:space="preserve"> — plazos diferenciados por tipo de dato, confirmar plazo fiscal exacto con un asesor.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C.3. </w:t>
      </w:r>
      <w:r>
        <w:t xml:space="preserve">Verificación de integridad del audit log</w:t>
      </w:r>
      <w:r>
        <w:rPr>
          <w:i/>
          <w:iCs/>
          <w:color w:val="555555"/>
        </w:rPr>
        <w:t xml:space="preserve"> — informe legible por un abogado o auditor externo, no solo por un desarrollador.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3.1. </w:t>
      </w:r>
      <w:r>
        <w:t xml:space="preserve">Login real sustituyendo dev-token</w:t>
      </w:r>
      <w:r>
        <w:rPr>
          <w:i/>
          <w:iCs/>
          <w:color w:val="555555"/>
        </w:rPr>
        <w:t xml:space="preserve"> — usuario y contraseña.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4.1. </w:t>
      </w:r>
      <w:r>
        <w:t xml:space="preserve">Transiciones de estado válidas de Expediente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4.2. </w:t>
      </w:r>
      <w:r>
        <w:t xml:space="preserve">Historial de cambios de expediente</w:t>
      </w:r>
      <w:r>
        <w:rPr>
          <w:i/>
          <w:iCs/>
          <w:color w:val="555555"/>
        </w:rPr>
        <w:t xml:space="preserve"> — comparte línea de tiempo con EventoCronologia de IA.4.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5.1. </w:t>
      </w:r>
      <w:r>
        <w:t xml:space="preserve">Tests unitarios de dominio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5.2. </w:t>
      </w:r>
      <w:r>
        <w:t xml:space="preserve">Tests de integración multi-tenant</w:t>
      </w:r>
      <w:r>
        <w:rPr>
          <w:i/>
          <w:iCs/>
          <w:color w:val="555555"/>
        </w:rPr>
        <w:t xml:space="preserve"> — Testcontainers.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P.1. </w:t>
      </w:r>
      <w:r>
        <w:t xml:space="preserve">Arquitectura de despliegue del MVP</w:t>
      </w:r>
      <w:r>
        <w:rPr>
          <w:i/>
          <w:iCs/>
          <w:color w:val="555555"/>
        </w:rPr>
        <w:t xml:space="preserve"> — un servidor en la UE, HTTPS automático, backups con restauración probada.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7.1. </w:t>
      </w:r>
      <w:r>
        <w:t xml:space="preserve">Dockerfile de la Api y build reproducible</w:t>
      </w:r>
      <w:r>
        <w:rPr>
          <w:i/>
          <w:iCs/>
          <w:color w:val="555555"/>
        </w:rPr>
        <w:t xml:space="preserve"> — coordinar con P.1, no como pieza suelta.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P.2. </w:t>
      </w:r>
      <w:r>
        <w:t xml:space="preserve">Piloto con despachos reales</w:t>
      </w:r>
      <w:r>
        <w:rPr>
          <w:i/>
          <w:iCs/>
          <w:color w:val="555555"/>
        </w:rPr>
        <w:t xml:space="preserve"> — gestión de Manuel, no de código — puede arrancar ya, en paralelo con todo lo anterior.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1"/>
        <w:spacing w:after="160" w:before="360"/>
      </w:pPr>
      <w:r>
        <w:t xml:space="preserve">Pista en paralelo: Fase 6 (frontend)</w:t>
      </w:r>
    </w:p>
    <w:p>
      <w:pPr>
        <w:spacing w:after="160"/>
      </w:pPr>
      <w:r>
        <w:t xml:space="preserve">No es una fase que espere al final — puede avanzar en paralelo con la lista de arriba, por partes:</w:t>
      </w:r>
    </w:p>
    <w:p>
      <w:pPr>
        <w:spacing w:after="100"/>
      </w:pPr>
      <w:r>
        <w:rPr>
          <w:b/>
          <w:bCs/>
          <w:color w:val="2E7D32"/>
        </w:rPr>
        <w:t xml:space="preserve">[HECHO] </w:t>
      </w:r>
      <w:r>
        <w:rPr>
          <w:b/>
          <w:bCs/>
        </w:rPr>
        <w:t xml:space="preserve">6.0-6.4. </w:t>
      </w:r>
      <w:r>
        <w:t xml:space="preserve">Sistema de diseño, layout, dashboard, ficha de expediente</w:t>
      </w:r>
      <w:r>
        <w:rPr>
          <w:i/>
          <w:iCs/>
          <w:color w:val="555555"/>
        </w:rPr>
        <w:t xml:space="preserve"> — pueden empezar YA: solo necesitan el CRUD de la guía, que ya existe.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6.5-6.7. </w:t>
      </w:r>
      <w:r>
        <w:t xml:space="preserve">Documentos/foliado, cronología/chat, revisión de entidades</w:t>
      </w:r>
      <w:r>
        <w:rPr>
          <w:i/>
          <w:iCs/>
          <w:color w:val="555555"/>
        </w:rPr>
        <w:t xml:space="preserve"> — necesitan que IA.2b, IA.2c, IA.3, IA.4 e IA.5 estén hechas.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6.8. </w:t>
      </w:r>
      <w:r>
        <w:t xml:space="preserve">Clientes + acciones RGPD</w:t>
      </w:r>
      <w:r>
        <w:rPr>
          <w:i/>
          <w:iCs/>
          <w:color w:val="555555"/>
        </w:rPr>
        <w:t xml:space="preserve"> — necesita C.1.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6.9. </w:t>
      </w:r>
      <w:r>
        <w:t xml:space="preserve">Auditoría (solo Administrador)</w:t>
      </w:r>
      <w:r>
        <w:rPr>
          <w:i/>
          <w:iCs/>
          <w:color w:val="555555"/>
        </w:rPr>
        <w:t xml:space="preserve"> — necesita C.3.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1"/>
        <w:spacing w:after="160" w:before="360"/>
      </w:pPr>
      <w:r>
        <w:t xml:space="preserve">Después</w:t>
      </w:r>
    </w:p>
    <w:p>
      <w:pPr>
        <w:spacing w:after="100"/>
      </w:pPr>
      <w:r>
        <w:rPr>
          <w:b/>
          <w:bCs/>
          <w:color w:val="1B3A5C"/>
        </w:rPr>
        <w:t xml:space="preserve">[ ] </w:t>
      </w:r>
      <w:r>
        <w:rPr>
          <w:b/>
          <w:bCs/>
        </w:rPr>
        <w:t xml:space="preserve">Fase 8. </w:t>
      </w:r>
      <w:r>
        <w:t xml:space="preserve">Post-MVP</w:t>
      </w:r>
      <w:r>
        <w:rPr>
          <w:i/>
          <w:iCs/>
          <w:color w:val="555555"/>
        </w:rPr>
        <w:t xml:space="preserve"> — deliberadamente sin definir todavía — se retoma tras validar con el despacho piloto de P.2, no antes.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2026-08-08T09:49:49.174Z</dcterms:created>
  <dcterms:modified xsi:type="dcterms:W3CDTF">2026-08-08T09:49:49.174Z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