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left"/>
      </w:pPr>
      <w:r>
        <w:t xml:space="preserve">Plan de desarrollo secuencial</w:t>
      </w:r>
    </w:p>
    <w:p>
      <w:pPr>
        <w:spacing w:after="300"/>
      </w:pPr>
      <w:r>
        <w:rPr>
          <w:i/>
          <w:iCs/>
          <w:color w:val="555555"/>
        </w:rPr>
        <w:t xml:space="preserve">Legal Case Management — julio 2026</w:t>
      </w:r>
    </w:p>
    <w:p>
      <w:pPr>
        <w:pStyle w:val="Heading1"/>
        <w:spacing w:after="160" w:before="360"/>
      </w:pPr>
      <w:r>
        <w:t xml:space="preserve">Cómo usar este documento</w:t>
      </w:r>
    </w:p>
    <w:p>
      <w:pPr>
        <w:spacing w:after="160"/>
      </w:pPr>
      <w:r>
        <w:t xml:space="preserve">Este plan continúa desde el estado actual del proyecto: el scaffold inicial (Domain/Infrastructure/Api, multi-tenancy con filtro de EF Core) más la autenticación JWT y la Row-Level Security de Postgres, ya implementadas. Cada tarea está pensada para completarse en un tramo de trabajo razonable dado el ritmo de dedicación del proyecto (10-15 horas semanales), y para ejecutarse en orden: cada fase da por hecho que la anterior está terminada y funcionando.</w:t>
      </w:r>
    </w:p>
    <w:p>
      <w:pPr>
        <w:spacing w:after="160"/>
      </w:pPr>
      <w:r>
        <w:t xml:space="preserve">Cada tarea incluye un bloque "Prompt para el agente": es texto pensado para pegar directamente en Claude Code (u otro agente) dentro de VS Code, con el repositorio del proyecto abierto como carpeta de trabajo. El agente necesita ver el código real para ejecutar bien la tarea, así que conviene pegar el prompt de una tarea cada vez, revisar el resultado (leer el diff, compilar, probar) y pasar a la siguiente solo cuando la anterior esté verificada.</w:t>
      </w:r>
    </w:p>
    <w:p>
      <w:pPr>
        <w:spacing w:after="160"/>
      </w:pPr>
      <w:r>
        <w:t xml:space="preserve">Las fases 0 a 6 son ya trabajo de ingeniería directo, con stack y tareas decididos (la Fase 6 se cerró el 2026-08-04: Blazor Server + MudBlazor). La Fase 7 (despliegue) también está detallada. Solo la Fase 8 depende todavía de una decisión de negocio (qué despacho piloto, qué prioridades post-MVP) y se detalla menos a propósito: conviene decidirla con el despacho piloto real ya usando el sistema, no antes.</w:t>
      </w:r>
    </w:p>
    <w:p>
      <w:pPr>
        <w:pBdr>
          <w:bottom w:val="single" w:color="CCCCCC" w:sz="6" w:space="4"/>
        </w:pBdr>
        <w:spacing w:after="200" w:before="100"/>
      </w:pPr>
    </w:p>
    <w:p>
      <w:pPr>
        <w:pStyle w:val="Heading1"/>
        <w:spacing w:after="160" w:before="360"/>
      </w:pPr>
      <w:r>
        <w:t xml:space="preserve">Fase 0 — Verificar el trabajo ya hecho (JWT + RLS)</w:t>
      </w:r>
    </w:p>
    <w:p>
      <w:pPr>
        <w:spacing w:after="160"/>
      </w:pPr>
      <w:r>
        <w:t xml:space="preserve">Antes de seguir construyendo encima, hay que confirmar que la autenticación JWT y la Row-Level Security añadidas recientemente compilan y funcionan de verdad contra una base de datos real. Este código se escribió sin poder ejecutar dotnet ni Postgres, así que es el primer punto de fallo posible.</w:t>
      </w:r>
    </w:p>
    <w:p>
      <w:pPr>
        <w:pStyle w:val="Heading3"/>
        <w:spacing w:after="80" w:before="220"/>
      </w:pPr>
      <w:r>
        <w:t xml:space="preserve">0.1. Compilar y arrancar el proyecto</w:t>
      </w:r>
    </w:p>
    <w:p>
      <w:pPr>
        <w:spacing w:after="80"/>
      </w:pPr>
      <w:r>
        <w:rPr>
          <w:b/>
          <w:bCs/>
        </w:rPr>
        <w:t xml:space="preserve">Por qué: </w:t>
      </w:r>
      <w:r>
        <w:t xml:space="preserve">El código de JwtTenantProvider, TenantSessionInterceptor y los endpoints protegidos no se ha compilado nunca en un entorno real con SDK de .NET.</w:t>
      </w:r>
    </w:p>
    <w:p>
      <w:pPr>
        <w:spacing w:after="80"/>
      </w:pPr>
      <w:r>
        <w:rPr>
          <w:b/>
          <w:bCs/>
        </w:rPr>
        <w:t xml:space="preserve">Alcance: </w:t>
      </w:r>
      <w:r>
        <w:t xml:space="preserve">Ejecutar dotnet restore y dotnet build sobre toda la solución; arrancar la Api con dotnet run y confirmar que Swagger carga sin errores.</w:t>
      </w:r>
    </w:p>
    <w:p>
      <w:pPr>
        <w:spacing w:after="80"/>
      </w:pPr>
      <w:r>
        <w:rPr>
          <w:b/>
          <w:bCs/>
        </w:rPr>
        <w:t xml:space="preserve">Criterio de terminado: </w:t>
      </w:r>
      <w:r>
        <w:t xml:space="preserve">El build no tiene errores ni warnings nuevos, y GET /api/expedientes sin token devuelve 401 (antes devolvía datos sin restricción).</w:t>
      </w:r>
    </w:p>
    <w:p>
      <w:pPr>
        <w:pBdr>
          <w:left w:val="single" w:color="999999" w:sz="12" w:space="8"/>
        </w:pBdr>
        <w:spacing w:after="240" w:before="60"/>
        <w:ind w:left="431"/>
      </w:pPr>
      <w:r>
        <w:rPr>
          <w:b/>
          <w:bCs/>
          <w:i/>
          <w:iCs/>
          <w:color w:val="444444"/>
        </w:rPr>
        <w:t xml:space="preserve">Prompt para el agente: </w:t>
      </w:r>
      <w:r>
        <w:rPr>
          <w:i/>
          <w:iCs/>
          <w:color w:val="444444"/>
        </w:rPr>
        <w:t xml:space="preserve">Ejecuta `dotnet restore` y `dotnet build` sobre la solución completa en legal-case-management. Si hay errores de compilación relacionados con JwtTenantProvider, TenantSessionInterceptor, DevTokenEndpoints o el Program.cs de Api, corrígelos manteniendo el diseño (JWT con claim tenant_id, interceptor que fija app.tenant_id por conexión). Después arranca la Api con `dotnet run --project src/Api` y confirma que Swagger carga y que GET /api/expedientes sin cabecera Authorization devuelve 401. Repórtame qué cambiaste y por qué.</w:t>
      </w:r>
    </w:p>
    <w:p>
      <w:pPr>
        <w:pStyle w:val="Heading3"/>
        <w:spacing w:after="80" w:before="220"/>
      </w:pPr>
      <w:r>
        <w:t xml:space="preserve">0.2. Aplicar la Row-Level Security y probar el aislamiento con dos tenants</w:t>
      </w:r>
    </w:p>
    <w:p>
      <w:pPr>
        <w:spacing w:after="80"/>
      </w:pPr>
      <w:r>
        <w:rPr>
          <w:b/>
          <w:bCs/>
        </w:rPr>
        <w:t xml:space="preserve">Por qué: </w:t>
      </w:r>
      <w:r>
        <w:t xml:space="preserve">La policy de RLS está escrita pero no se ha aplicado nunca contra una base de datos real, y el aislamiento multi-tenant es el requisito de diseño más crítico del proyecto (secreto profesional, RGPD).</w:t>
      </w:r>
    </w:p>
    <w:p>
      <w:pPr>
        <w:spacing w:after="80"/>
      </w:pPr>
      <w:r>
        <w:rPr>
          <w:b/>
          <w:bCs/>
        </w:rPr>
        <w:t xml:space="preserve">Alcance: </w:t>
      </w:r>
      <w:r>
        <w:t xml:space="preserve">Levantar Postgres con docker compose, aplicar src/Infrastructure/Persistence/Sql/001_enable_row_level_security.sql (a mano o como migración EF Core), crear dos tenants de prueba, pedir un dev-token para cada uno, crear un expediente con cada token y confirmar que un tenant no ve los expedientes del otro ni por la API ni por consulta SQL directa.</w:t>
      </w:r>
    </w:p>
    <w:p>
      <w:pPr>
        <w:spacing w:after="80"/>
      </w:pPr>
      <w:r>
        <w:rPr>
          <w:b/>
          <w:bCs/>
        </w:rPr>
        <w:t xml:space="preserve">Criterio de terminado: </w:t>
      </w:r>
      <w:r>
        <w:t xml:space="preserve">Existe un caso de prueba (script, curl, o test) reproducible que demuestra el aislamiento entre dos tenants a nivel de API y a nivel de SQL directo.</w:t>
      </w:r>
    </w:p>
    <w:p>
      <w:pPr>
        <w:pBdr>
          <w:left w:val="single" w:color="999999" w:sz="12" w:space="8"/>
        </w:pBdr>
        <w:spacing w:after="240" w:before="60"/>
        <w:ind w:left="431"/>
      </w:pPr>
      <w:r>
        <w:rPr>
          <w:b/>
          <w:bCs/>
          <w:i/>
          <w:iCs/>
          <w:color w:val="444444"/>
        </w:rPr>
        <w:t xml:space="preserve">Prompt para el agente: </w:t>
      </w:r>
      <w:r>
        <w:rPr>
          <w:i/>
          <w:iCs/>
          <w:color w:val="444444"/>
        </w:rPr>
        <w:t xml:space="preserve">Levanta el docker-compose de Postgres, aplica el script src/Infrastructure/Persistence/Sql/001_enable_row_level_security.sql contra la base de datos de desarrollo (o conviértelo en una migración EF Core con `dotnet ef migrations add EnableRowLevelSecurity`). Después crea dos tenants de prueba en la tabla tenants, pide un token con POST /api/auth/dev-token para cada uno, crea un expediente con cada token vía POST /api/expedientes, y demuestra con curl que GET /api/expedientes con el token del tenant A solo devuelve expedientes del tenant A. Adicionalmente, conéctate con psql usando el mismo rol de la app y confirma que un SELECT sin haber fijado app.tenant_id no devuelve ninguna fila. Deja un script o test reproducible con estos pasos, no solo el resultado manual.</w:t>
      </w:r>
    </w:p>
    <w:p>
      <w:pPr>
        <w:pBdr>
          <w:bottom w:val="single" w:color="CCCCCC" w:sz="6" w:space="4"/>
        </w:pBdr>
        <w:spacing w:after="200" w:before="100"/>
      </w:pPr>
    </w:p>
    <w:p>
      <w:pPr>
        <w:pStyle w:val="Heading1"/>
        <w:spacing w:after="160" w:before="360"/>
      </w:pPr>
      <w:r>
        <w:t xml:space="preserve">Fase 1 — Mensajería asíncrona (RabbitMQ + MassTransit)</w:t>
      </w:r>
    </w:p>
    <w:p>
      <w:pPr>
        <w:spacing w:after="160"/>
      </w:pPr>
      <w:r>
        <w:t xml:space="preserve">Según el documento de contexto, el código debe hablar contra una interfaz de "message bus" vía MassTransit y no directamente contra RabbitMQ, para que cambiar de broker (o añadir Kafka más adelante para tenants grandes) sea una decisión de despliegue y no una reescritura. RabbitMQ ya está en el docker-compose; falta la capa de aplicación.</w:t>
      </w:r>
    </w:p>
    <w:p>
      <w:pPr>
        <w:pStyle w:val="Heading3"/>
        <w:spacing w:after="80" w:before="220"/>
      </w:pPr>
      <w:r>
        <w:t xml:space="preserve">1.1. Integrar MassTransit contra RabbitMQ</w:t>
      </w:r>
    </w:p>
    <w:p>
      <w:pPr>
        <w:spacing w:after="80"/>
      </w:pPr>
      <w:r>
        <w:rPr>
          <w:b/>
          <w:bCs/>
        </w:rPr>
        <w:t xml:space="preserve">Por qué: </w:t>
      </w:r>
      <w:r>
        <w:t xml:space="preserve">Es la pieza base de la que dependen notificaciones, generación de documentos y auditoría asíncrona mencionadas en el documento de contexto.</w:t>
      </w:r>
    </w:p>
    <w:p>
      <w:pPr>
        <w:spacing w:after="80"/>
      </w:pPr>
      <w:r>
        <w:rPr>
          <w:b/>
          <w:bCs/>
        </w:rPr>
        <w:t xml:space="preserve">Alcance: </w:t>
      </w:r>
      <w:r>
        <w:t xml:space="preserve">Añadir el paquete MassTransit (y MassTransit.RabbitMQ) al proyecto Api o a un nuevo proyecto Infrastructure.Messaging; configurar la conexión contra el RabbitMQ del docker-compose; registrar MassTransit en Program.cs.</w:t>
      </w:r>
    </w:p>
    <w:p>
      <w:pPr>
        <w:spacing w:after="80"/>
      </w:pPr>
      <w:r>
        <w:rPr>
          <w:b/>
          <w:bCs/>
        </w:rPr>
        <w:t xml:space="preserve">Criterio de terminado: </w:t>
      </w:r>
      <w:r>
        <w:t xml:space="preserve">La aplicación arranca con MassTransit configurado y se puede ver la conexión activa en el panel de administración de RabbitMQ (http://localhost:15672).</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el paquete MassTransit y MassTransit.RabbitMQ al proyecto Api (o crea un proyecto nuevo Infrastructure.Messaging si prefieres separar la capa de mensajería del resto de Infrastructure). Configura MassTransit en Program.cs para usar RabbitMQ contra el host y credenciales del docker-compose.yml existente. Verifica que la aplicación arranca sin errores y que la conexión aparece activa en el panel de administración de RabbitMQ en http://localhost:15672. No definas todavía ningún evento ni consumer, solo la infraestructura de conexión.</w:t>
      </w:r>
    </w:p>
    <w:p>
      <w:pPr>
        <w:pStyle w:val="Heading3"/>
        <w:spacing w:after="80" w:before="220"/>
      </w:pPr>
      <w:r>
        <w:t xml:space="preserve">1.2. Publicar el evento ExpedienteCreado</w:t>
      </w:r>
    </w:p>
    <w:p>
      <w:pPr>
        <w:spacing w:after="80"/>
      </w:pPr>
      <w:r>
        <w:rPr>
          <w:b/>
          <w:bCs/>
        </w:rPr>
        <w:t xml:space="preserve">Por qué: </w:t>
      </w:r>
      <w:r>
        <w:t xml:space="preserve">Es el primer evento de dominio real del sistema y sirve para validar que el pipeline de publicación funciona antes de construir nada más encima.</w:t>
      </w:r>
    </w:p>
    <w:p>
      <w:pPr>
        <w:spacing w:after="80"/>
      </w:pPr>
      <w:r>
        <w:rPr>
          <w:b/>
          <w:bCs/>
        </w:rPr>
        <w:t xml:space="preserve">Alcance: </w:t>
      </w:r>
      <w:r>
        <w:t xml:space="preserve">Definir un contrato ExpedienteCreado (Id, TenantId, Titulo, Cliente, FechaApertura) en una carpeta de contratos compartida; publicarlo desde el endpoint POST /api/expedientes tras guardar el expediente, usando IPublishEndpoint de MassTransit.</w:t>
      </w:r>
    </w:p>
    <w:p>
      <w:pPr>
        <w:spacing w:after="80"/>
      </w:pPr>
      <w:r>
        <w:rPr>
          <w:b/>
          <w:bCs/>
        </w:rPr>
        <w:t xml:space="preserve">Criterio de terminado: </w:t>
      </w:r>
      <w:r>
        <w:t xml:space="preserve">Al crear un expediente por la API, se ve el mensaje llegar a la cola correspondiente en el panel de RabbitMQ.</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record ExpedienteCreado (Id, TenantId, Titulo, Cliente, FechaApertura) en una carpeta de contratos (por ejemplo src/Domain/Events o un proyecto Contracts si prefieres desacoplarlo de Domain). Inyecta IPublishEndpoint de MassTransit en el endpoint POST /api/expedientes de Program.cs y publica el evento justo después de guardar el expediente con éxito, incluyendo el TenantId del expediente. Verifica manualmente (panel de RabbitMQ o logging) que el mensaje se publica correctamente al crear un expediente.</w:t>
      </w:r>
    </w:p>
    <w:p>
      <w:pPr>
        <w:pStyle w:val="Heading3"/>
        <w:spacing w:after="80" w:before="220"/>
      </w:pPr>
      <w:r>
        <w:t xml:space="preserve">1.3. Consumer de ejemplo para validar el flujo completo</w:t>
      </w:r>
    </w:p>
    <w:p>
      <w:pPr>
        <w:spacing w:after="80"/>
      </w:pPr>
      <w:r>
        <w:rPr>
          <w:b/>
          <w:bCs/>
        </w:rPr>
        <w:t xml:space="preserve">Por qué: </w:t>
      </w:r>
      <w:r>
        <w:t xml:space="preserve">Sin un consumer no hay forma de comprobar que el mensaje realmente se puede leer y procesar en el otro extremo; sirve además de plantilla para futuros consumers (notificaciones, indexado en Elasticsearch, etc.).</w:t>
      </w:r>
    </w:p>
    <w:p>
      <w:pPr>
        <w:spacing w:after="80"/>
      </w:pPr>
      <w:r>
        <w:rPr>
          <w:b/>
          <w:bCs/>
        </w:rPr>
        <w:t xml:space="preserve">Alcance: </w:t>
      </w:r>
      <w:r>
        <w:t xml:space="preserve">Crear un consumer simple (por ejemplo, que solo escriba un log estructurado) para ExpedienteCreado y registrarlo en MassTransit.</w:t>
      </w:r>
    </w:p>
    <w:p>
      <w:pPr>
        <w:spacing w:after="80"/>
      </w:pPr>
      <w:r>
        <w:rPr>
          <w:b/>
          <w:bCs/>
        </w:rPr>
        <w:t xml:space="preserve">Criterio de terminado: </w:t>
      </w:r>
      <w:r>
        <w:t xml:space="preserve">Al crear un expediente, aparece en los logs de la Api la traza del consumer procesando el evento, con el TenantId correcto.</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una clase ExpedienteCreadoConsumer que implemente IConsumer&lt;ExpedienteCreado&gt; y escriba un log estructurado (ILogger) con el TenantId y el Titulo del expediente recibido. Regístrala en la configuración de MassTransit en Program.cs. Prueba creando un expediente vía la API y confirma en los logs de la aplicación que el consumer procesó el evento con los datos correctos.</w:t>
      </w:r>
    </w:p>
    <w:p>
      <w:pPr>
        <w:pBdr>
          <w:bottom w:val="single" w:color="CCCCCC" w:sz="6" w:space="4"/>
        </w:pBdr>
        <w:spacing w:after="200" w:before="100"/>
      </w:pPr>
    </w:p>
    <w:p>
      <w:pPr>
        <w:pStyle w:val="Heading1"/>
        <w:spacing w:after="160" w:before="360"/>
      </w:pPr>
      <w:r>
        <w:t xml:space="preserve">Fase 2 — Almacenamiento de documentos (S3 / MinIO)</w:t>
      </w:r>
    </w:p>
    <w:p>
      <w:pPr>
        <w:spacing w:after="160"/>
      </w:pPr>
      <w:r>
        <w:t xml:space="preserve">Los documentos pesados no deben vivir en Postgres: van a almacenamiento de objetos, con solo metadatos en la base de datos. Esta fase construye esa pieza, con MinIO en local como sustituto de S3.</w:t>
      </w:r>
    </w:p>
    <w:p>
      <w:pPr>
        <w:pStyle w:val="Heading3"/>
        <w:spacing w:after="80" w:before="220"/>
      </w:pPr>
      <w:r>
        <w:t xml:space="preserve">2.1. Añadir MinIO al entorno local</w:t>
      </w:r>
    </w:p>
    <w:p>
      <w:pPr>
        <w:spacing w:after="80"/>
      </w:pPr>
      <w:r>
        <w:rPr>
          <w:b/>
          <w:bCs/>
        </w:rPr>
        <w:t xml:space="preserve">Por qué: </w:t>
      </w:r>
      <w:r>
        <w:t xml:space="preserve">Se necesita un almacenamiento de objetos compatible con S3 para desarrollar y probar sin depender de una cuenta AWS real.</w:t>
      </w:r>
    </w:p>
    <w:p>
      <w:pPr>
        <w:spacing w:after="80"/>
      </w:pPr>
      <w:r>
        <w:rPr>
          <w:b/>
          <w:bCs/>
        </w:rPr>
        <w:t xml:space="preserve">Alcance: </w:t>
      </w:r>
      <w:r>
        <w:t xml:space="preserve">Añadir un servicio MinIO al docker-compose.yml existente, con un bucket de desarrollo creado automáticamente (por ejemplo, vía un contenedor de inicialización o un script).</w:t>
      </w:r>
    </w:p>
    <w:p>
      <w:pPr>
        <w:spacing w:after="80"/>
      </w:pPr>
      <w:r>
        <w:rPr>
          <w:b/>
          <w:bCs/>
        </w:rPr>
        <w:t xml:space="preserve">Criterio de terminado: </w:t>
      </w:r>
      <w:r>
        <w:t xml:space="preserve">docker compose up -d levanta MinIO, accesible en su consola web, con el bucket de desarrollo ya creado.</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un servicio minio al docker-compose.yml del proyecto (imagen minio/minio, con su consola en el puerto habitual), y asegúrate de que se cree automáticamente un bucket de desarrollo (por ejemplo legalcase-documentos) al arrancar, usando el propio cliente mc en un contenedor de inicialización o un script de arranque. Documenta las credenciales de desarrollo igual que ya se documentan las de Postgres y RabbitMQ.</w:t>
      </w:r>
    </w:p>
    <w:p>
      <w:pPr>
        <w:pStyle w:val="Heading3"/>
        <w:spacing w:after="80" w:before="220"/>
      </w:pPr>
      <w:r>
        <w:t xml:space="preserve">2.2. Entidad DocumentoAdjunto</w:t>
      </w:r>
    </w:p>
    <w:p>
      <w:pPr>
        <w:spacing w:after="80"/>
      </w:pPr>
      <w:r>
        <w:rPr>
          <w:b/>
          <w:bCs/>
        </w:rPr>
        <w:t xml:space="preserve">Por qué: </w:t>
      </w:r>
      <w:r>
        <w:t xml:space="preserve">Hace falta un modelo de metadatos en Postgres que vincule cada adjunto a un expediente y a un tenant, sin guardar el contenido del archivo en la base de datos.</w:t>
      </w:r>
    </w:p>
    <w:p>
      <w:pPr>
        <w:spacing w:after="80"/>
      </w:pPr>
      <w:r>
        <w:rPr>
          <w:b/>
          <w:bCs/>
        </w:rPr>
        <w:t xml:space="preserve">Alcance: </w:t>
      </w:r>
      <w:r>
        <w:t xml:space="preserve">Nueva entidad DocumentoAdjunto (Id, TenantId, ExpedienteId, NombreArchivo, ContentType, TamanoBytes, ClaveAlmacenamiento, FechaSubida) que implemente ITenantEntity; añadirla al AppDbContext con su HasQueryFilter, igual que Expediente.</w:t>
      </w:r>
    </w:p>
    <w:p>
      <w:pPr>
        <w:spacing w:after="80"/>
      </w:pPr>
      <w:r>
        <w:rPr>
          <w:b/>
          <w:bCs/>
        </w:rPr>
        <w:t xml:space="preserve">Criterio de terminado: </w:t>
      </w:r>
      <w:r>
        <w:t xml:space="preserve">La entidad existe, tiene su propio HasQueryFilter por TenantId, y hay una migración de EF Core que crea la tabla.</w:t>
      </w:r>
    </w:p>
    <w:p>
      <w:pPr>
        <w:pBdr>
          <w:left w:val="single" w:color="999999" w:sz="12" w:space="8"/>
        </w:pBdr>
        <w:spacing w:after="240" w:before="60"/>
        <w:ind w:left="431"/>
      </w:pPr>
      <w:r>
        <w:rPr>
          <w:b/>
          <w:bCs/>
          <w:i/>
          <w:iCs/>
          <w:color w:val="444444"/>
        </w:rPr>
        <w:t xml:space="preserve">Prompt para el agente: </w:t>
      </w:r>
      <w:r>
        <w:rPr>
          <w:i/>
          <w:iCs/>
          <w:color w:val="444444"/>
        </w:rPr>
        <w:t xml:space="preserve">Crea la entidad DocumentoAdjunto en src/Domain/Entities (Id, TenantId, ExpedienteId, NombreArchivo, ContentType, TamanoBytes, ClaveAlmacenamiento, FechaSubida), implementando ITenantEntity igual que Expediente. Regístrala en AppDbContext (DbSet, ToTable, HasKey, HasIndex por TenantId y por ExpedienteId, y el mismo HasQueryFilter por tenant que ya existe para Expediente). Genera la migración de EF Core correspondiente. No implementes todavía la subida de archivos, solo el modelo de datos.</w:t>
      </w:r>
    </w:p>
    <w:p>
      <w:pPr>
        <w:pStyle w:val="Heading3"/>
        <w:spacing w:after="80" w:before="220"/>
      </w:pPr>
      <w:r>
        <w:t xml:space="preserve">2.3. Servicio de almacenamiento IDocumentStorage</w:t>
      </w:r>
    </w:p>
    <w:p>
      <w:pPr>
        <w:spacing w:after="80"/>
      </w:pPr>
      <w:r>
        <w:rPr>
          <w:b/>
          <w:bCs/>
        </w:rPr>
        <w:t xml:space="preserve">Por qué: </w:t>
      </w:r>
      <w:r>
        <w:t xml:space="preserve">Aislar el código de negocio del SDK de S3/MinIO concreto permite cambiar de proveedor de almacenamiento (o pasar de MinIO a S3 real en producción) sin tocar el resto de la aplicación, igual que MassTransit hace con RabbitMQ/Kafka.</w:t>
      </w:r>
    </w:p>
    <w:p>
      <w:pPr>
        <w:spacing w:after="80"/>
      </w:pPr>
      <w:r>
        <w:rPr>
          <w:b/>
          <w:bCs/>
        </w:rPr>
        <w:t xml:space="preserve">Alcance: </w:t>
      </w:r>
      <w:r>
        <w:t xml:space="preserve">Definir una interfaz IDocumentStorage (subir, obtener URL prefirmada de descarga, eliminar) en Infrastructure; implementarla contra MinIO/S3 usando el SDK oficial de AWS (compatible con MinIO).</w:t>
      </w:r>
    </w:p>
    <w:p>
      <w:pPr>
        <w:spacing w:after="80"/>
      </w:pPr>
      <w:r>
        <w:rPr>
          <w:b/>
          <w:bCs/>
        </w:rPr>
        <w:t xml:space="preserve">Criterio de terminado: </w:t>
      </w:r>
      <w:r>
        <w:t xml:space="preserve">Existe un servicio inyectable IDocumentStorage con una implementación funcional contra el MinIO local, probado con al menos un archivo de ejemplo subido y descargado.</w:t>
      </w:r>
    </w:p>
    <w:p>
      <w:pPr>
        <w:pBdr>
          <w:left w:val="single" w:color="999999" w:sz="12" w:space="8"/>
        </w:pBdr>
        <w:spacing w:after="240" w:before="60"/>
        <w:ind w:left="431"/>
      </w:pPr>
      <w:r>
        <w:rPr>
          <w:b/>
          <w:bCs/>
          <w:i/>
          <w:iCs/>
          <w:color w:val="444444"/>
        </w:rPr>
        <w:t xml:space="preserve">Prompt para el agente: </w:t>
      </w:r>
      <w:r>
        <w:rPr>
          <w:i/>
          <w:iCs/>
          <w:color w:val="444444"/>
        </w:rPr>
        <w:t xml:space="preserve">Define una interfaz IDocumentStorage en src/Infrastructure/Storage con métodos para subir un stream (devolviendo la clave de almacenamiento), generar una URL prefirmada de descarga temporal, y eliminar un objeto. Implementa S3DocumentStorage usando AWSSDK.S3 configurado contra el endpoint de MinIO del docker-compose (ServiceURL apuntando a MinIO, ForcePathStyle activado). Regístrala en Program.cs. Escribe una prueba manual o de integración que suba un archivo pequeño, obtenga su URL de descarga y confirme que el contenido coincide.</w:t>
      </w:r>
    </w:p>
    <w:p>
      <w:pPr>
        <w:pStyle w:val="Heading3"/>
        <w:spacing w:after="80" w:before="220"/>
      </w:pPr>
      <w:r>
        <w:t xml:space="preserve">2.4. Endpoints de adjuntos</w:t>
      </w:r>
    </w:p>
    <w:p>
      <w:pPr>
        <w:spacing w:after="80"/>
      </w:pPr>
      <w:r>
        <w:rPr>
          <w:b/>
          <w:bCs/>
        </w:rPr>
        <w:t xml:space="preserve">Por qué: </w:t>
      </w:r>
      <w:r>
        <w:t xml:space="preserve">Cierra el ciclo: permite subir, listar y descargar documentos de un expediente concreto desde la API, respetando la autenticación JWT y el aislamiento por tenant ya existentes.</w:t>
      </w:r>
    </w:p>
    <w:p>
      <w:pPr>
        <w:spacing w:after="80"/>
      </w:pPr>
      <w:r>
        <w:rPr>
          <w:b/>
          <w:bCs/>
        </w:rPr>
        <w:t xml:space="preserve">Alcance: </w:t>
      </w:r>
      <w:r>
        <w:t xml:space="preserve">Endpoints POST /api/expedientes/{id}/documentos (subida), GET /api/expedientes/{id}/documentos (listado) y GET /api/documentos/{id}/descarga (URL prefirmada o stream), todos con RequireAuthorization() y verificando que el expediente pertenece al tenant actual.</w:t>
      </w:r>
    </w:p>
    <w:p>
      <w:pPr>
        <w:spacing w:after="80"/>
      </w:pPr>
      <w:r>
        <w:rPr>
          <w:b/>
          <w:bCs/>
        </w:rPr>
        <w:t xml:space="preserve">Criterio de terminado: </w:t>
      </w:r>
      <w:r>
        <w:t xml:space="preserve">Un usuario autenticado puede subir un documento a su propio expediente, verlo listado, y descargarlo; no puede hacerlo sobre un expediente de otro tenant (404, no 403, para no confirmar su existencia).</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en Program.cs (o en un archivo de endpoints separado, como ya se hizo con DevTokenEndpoints) tres endpoints protegidos con RequireAuthorization(): POST /api/expedientes/{id}/documentos que reciba un archivo (IFormFile) y lo suba vía IDocumentStorage, guardando el DocumentoAdjunto con el TenantId del usuario actual; GET /api/expedientes/{id}/documentos que liste los adjuntos del expediente (respetando el filtro global de tenant); y GET /api/documentos/{id}/descarga que devuelva una URL prefirmada de descarga. En los tres casos, si el expediente o documento no pertenece al tenant actual, el filtro global de EF Core ya hace que la consulta no lo encuentre — devuelve 404 en ese caso, no 403, para no revelar que el recurso existe en otro tenant.</w:t>
      </w:r>
    </w:p>
    <w:p>
      <w:pPr>
        <w:pBdr>
          <w:bottom w:val="single" w:color="CCCCCC" w:sz="6" w:space="4"/>
        </w:pBdr>
        <w:spacing w:after="200" w:before="100"/>
      </w:pPr>
    </w:p>
    <w:p>
      <w:pPr>
        <w:pStyle w:val="Heading1"/>
        <w:spacing w:after="160" w:before="360"/>
      </w:pPr>
      <w:r>
        <w:t xml:space="preserve">Fase 3 — Cerrar seguridad y trazabilidad (sección 4 del documento de contexto)</w:t>
      </w:r>
    </w:p>
    <w:p>
      <w:pPr>
        <w:spacing w:after="160"/>
      </w:pPr>
      <w:r>
        <w:t xml:space="preserve">El dev-token actual es deliberadamente temporal. Antes de acercarse a un despacho piloto real hace falta login de verdad y un registro de auditoría de accesos, ambos señalados como requisitos de diseño desde el principio (secreto profesional, RGPD, certificaciones ISO 27001/ENS de cara a ventas enterprise).</w:t>
      </w:r>
    </w:p>
    <w:p>
      <w:pPr>
        <w:pStyle w:val="Heading3"/>
        <w:spacing w:after="80" w:before="220"/>
      </w:pPr>
      <w:r>
        <w:t xml:space="preserve">3.1. Login real (usuario y contraseña) sustituyendo a dev-token</w:t>
      </w:r>
    </w:p>
    <w:p>
      <w:pPr>
        <w:spacing w:after="80"/>
      </w:pPr>
      <w:r>
        <w:rPr>
          <w:b/>
          <w:bCs/>
        </w:rPr>
        <w:t xml:space="preserve">Por qué: </w:t>
      </w:r>
      <w:r>
        <w:t xml:space="preserve">dev-token permite generar un JWT para cualquier tenant sin autenticación real; es aceptable para desarrollo en solitario, pero no puede usarse con un despacho piloto real.</w:t>
      </w:r>
    </w:p>
    <w:p>
      <w:pPr>
        <w:spacing w:after="80"/>
      </w:pPr>
      <w:r>
        <w:rPr>
          <w:b/>
          <w:bCs/>
        </w:rPr>
        <w:t xml:space="preserve">Alcance: </w:t>
      </w:r>
      <w:r>
        <w:t xml:space="preserve">Entidad Usuario (con TenantId, email, hash de contraseña) y endpoint POST /api/auth/login que valide credenciales y emita el mismo JWT con claim tenant_id que hoy emite dev-token; mantener dev-token solo bajo Development y claramente marcado.</w:t>
      </w:r>
    </w:p>
    <w:p>
      <w:pPr>
        <w:spacing w:after="80"/>
      </w:pPr>
      <w:r>
        <w:rPr>
          <w:b/>
          <w:bCs/>
        </w:rPr>
        <w:t xml:space="preserve">Criterio de terminado: </w:t>
      </w:r>
      <w:r>
        <w:t xml:space="preserve">Un usuario real puede iniciar sesión con email y contraseña y obtener un token válido para su tenant; las contraseñas se guardan con hash (no en texto plano).</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una entidad Usuario en Domain (Id, TenantId, Email, PasswordHash) que implemente ITenantEntity. Añade un endpoint POST /api/auth/login que reciba email y contraseña, valide contra el hash almacenado (usa un hasher estándar como PBKDF2 vía Rfc2898DeriveBytes o BCrypt.Net), y si es válido emita un JWT con el mismo formato y claim tenant_id que ya usa DevTokenEndpoints. Añade también un endpoint de registro o un seed de datos para crear el primer usuario de prueba. Deja dev-token intacto pero confirma que sigue restringido a Development, ya que login real lo hará innecesario para nada que no sea pruebas rápidas locales.</w:t>
      </w:r>
    </w:p>
    <w:p>
      <w:pPr>
        <w:pStyle w:val="Heading3"/>
        <w:spacing w:after="80" w:before="220"/>
      </w:pPr>
      <w:r>
        <w:t xml:space="preserve">3.2. Auditoría de accesos a expedientes</w:t>
      </w:r>
    </w:p>
    <w:p>
      <w:pPr>
        <w:spacing w:after="80"/>
      </w:pPr>
      <w:r>
        <w:rPr>
          <w:b/>
          <w:bCs/>
        </w:rPr>
        <w:t xml:space="preserve">Por qué: </w:t>
      </w:r>
      <w:r>
        <w:t xml:space="preserve">El documento de contexto pide explícitamente poder responder "quién accedió a qué expediente y cuándo"; es un requisito habitual en sistemas legales por el registro inmutable de acciones.</w:t>
      </w:r>
    </w:p>
    <w:p>
      <w:pPr>
        <w:spacing w:after="80"/>
      </w:pPr>
      <w:r>
        <w:rPr>
          <w:b/>
          <w:bCs/>
        </w:rPr>
        <w:t xml:space="preserve">Alcance: </w:t>
      </w:r>
      <w:r>
        <w:t xml:space="preserve">Middleware o filtro que registre cada acceso (lectura o escritura) a un expediente concreto: usuario, tenant, expediente, acción, fecha/hora UTC; publicarlo como evento vía MassTransit (reutilizando la infraestructura de la fase 1) hacia un consumer que lo persista en una tabla audit_log.</w:t>
      </w:r>
    </w:p>
    <w:p>
      <w:pPr>
        <w:spacing w:after="80"/>
      </w:pPr>
      <w:r>
        <w:rPr>
          <w:b/>
          <w:bCs/>
        </w:rPr>
        <w:t xml:space="preserve">Criterio de terminado: </w:t>
      </w:r>
      <w:r>
        <w:t xml:space="preserve">Cada GET o POST sobre /api/expedientes/{id} dentro del test de la fase 0.2 deja una fila correspondiente en audit_log con los datos correctos.</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una tabla/entidad AuditLog (Id, TenantId, UsuarioId, ExpedienteId, Accion, FechaUtc). Define un evento AccesoExpedienteRegistrado y publícalo (vía IPublishEndpoint, reutilizando MassTransit de la fase 1) desde los endpoints que leen o modifican un expediente concreto, incluyendo tenant, usuario y acción. Crea un consumer que persista ese evento en la tabla AuditLog. Prueba accediendo a un expediente por la API y confirmando que aparece la fila de auditoría correspondiente.</w:t>
      </w:r>
    </w:p>
    <w:p>
      <w:pPr>
        <w:pStyle w:val="Heading3"/>
        <w:spacing w:after="80" w:before="220"/>
      </w:pPr>
      <w:r>
        <w:t xml:space="preserve">3.3. Rol de Postgres de aplicación, no superusuario</w:t>
      </w:r>
    </w:p>
    <w:p>
      <w:pPr>
        <w:spacing w:after="80"/>
      </w:pPr>
      <w:r>
        <w:rPr>
          <w:b/>
          <w:bCs/>
        </w:rPr>
        <w:t xml:space="preserve">Por qué: </w:t>
      </w:r>
      <w:r>
        <w:t xml:space="preserve">La nota ya dejada en 001_enable_row_level_security.sql advierte de esto: FORCE ROW LEVEL SECURITY protege incluso al propietario de la tabla, pero un rol de aplicación sin privilegios de superusuario es defensa adicional y buena práctica de cara a ISO 27001/ENS.</w:t>
      </w:r>
    </w:p>
    <w:p>
      <w:pPr>
        <w:spacing w:after="80"/>
      </w:pPr>
      <w:r>
        <w:rPr>
          <w:b/>
          <w:bCs/>
        </w:rPr>
        <w:t xml:space="preserve">Alcance: </w:t>
      </w:r>
      <w:r>
        <w:t xml:space="preserve">Crear un rol Postgres app_legalcase (NOSUPERUSER, sin ser owner de las tablas, con permisos mínimos: SELECT/INSERT/UPDATE/DELETE sobre las tablas de la aplicación) y cambiar la connection string de desarrollo para usarlo.</w:t>
      </w:r>
    </w:p>
    <w:p>
      <w:pPr>
        <w:spacing w:after="80"/>
      </w:pPr>
      <w:r>
        <w:rPr>
          <w:b/>
          <w:bCs/>
        </w:rPr>
        <w:t xml:space="preserve">Criterio de terminado: </w:t>
      </w:r>
      <w:r>
        <w:t xml:space="preserve">La Api se conecta y funciona con el nuevo rol restringido; un intento de DROP TABLE o similar con ese rol falla por permisos.</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un script SQL (junto a 001_enable_row_level_security.sql) que cree un rol app_legalcase con NOSUPERUSER, NOCREATEDB, NOCREATEROLE, y le otorgue solo SELECT, INSERT, UPDATE, DELETE sobre las tablas tenants, expedientes, documentos_adjuntos y audit_log (sin ser el owner). Actualiza la connection string de appsettings.Development.json para usar ese rol. Verifica que la Api sigue funcionando igual, y que un intento manual de DROP TABLE con ese rol vía psql falla por falta de permisos.</w:t>
      </w:r>
    </w:p>
    <w:p>
      <w:pPr>
        <w:pBdr>
          <w:bottom w:val="single" w:color="CCCCCC" w:sz="6" w:space="4"/>
        </w:pBdr>
        <w:spacing w:after="200" w:before="100"/>
      </w:pPr>
    </w:p>
    <w:p>
      <w:pPr>
        <w:pStyle w:val="Heading1"/>
        <w:spacing w:after="160" w:before="360"/>
      </w:pPr>
      <w:r>
        <w:t xml:space="preserve">Fase 4 — Núcleo de dominio: flujos de expediente</w:t>
      </w:r>
    </w:p>
    <w:p>
      <w:pPr>
        <w:spacing w:after="160"/>
      </w:pPr>
      <w:r>
        <w:t xml:space="preserve">El scaffold actual solo permite crear y listar expedientes. Antes de tener algo demostrable a un despacho piloto hace falta que el estado del expediente (Abierto, EnTramite, Cerrado, Archivado) se comporte como un flujo real, no como un campo libre.</w:t>
      </w:r>
    </w:p>
    <w:p>
      <w:pPr>
        <w:pStyle w:val="Heading3"/>
        <w:spacing w:after="80" w:before="220"/>
      </w:pPr>
      <w:r>
        <w:t xml:space="preserve">4.1. Transiciones de estado válidas</w:t>
      </w:r>
    </w:p>
    <w:p>
      <w:pPr>
        <w:spacing w:after="80"/>
      </w:pPr>
      <w:r>
        <w:rPr>
          <w:b/>
          <w:bCs/>
        </w:rPr>
        <w:t xml:space="preserve">Por qué: </w:t>
      </w:r>
      <w:r>
        <w:t xml:space="preserve">Sin reglas, cualquier cliente de la API podría poner un expediente Cerrado directamente en Archivado sin pasar por EnTramite, o reabrir un expediente Archivado sin control.</w:t>
      </w:r>
    </w:p>
    <w:p>
      <w:pPr>
        <w:spacing w:after="80"/>
      </w:pPr>
      <w:r>
        <w:rPr>
          <w:b/>
          <w:bCs/>
        </w:rPr>
        <w:t xml:space="preserve">Alcance: </w:t>
      </w:r>
      <w:r>
        <w:t xml:space="preserve">Definir en Domain qué transiciones son válidas (por ejemplo Abierto→EnTramite→Cerrado→Archivado, con la posibilidad de reabrir de Cerrado a EnTramite pero no desde Archivado); exponer un endpoint PATCH /api/expedientes/{id}/estado que valide la transición antes de aplicarla.</w:t>
      </w:r>
    </w:p>
    <w:p>
      <w:pPr>
        <w:spacing w:after="80"/>
      </w:pPr>
      <w:r>
        <w:rPr>
          <w:b/>
          <w:bCs/>
        </w:rPr>
        <w:t xml:space="preserve">Criterio de terminado: </w:t>
      </w:r>
      <w:r>
        <w:t xml:space="preserve">Un intento de transición inválida devuelve 400 con un mensaje claro; las transiciones válidas actualizan FechaCierre cuando corresponde.</w:t>
      </w:r>
    </w:p>
    <w:p>
      <w:pPr>
        <w:pBdr>
          <w:left w:val="single" w:color="999999" w:sz="12" w:space="8"/>
        </w:pBdr>
        <w:spacing w:after="240" w:before="60"/>
        <w:ind w:left="431"/>
      </w:pPr>
      <w:r>
        <w:rPr>
          <w:b/>
          <w:bCs/>
          <w:i/>
          <w:iCs/>
          <w:color w:val="444444"/>
        </w:rPr>
        <w:t xml:space="preserve">Prompt para el agente: </w:t>
      </w:r>
      <w:r>
        <w:rPr>
          <w:i/>
          <w:iCs/>
          <w:color w:val="444444"/>
        </w:rPr>
        <w:t xml:space="preserve">En la entidad Expediente o en un servicio de dominio nuevo, define qué transiciones de EstadoExpediente son válidas (Abierto→EnTramite, EnTramite→Cerrado, Cerrado→Archivado, y Cerrado→EnTramite para reabrir; ninguna transición sale de Archivado). Añade un endpoint PATCH /api/expedientes/{id}/estado protegido con RequireAuthorization() que reciba el nuevo estado, valide que la transición es válida para el estado actual, y si no lo es devuelva 400 con un mensaje explicando qué transiciones sí son válidas desde el estado actual. Al pasar a Cerrado, fija FechaCierre; al salir de Cerrado (reapertura), la vuelve a null.</w:t>
      </w:r>
    </w:p>
    <w:p>
      <w:pPr>
        <w:pStyle w:val="Heading3"/>
        <w:spacing w:after="80" w:before="220"/>
      </w:pPr>
      <w:r>
        <w:t xml:space="preserve">4.2. Historial de cambios de expediente</w:t>
      </w:r>
    </w:p>
    <w:p>
      <w:pPr>
        <w:spacing w:after="80"/>
      </w:pPr>
      <w:r>
        <w:rPr>
          <w:b/>
          <w:bCs/>
        </w:rPr>
        <w:t xml:space="preserve">Por qué: </w:t>
      </w:r>
      <w:r>
        <w:t xml:space="preserve">Un despacho necesita poder ver cuándo cambió de estado un expediente y quién lo hizo, no solo el estado actual; además reaprovecha la infraestructura de eventos ya construida.</w:t>
      </w:r>
    </w:p>
    <w:p>
      <w:pPr>
        <w:spacing w:after="80"/>
      </w:pPr>
      <w:r>
        <w:rPr>
          <w:b/>
          <w:bCs/>
        </w:rPr>
        <w:t xml:space="preserve">Alcance: </w:t>
      </w:r>
      <w:r>
        <w:t xml:space="preserve">Publicar un evento EstadoExpedienteCambiado (reutilizando MassTransit) en cada transición válida; consumer que lo persista en una tabla expediente_historial.</w:t>
      </w:r>
    </w:p>
    <w:p>
      <w:pPr>
        <w:spacing w:after="80"/>
      </w:pPr>
      <w:r>
        <w:rPr>
          <w:b/>
          <w:bCs/>
        </w:rPr>
        <w:t xml:space="preserve">Criterio de terminado: </w:t>
      </w:r>
      <w:r>
        <w:t xml:space="preserve">Tras varias transiciones de estado sobre un expediente de prueba, GET /api/expedientes/{id}/historial devuelve la secuencia completa en orden.</w:t>
      </w:r>
    </w:p>
    <w:p>
      <w:pPr>
        <w:pBdr>
          <w:left w:val="single" w:color="999999" w:sz="12" w:space="8"/>
        </w:pBdr>
        <w:spacing w:after="240" w:before="60"/>
        <w:ind w:left="431"/>
      </w:pPr>
      <w:r>
        <w:rPr>
          <w:b/>
          <w:bCs/>
          <w:i/>
          <w:iCs/>
          <w:color w:val="444444"/>
        </w:rPr>
        <w:t xml:space="preserve">Prompt para el agente: </w:t>
      </w:r>
      <w:r>
        <w:rPr>
          <w:i/>
          <w:iCs/>
          <w:color w:val="444444"/>
        </w:rPr>
        <w:t xml:space="preserve">Define un evento EstadoExpedienteCambiado (ExpedienteId, TenantId, EstadoAnterior, EstadoNuevo, FechaUtc, UsuarioId) y publícalo desde el endpoint PATCH /api/expedientes/{id}/estado de la tarea 4.1 tras aplicar una transición válida. Crea una tabla/entidad ExpedienteHistorial y un consumer que persista ahí cada evento. Añade un endpoint GET /api/expedientes/{id}/historial que devuelva la secuencia ordenada cronológicamente.</w:t>
      </w:r>
    </w:p>
    <w:p>
      <w:pPr>
        <w:pBdr>
          <w:bottom w:val="single" w:color="CCCCCC" w:sz="6" w:space="4"/>
        </w:pBdr>
        <w:spacing w:after="200" w:before="100"/>
      </w:pPr>
    </w:p>
    <w:p>
      <w:pPr>
        <w:pStyle w:val="Heading1"/>
        <w:spacing w:after="160" w:before="360"/>
      </w:pPr>
      <w:r>
        <w:t xml:space="preserve">Fase 5 — Testing</w:t>
      </w:r>
    </w:p>
    <w:p>
      <w:pPr>
        <w:spacing w:after="160"/>
      </w:pPr>
      <w:r>
        <w:t xml:space="preserve">Hasta ahora la verificación ha sido manual (curl, Swagger). Antes de seguir añadiendo funcionalidad conviene fijar con tests automáticos las dos cosas que más cuesta recuperar si se rompen sin darse cuenta: las reglas de transición de estado y el aislamiento multi-tenant.</w:t>
      </w:r>
    </w:p>
    <w:p>
      <w:pPr>
        <w:pStyle w:val="Heading3"/>
        <w:spacing w:after="80" w:before="220"/>
      </w:pPr>
      <w:r>
        <w:t xml:space="preserve">5.1. Tests unitarios de dominio</w:t>
      </w:r>
    </w:p>
    <w:p>
      <w:pPr>
        <w:spacing w:after="80"/>
      </w:pPr>
      <w:r>
        <w:rPr>
          <w:b/>
          <w:bCs/>
        </w:rPr>
        <w:t xml:space="preserve">Por qué: </w:t>
      </w:r>
      <w:r>
        <w:t xml:space="preserve">Las reglas de transición de estado (fase 4.1) son lógica de negocio pura, fácil de testear sin base de datos, y es donde es más fácil introducir una regresión sutil al seguir añadiendo estados o excepciones al flujo.</w:t>
      </w:r>
    </w:p>
    <w:p>
      <w:pPr>
        <w:spacing w:after="80"/>
      </w:pPr>
      <w:r>
        <w:rPr>
          <w:b/>
          <w:bCs/>
        </w:rPr>
        <w:t xml:space="preserve">Alcance: </w:t>
      </w:r>
      <w:r>
        <w:t xml:space="preserve">Proyecto de tests (xUnit) para Domain, con casos que cubran cada transición válida e inválida definida en la tarea 4.1.</w:t>
      </w:r>
    </w:p>
    <w:p>
      <w:pPr>
        <w:spacing w:after="80"/>
      </w:pPr>
      <w:r>
        <w:rPr>
          <w:b/>
          <w:bCs/>
        </w:rPr>
        <w:t xml:space="preserve">Criterio de terminado: </w:t>
      </w:r>
      <w:r>
        <w:t xml:space="preserve">dotnet test pasa en verde y cubre explícitamente al menos un caso por cada transición válida y por cada transición inválida documentada.</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proyecto de tests xUnit (por ejemplo tests/Domain.Tests) referenciando Domain. Escribe un test por cada transición válida de EstadoExpediente definida en la tarea 4.1 (confirmando que se permite y que FechaCierre se comporta como se espera) y un test por cada transición inválida (confirmando que se rechaza). Ejecuta dotnet test y confirma que todos pasan.</w:t>
      </w:r>
    </w:p>
    <w:p>
      <w:pPr>
        <w:pStyle w:val="Heading3"/>
        <w:spacing w:after="80" w:before="220"/>
      </w:pPr>
      <w:r>
        <w:t xml:space="preserve">5.2. Test de integración del aislamiento multi-tenant</w:t>
      </w:r>
    </w:p>
    <w:p>
      <w:pPr>
        <w:spacing w:after="80"/>
      </w:pPr>
      <w:r>
        <w:rPr>
          <w:b/>
          <w:bCs/>
        </w:rPr>
        <w:t xml:space="preserve">Por qué: </w:t>
      </w:r>
      <w:r>
        <w:t xml:space="preserve">La fase 0.2 demostró el aislamiento a mano; conviene convertirlo en un test automático que se ejecute en cada cambio, dado que es el requisito de diseño más crítico del sistema.</w:t>
      </w:r>
    </w:p>
    <w:p>
      <w:pPr>
        <w:spacing w:after="80"/>
      </w:pPr>
      <w:r>
        <w:rPr>
          <w:b/>
          <w:bCs/>
        </w:rPr>
        <w:t xml:space="preserve">Alcance: </w:t>
      </w:r>
      <w:r>
        <w:t xml:space="preserve">Test de integración (con Testcontainers levantando un Postgres real efímero) que aplique la migración de RLS, cree dos tenants, cree un expediente por tenant, y confirme por API que cada uno solo ve el suyo.</w:t>
      </w:r>
    </w:p>
    <w:p>
      <w:pPr>
        <w:spacing w:after="80"/>
      </w:pPr>
      <w:r>
        <w:rPr>
          <w:b/>
          <w:bCs/>
        </w:rPr>
        <w:t xml:space="preserve">Criterio de terminado: </w:t>
      </w:r>
      <w:r>
        <w:t xml:space="preserve">dotnet test levanta un Postgres real en un contenedor, aplica migraciones y RLS, y falla de forma clara si algún día el aislamiento se rompe.</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proyecto de tests de integración (por ejemplo tests/Api.IntegrationTests) usando Testcontainers.PostgreSql para levantar un Postgres real efímero en cada ejecución. En el setup, aplica las migraciones de EF Core y el script 001_enable_row_level_security.sql. Escribe un test que cree dos tenants, obtenga un token para cada uno vía el flujo de login (o dev-token si el login real de la fase 3.1 aún no existe), cree un expediente con cada token, y confirme que GET /api/expedientes con el token de un tenant nunca devuelve expedientes del otro. Este test debe fallar de forma ruidosa si alguien quita el HasQueryFilter o la policy de RLS por error.</w:t>
      </w:r>
    </w:p>
    <w:p>
      <w:pPr>
        <w:pBdr>
          <w:bottom w:val="single" w:color="CCCCCC" w:sz="6" w:space="4"/>
        </w:pBdr>
        <w:spacing w:after="200" w:before="100"/>
      </w:pPr>
    </w:p>
    <w:p>
      <w:pPr>
        <w:pStyle w:val="Heading1"/>
        <w:spacing w:after="160" w:before="360"/>
      </w:pPr>
      <w:r>
        <w:t xml:space="preserve">Fase 6 — Frontend usable (Blazor Server + MudBlazor)</w:t>
      </w:r>
    </w:p>
    <w:p>
      <w:pPr>
        <w:spacing w:after="160"/>
      </w:pPr>
      <w:r>
        <w:t xml:space="preserve">Esta fase estuvo deliberadamente abierta ("a decidir contigo") mientras el resto del plan no tenía suficiente superficie de API estable sobre la que diseñar pantallas reales. Con el modelo consolidado, el CRUD por entidad del Paso 6 de la guía, y los endpoints de IA (cronología, chat, entidades) y cumplimiento (derechos ARCO-POL, auditoría) ya definidos, hay ya suficiente para diseñar una interfaz completa sin que se quede corta a los pocos meses. Los dos wireframes de baja fidelidad de fase0_dominio_ux.docx (panel principal y ficha de expediente) siguen siendo el punto de partida de esta fase, ampliados ahora con las pantallas que exige la fase de IA documental (cronología, chat, revisión de entidades, foliado) y de cumplimiento (clientes/RGPD, auditoría).</w:t>
      </w:r>
    </w:p>
    <w:p>
      <w:r>
        <w:rPr>
          <w:b/>
          <w:i w:val="0"/>
        </w:rPr>
        <w:t xml:space="preserve">Ampliado el 2026-08-30 (confirmado por Manuel, tras el informe de estado del agente de programación en ESTADO_PROYECTO.md): </w:t>
      </w:r>
      <w:r>
        <w:rPr>
          <w:b w:val="0"/>
          <w:i w:val="0"/>
        </w:rPr>
        <w:t>esta fase pasa a ser el siguiente bloque grande de trabajo, en paralelo con el cierre de IA.2c (ver plan_maestro_actualizado.docx) — no se espera a que el motor de OCR quede totalmente cerrado y validado a escala completa para empezar el frontend, según lo ya previsto en el resumen de orden recomendado más abajo (6.0-6.4 no dependen de que la fase de IA esté terminada). Estado real confirmado: no hay ni una línea de interfaz de usuario todavía, todo se ha construido y probado por API (Swagger/curl) hasta ahora. Cuatro pantallas señaladas explícitamente como necesarias ya: Login, menú/navegación, panel principal y la pantalla de carga de documentos para OCR — las tres últimas ya estaban cubiertas por 6.2 (menú/navegación), 6.3 (panel principal) y 6.5 (documentos), con dos ampliaciones concretas detalladas más abajo en 6.2 y 6.5. Premisas del frontend confirmadas sin cambios: intuitivo, responsivo y estético (ya recogidas en el sistema de diseño de la tarea 6.0).</w:t>
      </w:r>
    </w:p>
    <w:p>
      <w:pPr>
        <w:pStyle w:val="Heading2"/>
        <w:spacing w:after="120" w:before="300"/>
      </w:pPr>
      <w:r>
        <w:t xml:space="preserve">Decisión de stack: Blazor Server, no React ni Blazor WASM</w:t>
      </w:r>
    </w:p>
    <w:p>
      <w:pPr>
        <w:spacing w:after="160"/>
      </w:pPr>
      <w:r>
        <w:t xml:space="preserve">Blazor sobre React/Vue/Angular: mantiene todo el proyecto en C#, sin añadir un ecosistema de build de JavaScript aparte (npm, bundlers, versionado de dependencias del frontend) a un proyecto ya de por sí construido en solitario fuera de horario laboral — una superficie de aprendizaje y mantenimiento menos. MudBlazor frente a construir a mano sobre Bootstrap: la diferencia real no es estética (un Bootstrap bien personalizado se ve tan profesional como cualquier otra cosa; el aspecto final depende del sistema de diseño de la tarea 6.0, no de la librería) — la diferencia es cuánta lógica interactiva viene ya resuelta en C#. MudBlazor da tablas con orden/filtro/paginación (MudDataGrid), pestañas (MudTabs), líneas de tiempo (MudTimeline) y subida de archivos (MudFileUpload) nativas en Blazor, sin JavaScript de por medio; replicar eso sobre Bootstrap a pelo exigiría escribir esa lógica a mano o añadir una librería JS aparte con su propio puente JS-interop desde Blazor. Para un desarrollador único construyendo esto fuera de horario laboral, ese ahorro de código propio pesa más que cualquier diferencia visual entre ambas opciones.</w:t>
      </w:r>
    </w:p>
    <w:p>
      <w:pPr>
        <w:spacing w:after="160"/>
      </w:pPr>
      <w:r>
        <w:t xml:space="preserve">Blazor Server sobre Blazor WASM, para esta fase: el despacho piloto y los primeros clientes son un puñado de usuarios internos por despacho, casi siempre conectados desde la misma red u oficina, no un público masivo que necesite una aplicación descargable y funcionando sin conexión. Blazor Server evita el problema de dónde guardar el JWT en el navegador (localStorage/sessionStorage tienen sus propios riesgos de seguridad) porque el estado vive en el servidor y el circuito SignalR ya es una conexión persistente autenticada — lo cual además encaja bien con el chat (IA.5) y el estado de procesamiento de documentos (IA.2), que son casos de uso naturalmente "en vivo". La contrapartida (más latencia si algún despacho se conecta desde una oficina remota con mala conexión, y una conexión persistente por usuario activo en el servidor) es aceptable para un MVP con un despacho piloto y no descarta migrar a WASM más adelante si el crecimiento lo justifica — es una decisión de esta fase, no un compromiso irreversible de arquitectura.</w:t>
      </w:r>
    </w:p>
    <w:p>
      <w:pPr>
        <w:pStyle w:val="Heading2"/>
        <w:spacing w:after="120" w:before="300"/>
      </w:pPr>
      <w:r>
        <w:t xml:space="preserve">Validación de UX con un perfil de abogado simulado</w:t>
      </w:r>
    </w:p>
    <w:p>
      <w:pPr>
        <w:spacing w:after="160"/>
      </w:pPr>
      <w:r>
        <w:t xml:space="preserve">Antes de fijar el sistema de diseño se contrastaron los mockups iniciales con una entrevista simulada (skill despacho-legal-persona, perfil de socia generalista) — una síntesis razonada de cómo trabaja un despacho de este tipo, no la opinión de una abogada real ni un sustituto de validar con el despacho piloto. Salieron tres correcciones concretas frente al diseño inicial, más orientado a un dashboard de consumo general: preferencia clara por densidad de información sobre espacio en blanco (más filas visibles sin scroll, aunque se vea menos "aireado"); necesidad de navegación por teclado (Tab/Enter) en formularios de entrada de datos, no solo ratón, porque meter datos clic a clic es lento; y desconfianza explícita hacia cualquier sugerencia de IA que se aplique sola sin revisión previa, lo cual confirma (no cambia) el patrón de confirmar/descartar ya diseñado en la tarea 6.7. Se añade además una necesidad no cubierta todavía: poder copiar rápidamente una referencia de folio o el nombre de un documento al portapapeles, pensando en el flujo habitual de redactar un escrito con el expediente en una pantalla y Word en la otra.</w:t>
      </w:r>
    </w:p>
    <w:p>
      <w:pPr>
        <w:spacing w:after="160"/>
      </w:pPr>
      <w:r>
        <w:t xml:space="preserve">Antes de la primera pantalla (tarea 6.1), la tarea 6.0 fija un sistema de diseño compartido — paleta, tipografía, breakpoints y las tres correcciones de densidad/teclado/copiado de arriba — validado sobre tres mockups (panel principal, ficha de expediente y chat con citas). Sin esto, cada una de las tareas 6.1-6.9 tiende a resolver su propia estética por separado y el resultado final se ve como pantallas sueltas, no como una sola aplicación.</w:t>
      </w:r>
    </w:p>
    <w:p>
      <w:pPr>
        <w:pStyle w:val="Heading3"/>
        <w:spacing w:after="80" w:before="220"/>
      </w:pPr>
      <w:r>
        <w:t xml:space="preserve">6.0. Sistema de diseño: MudTheme, tipografía y breakpoints</w:t>
      </w:r>
    </w:p>
    <w:p>
      <w:pPr>
        <w:spacing w:after="80"/>
      </w:pPr>
      <w:r>
        <w:rPr>
          <w:b/>
          <w:bCs/>
        </w:rPr>
        <w:t xml:space="preserve">Por qué: </w:t>
      </w:r>
      <w:r>
        <w:t xml:space="preserve">Un dashboard de despacho maneja mucho dato denso (tablas, pestañas, cronologías); sin una paleta y una tipografía decididas de antemano, cada pantalla de las tareas 6.1-6.9 improvisa la suya y el resultado se percibe inconsistente aunque cada pantalla por separado esté bien construida. Fijarlo una vez, antes de la primera pantalla, es más barato que homogeneizar nueve pantallas ya construidas.</w:t>
      </w:r>
    </w:p>
    <w:p>
      <w:pPr>
        <w:spacing w:after="80"/>
      </w:pPr>
      <w:r>
        <w:rPr>
          <w:b/>
          <w:bCs/>
        </w:rPr>
        <w:t xml:space="preserve">Alcance: </w:t>
      </w:r>
      <w:r>
        <w:t xml:space="preserve">Un MudTheme compartido (registrado una vez en el layout raíz de la tarea 6.1) con: color primario azul marino oscuro (#1B3A5C, transmite seriedad/confianza, no un azul genérico de librería), color de acento ámbar (#B8860B) reservado para llamadas a la acción puntuales, verde (#2E7D32) para estados confirmados/completados, ámbar (#ED6C02) para plazos próximos y rojo (#C62828) solo para plazos urgentes/vencidos y errores — el color debe usarse con este significado en toda la aplicación, no de forma decorativa. Tipografía combinada de dos familias (decisión revisada el 2026-09-19, ver nota de ampliación más abajo): Fraunces (serif) para títulos de pantalla, las cifras grandes de las tarjetas de estadística, la marca «Compás» en cabecera/panel de acceso y los títulos del login; Public Sans para el resto de la interfaz (tablas, chips, botones, campos, etiquetas). Ambas auto-alojadas como ficheros de fuente propios, no cargadas desde Google Fonts. Tres breakpoints de comportamiento: escritorio (Lg/Xl, el uso principal esperado) con layouts multicolumna como en el mockup del panel principal; tablet (Md) con el MudDrawer de navegación colapsado a overlay temporal; móvil (Xs/Sm) con las pestañas de la ficha de expediente (tarea 6.4) convertidas en un MudSelect o acordeón en vez de una fila de pestañas, porque una fila de 5 pestañas no cabe legible en una pantalla estrecha. Densidad por defecto Dense (no Comfortable/Spacious) en todo MudTable/MudDataGrid de la aplicación — prioriza filas visibles sin scroll sobre espacio en blanco, según la validación de UX de arriba. Navegación por teclado en formularios de entrada de datos: el orden de Tab debe seguir el orden visual de los campos y Enter debe avanzar al siguiente campo (o enviar el formulario en el último), sin depender del ratón para completar un alta. Componente reutilizable BotonCopiar.razor (icono de copiar + texto corto) que copie al portapapeles del navegador un folio o el nombre de un documento, para usarlo en las tareas 6.5 y 6.6.</w:t>
      </w:r>
    </w:p>
    <w:p>
      <w:pPr>
        <w:spacing w:after="80"/>
      </w:pPr>
      <w:r>
        <w:rPr>
          <w:b/>
          <w:bCs/>
        </w:rPr>
        <w:t xml:space="preserve">Criterio de terminado: </w:t>
      </w:r>
      <w:r>
        <w:t xml:space="preserve">El tema se aplica una sola vez en el layout raíz y todas las pantallas de 6.1-6.9 lo heredan sin redefinir colores o tipografía localmente; reducir la ventana del navegador a anchura de tablet/móvil colapsa la navegación y las pestañas de la ficha de expediente sin que ningún texto quede cortado o ilegible; cualquier MudTable/MudDataGrid de prueba se ve en modo Dense por defecto; completar un formulario de alta (por ejemplo un Cliente) solo con Tab y Enter, sin tocar el ratón, funciona de principio a fin; BotonCopiar copia el texto correcto al portapapeles y lo confirma visualmente (por ejemplo con un MudSnackbar breve).</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MudTheme en el proyecto Blazor (registrado globalmente en el layout raíz, antes de construir ninguna pantalla) con Palette.Primary = #1B3A5C, un color de acento #B8860B reservado para botones de acción principal (uno por pantalla, no varios), Success = #2E7D32, Warning = #ED6C02 y Error = #C62828, documentando en un comentario que Warning se usa para plazos próximos y Error solo para plazos vencidos/urgentes o fallos, no como color decorativo. Configura el Theme.Typography del MudTheme con dos familias, no una: Fraunces para Typography.H1-H6 y para el valor de las tarjetas de estadística, y Public Sans para Typography.Default, Body1, Body2, Button, Caption y Overline — fija el FontFamily en cada variante por separado, porque fijarlo solo en Default no se propaga de forma fiable a todas las variantes en MudBlazor. No cargues las fuentes desde el CDN de Google Fonts: descarga los pesos necesarios de Fraunces (500/600/700) y Public Sans (400/500/600/700) en formato .woff2, colócalos en wwwroot/fonts/ y decláralos con @font-face en la hoja de estilos propia de la app — auto-alojar evita enviar la IP de cada visitante a Google en cada carga de página, un problema real de RGPD en la UE que además contradice el propio texto de la pantalla de acceso ("datos alojados en la UE"). Fija Dense="true" como valor por defecto para MudTable y MudDataGrid en toda la aplicación (por convención de equipo si no hay un valor global de librería, documentado en un comentario visible para quien construya pantallas nuevas). Define en el layout raíz (de la tarea 6.1/6.2) el comportamiento responsive: MudDrawer con Variant.Temporary por debajo del breakpoint Md, y dimensiona el contenido para que en Xs/Sm no dependa de mostrar muchas columnas a la vez. Revisa el orden de tabulación (atributo tabindex o el orden natural de los MudTextField/MudSelect) en un formulario de ejemplo y confirma que se puede rellenar y enviar solo con teclado. Crea el componente BotonCopiar.razor que reciba un texto y lo copie al portapapeles usando la interoperabilidad JS mínima de Blazor (navigator.clipboard.writeText), mostrando una confirmación breve (MudSnackbar) al copiar. Verifica visualmente reduciendo la ventana del navegador a anchura de tablet y de móvil, confirmando que nada queda cortado ni ilegible antes de dar la tarea por terminada.</w:t>
      </w:r>
    </w:p>
    <w:p>
      <w:pPr>
        <w:spacing w:after="80"/>
      </w:pPr>
      <w:r>
        <w:rPr>
          <w:b/>
          <w:bCs/>
        </w:rPr>
        <w:t xml:space="preserve">Ampliado el 2026-09-19 (pregunta de Manuel sobre MudBlazor y fidelidad visual): </w:t>
      </w:r>
      <w:r>
        <w:t xml:space="preserve">MudBlazor se eligió en esta fase por su lógica interactiva (tablas con orden/filtro/paginación, subida de archivos, pestañas, líneas de tiempo, diálogos y snackbars), no por su estética por defecto — sus componentes traen su propio aspecto tipo Material (paddings, sombras, ripple) que no se parece al diseño plano de mockup_pantallas_compas.html sin trabajo de sobrescritura. MudTheme (tarea 6.0) cubre los tokens globales (color, tipografía, densidad), pero eso no basta por sí solo para iguales el aspecto de MudAppBar/MudDrawer/MudDataGrid al del mockup — hace falta además CSS propio con suficiente especificidad, o los parámetros Class/Style de cada componente, y es un trabajo real, no automático. Para no dar esto por sentado, la estrategia para las tareas 6.1-6.9 es mixta: el "chrome" propio de la aplicación sin lógica interactiva compleja (login-shell, app-topbar, app-drawer de navegación, stat-grid, filas de plazo con punto de color, chips) se construye como Razor+CSS plano, reutilizando casi literalmente las clases y la hoja de estilos ya existentes en mockup_pantallas_compas.html, sin forzarlo dentro de MudAppBar/MudDrawer/MudCard si el componente Mud no encaja de forma natural con ese diseño; los componentes Mud concretos (MudDataGrid, MudFileUpload, MudTabs, MudTimeline, MudDialog, MudSnackbar) se reservan para donde de verdad hace falta su comportamiento, asumiendo que sobrescribir su CSS para que no se vean con el estilo Material por defecto lleva iteración real.</w:t>
      </w:r>
    </w:p>
    <w:p>
      <w:pPr>
        <w:spacing w:after="80"/>
      </w:pPr>
      <w:r>
        <w:rPr>
          <w:b/>
          <w:bCs/>
        </w:rPr>
        <w:t xml:space="preserve">Prueba de concepto recomendada antes de 6.1-6.4 completos: </w:t>
      </w:r>
      <w:r>
        <w:t xml:space="preserve">sin backend ni datos reales, reproducir el login-shell entero como Razor+CSS plano (debería salir prácticamente calcado, al ser solo HTML/CSS traducido a Razor) y, por separado, envolver una tabla de prueba en un MudDataGrid intentando acercar su aspecto a .exp-table-scroll del mockup. En un par de horas esto mide cuánto esfuerzo real de sobrescritura hace falta con los componentes Mud, en vez de descubrirlo después de construir las nueve pantallas completas — no se ha podido ejecutar esta prueba todavía porque este entorno no tiene el SDK de .NET disponible (ni en el contenedor en la nube ni en el puente al PC de Manuel); queda como primer paso real de la tarea 6.1, no como una garantía dada por sentada.</w:t>
      </w:r>
    </w:p>
    <w:p>
      <w:pPr>
        <w:spacing w:after="240"/>
      </w:pPr>
      <w:r>
        <w:rPr>
          <w:b/>
          <w:bCs/>
        </w:rPr>
        <w:t xml:space="preserve">Ampliado el 2026-09-19 (decisión de Manuel sobre tipografía, tras comparar visualmente ambos mockups): </w:t>
      </w:r>
      <w:r>
        <w:t xml:space="preserve">Manuel decidió quedarse con MudBlazor por facilidad de mantenimiento (frente al enfoque híbrido de CSS a medida barajado más arriba), a condición de corregir varios detalles visuales concretos (bordes de campo más redondeados, chips en tono suave en vez de color sólido, checkbox por fila visible en el listado de OCR) y, después, personalizar deliberadamente la tipografía para acercarse más a mockup_pantallas_compas.html en vez de quedarse con el Roboto por defecto de MudBlazor — evaluado y validado visualmente sobre mockup_pantallas_compas_mudblazor.html, que sirve de referencia directa para quien construya esta tarea, no solo esta nota. Esta personalización tipográfica es una decisión centralizada en el Theme.Typography del MudTheme (se fija una sola vez, no se repite pantalla por pantalla) y por eso no compromete de forma significativa el mantenimiento futuro: el coste real es puntual, no continuo — fijar el FontFamily en cada variante de Typography por separado (no solo en Default) y revisar una vez que los componentes propios de MudBlazor (botones, chips, tablas) no queden con paddings extraños al usar una fuente con métricas distintas a Roboto. El texto de Alcance y de Prompt para el agente de esta misma tarea ya recogen la decisión final (Fraunces + Public Sans, auto-alojadas); este párrafo queda como registro de por qué cambió.</w:t>
      </w:r>
    </w:p>
    <w:p>
      <w:pPr>
        <w:pStyle w:val="Heading3"/>
        <w:spacing w:after="80" w:before="220"/>
      </w:pPr>
      <w:r>
        <w:t xml:space="preserve">6.1. Elegir stack y montar el proyecto Blazor Server + MudBlazor</w:t>
      </w:r>
    </w:p>
    <w:p>
      <w:pPr>
        <w:spacing w:after="80"/>
      </w:pPr>
      <w:r>
        <w:rPr>
          <w:b/>
          <w:bCs/>
        </w:rPr>
        <w:t xml:space="preserve">Por qué: </w:t>
      </w:r>
      <w:r>
        <w:t xml:space="preserve">Ya está fundamentada la decisión de stack arriba; hace falta el scaffold del proyecto, con el MudTheme de la tarea 6.0 ya cargado, antes de poder construir ninguna pantalla real.</w:t>
      </w:r>
    </w:p>
    <w:p>
      <w:pPr>
        <w:spacing w:after="80"/>
      </w:pPr>
      <w:r>
        <w:rPr>
          <w:b/>
          <w:bCs/>
        </w:rPr>
        <w:t xml:space="preserve">Alcance: </w:t>
      </w:r>
      <w:r>
        <w:t xml:space="preserve">Nuevo proyecto Blazor Server (.NET 8) dentro de la solución (por ejemplo src/Web), con MudBlazor instalado y el MudTheme de la tarea 6.0 registrado en el layout raíz (MudThemeProvider/MudDialogProvider/MudSnackbarProvider, AddMudServices en Program.cs). Un HttpClient tipado hacia la Api (URL configurable en appsettings.json) y un TokenProvider en memoria que añada el JWT como cabecera Authorization Bearer en cada petición saliente vía un DelegatingHandler — reutilizando por ahora el flujo de dev-token (se sustituye sin tocar el resto de pantallas cuando exista login real en la tarea 3.1, porque ambos acaban dejando un JWT en el mismo TokenProvider).</w:t>
      </w:r>
    </w:p>
    <w:p>
      <w:pPr>
        <w:spacing w:after="80"/>
      </w:pPr>
      <w:r>
        <w:rPr>
          <w:b/>
          <w:bCs/>
        </w:rPr>
        <w:t xml:space="preserve">Criterio de terminado: </w:t>
      </w:r>
      <w:r>
        <w:t xml:space="preserve">El proyecto arranca, muestra una página de ejemplo con componentes MudBlazor, y una página de prueba que liste los expedientes reales (vía GET /api/expedientes con un token de dev-token) funciona sin datos simulados.</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proyecto Blazor Server (dotnet new blazorserver -o src/Web, .NET 8) dentro de la solución. Añade el paquete NuGet MudBlazor siguiendo su guía de instalación oficial (referencias en _Imports.razor, proveedores en el layout raíz, AddMudServices en Program.cs). Crea un HttpClient tipado (por ejemplo IExpedientesApiClient) registrado con AddHttpClient apuntando a la URL de la Api configurable en appsettings.json, y un servicio TokenProvider en memoria que por ahora obtenga el JWT llamando a POST /api/auth/dev-token, añadiéndolo como cabecera Authorization Bearer en cada petición saliente mediante un DelegatingHandler. Crea una página de prueba que liste expedientes reales usando un MudTable o MudDataGrid simple. Confirma que, con un token de dev-token válido para un tenant de prueba, la página muestra expedientes reales creados previamente desde Swagger, no datos mockeados.</w:t>
      </w:r>
    </w:p>
    <w:p>
      <w:pPr>
        <w:pStyle w:val="Heading3"/>
        <w:spacing w:after="80" w:before="220"/>
      </w:pPr>
      <w:r>
        <w:t xml:space="preserve">6.2. Layout general, navegación y sesión de desarrollo</w:t>
      </w:r>
    </w:p>
    <w:p>
      <w:pPr>
        <w:spacing w:after="80"/>
      </w:pPr>
      <w:r>
        <w:rPr>
          <w:b/>
          <w:bCs/>
        </w:rPr>
        <w:t xml:space="preserve">Por qué: </w:t>
      </w:r>
      <w:r>
        <w:t xml:space="preserve">Todas las pantallas siguientes cuelgan de una navegación común (Expedientes, Clientes, Auditoría) y de saber si hay un usuario autenticado; construirlo una sola vez evita rehacer el layout en cada pantalla nueva.</w:t>
      </w:r>
    </w:p>
    <w:p>
      <w:pPr>
        <w:spacing w:after="80"/>
      </w:pPr>
      <w:r>
        <w:rPr>
          <w:b/>
          <w:bCs/>
        </w:rPr>
        <w:t xml:space="preserve">Alcance: </w:t>
      </w:r>
      <w:r>
        <w:t xml:space="preserve">MudLayout con MudDrawer (navegación lateral, con el comportamiento responsive Variant.Temporary por debajo de Md ya definido en la tarea 6.0) y MudAppBar (cabecera con el tenant/usuario actual), rutas base para Expedientes, Clientes y Auditoría (esta última solo visible para el rol Administrador), y una pantalla mínima de "sesión de desarrollo" que pida un tenantId y llame a dev-token para dejar un JWT en el TokenProvider de la tarea 6.1 (se sustituye por el login real de la tarea 3.1 sin rehacer el resto, porque ambos flujos alimentan el mismo TokenProvider).</w:t>
      </w:r>
    </w:p>
    <w:p>
      <w:pPr>
        <w:spacing w:after="80"/>
      </w:pPr>
      <w:r>
        <w:rPr>
          <w:b/>
          <w:bCs/>
        </w:rPr>
        <w:t xml:space="preserve">Referencia: </w:t>
      </w:r>
      <w:r>
        <w:t xml:space="preserve">mockup_pantallas_compas.html, pantalla "screen-login" (login-shell/login-aside/login-card: eyebrow, título, campos Despacho/Correo/Contraseña, checkbox Recordarme, enlace ¿Olvidaste tu contraseña?, botón primario, pie con enlace “Solicita acceso”) y la cabecera/menú lateral de "screen-dashboard" (app-topbar con buscador/campana/chip de usuario, app-drawer con los 8 enlaces de navegación y sus iconos) — es la referencia visual literal para esta tarea, no un rediseño desde los wireframes de baja fidelidad de fase0_dominio_ux.docx.</w:t>
      </w:r>
    </w:p>
    <w:p>
      <w:pPr>
        <w:spacing w:after="80"/>
      </w:pPr>
      <w:r>
        <w:rPr>
          <w:b/>
          <w:bCs/>
        </w:rPr>
        <w:t xml:space="preserve">Criterio de terminado: </w:t>
      </w:r>
      <w:r>
        <w:t xml:space="preserve">Navegar entre secciones no recarga el layout completo; cualquier ruta protegida sin un token válido en el TokenProvider redirige a la pantalla de sesión de desarrollo; la sección Auditoría no aparece en la navegación para un usuario sin rol Administrador.</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layout MudBlazor (MudLayout, MudDrawer con navegación lateral, MudAppBar con cabecera) que envuelva toda la aplicación. Define rutas base para /expedientes, /clientes y /auditoria (esta última protegida para el rol Administrador, con un AuthorizeView o comprobación equivalente). Crea una página /dev-login mínima que pida un tenantId, llame a POST /api/auth/dev-token, y guarde el accessToken resultante en el TokenProvider de la tarea 6.1. Añade una comprobación (por ejemplo un CascadingAuthenticationState o un servicio de sesión propio) que redirija a /dev-login cualquier ruta protegida si no hay token válido en el TokenProvider. Confirma que la sección Auditoría no aparece en el MudDrawer para un usuario sin rol Administrador. Antes de escribir ningún marcado propio, abre mockup_pantallas_compas.html y usa la sección screen-login y la cabecera/menú de screen-dashboard como referencia visual literal (ver "Referencia" arriba) — traduce esa disposición, esos textos y esos iconos a Razor+MudBlazor, sin rediseñar la pantalla desde cero.</w:t>
      </w:r>
    </w:p>
    <w:p>
      <w:r>
        <w:rPr>
          <w:b/>
          <w:i w:val="0"/>
        </w:rPr>
        <w:t xml:space="preserve">Ampliado el 2026-08-30: </w:t>
      </w:r>
      <w:r>
        <w:rPr>
          <w:b w:val="0"/>
          <w:i w:val="0"/>
        </w:rPr>
        <w:t>la pantalla de “sesión de desarrollo” de esta tarea es, de cara al usuario, la pantalla de Login pedida por Manuel — un formulario con email y contraseña, no un campo suelto de tenantId. Aviso de dependencia: el login real (tarea 3.1, POST /api/auth/login con Usuario y hash de contraseña) NO está implementado todavía según el estado real del proyecto (ESTADO_PROYECTO.md, 2026-08-28) — el sistema sigue funcionando solo con dev-token. Para no bloquear el frontend en 3.1, el formulario de Login se construye ya con su aspecto final (email + contraseña, validación, mensaje de error legible), pero por dentro sigue llamando a POST /api/auth/dev-token mientras 3.1 no exista — mismo patrón ya previsto en el Alcance de arriba (“se sustituye por el login real... sin rehacer el resto, porque ambos flujos alimentan el mismo TokenProvider”). Si se quiere un login funcionalmente real cuanto antes, conviene adelantar 3.1 en paralelo con esta tarea, no después. Decidido por Manuel el 2026-09-19 (Opción A, entre las dos planteadas en proximas_acciones.docx): se construye ya el Login con este aspecto final llamando a dev-token por dentro, y 3.1 (login real) queda para más adelante, no como bloqueante de la Fase 6.</w:t>
      </w:r>
    </w:p>
    <w:p>
      <w:pPr>
        <w:pStyle w:val="Heading3"/>
        <w:spacing w:after="80" w:before="220"/>
      </w:pPr>
      <w:r>
        <w:t xml:space="preserve">6.3. Panel principal (dashboard)</w:t>
      </w:r>
    </w:p>
    <w:p>
      <w:pPr>
        <w:spacing w:after="80"/>
      </w:pPr>
      <w:r>
        <w:rPr>
          <w:b/>
          <w:bCs/>
        </w:rPr>
        <w:t xml:space="preserve">Por qué: </w:t>
      </w:r>
      <w:r>
        <w:t xml:space="preserve">Es el primer wireframe de fase0_dominio_ux.docx, ya validado: plazos próximos destacados arriba (lo más urgente, no lo más reciente) y listado de expedientes activos con materia y estado visibles de un vistazo. No hay que rediseñar la disposición, solo construirla.</w:t>
      </w:r>
    </w:p>
    <w:p>
      <w:pPr>
        <w:spacing w:after="80"/>
      </w:pPr>
      <w:r>
        <w:rPr>
          <w:b/>
          <w:bCs/>
        </w:rPr>
        <w:t xml:space="preserve">Alcance: </w:t>
      </w:r>
      <w:r>
        <w:t xml:space="preserve">Página inicial tras la sesión que muestre arriba los Plazos con fecha_limite más próxima (ordenados, con aviso visual si quedan pocos días) y debajo un listado de Expedientes activos con materia y estado, con filtro rápido, usando MudTable o MudDataGrid en modo Dense (tarea 6.0) — prioriza que quepan muchas filas sin scroll sobre el espaciado del wireframe original.</w:t>
      </w:r>
    </w:p>
    <w:p>
      <w:pPr>
        <w:spacing w:after="80"/>
      </w:pPr>
      <w:r>
        <w:rPr>
          <w:b/>
          <w:bCs/>
        </w:rPr>
        <w:t xml:space="preserve">Referencia: </w:t>
      </w:r>
      <w:r>
        <w:t xml:space="preserve">mockup_pantallas_compas.html, pantalla "screen-dashboard" (page-head, stat-grid de 4 tarjetas, panel "Plazos próximos" con chips de urgencia chip-danger/chip-warn/chip-neutral, tabla "Expedientes activos" con filtro y botón "Nuevo expediente", paneles "Actividad reciente"/"Accesos rápidos" y "Cola de OCR") — es la referencia visual literal para esta tarea. De momento solo "Plazos próximos" y "Expedientes activos" tienen datos reales sembrados (seed_datos_ficticios.sql); las 4 tarjetas de estadísticas, "Actividad reciente" y "Cola de OCR" dependen de datos que el pipeline de OCR/IA todavía no genera — no rellenarlas con los números fijos del mockup (47 expedientes, 3.214 páginas, etc.): mostrar 0 o "sin datos todavía" es la opción honesta hasta que existan datos reales que resumir.</w:t>
      </w:r>
    </w:p>
    <w:p>
      <w:pPr>
        <w:spacing w:after="80"/>
      </w:pPr>
      <w:r>
        <w:rPr>
          <w:b/>
          <w:bCs/>
        </w:rPr>
        <w:t xml:space="preserve">Criterio de terminado: </w:t>
      </w:r>
      <w:r>
        <w:t xml:space="preserve">La pantalla muestra datos reales del tenant autenticado; los plazos con fecha más cercana aparecen primero y visualmente destacados (por ejemplo con color según urgencia); pinchar un expediente del listado navega a su ficha (tarea 6.4); la tabla de expedientes cabe con varias decenas de filas visibles sin necesidad de scroll en una pantalla de escritorio normal.</w:t>
      </w:r>
    </w:p>
    <w:p>
      <w:pPr>
        <w:pBdr>
          <w:left w:val="single" w:color="999999" w:sz="12" w:space="8"/>
        </w:pBdr>
        <w:spacing w:after="240" w:before="60"/>
        <w:ind w:left="431"/>
      </w:pPr>
      <w:r>
        <w:rPr>
          <w:b/>
          <w:bCs/>
          <w:i/>
          <w:iCs/>
          <w:color w:val="444444"/>
        </w:rPr>
        <w:t xml:space="preserve">Prompt para el agente: </w:t>
      </w:r>
      <w:r>
        <w:rPr>
          <w:i/>
          <w:iCs/>
          <w:color w:val="444444"/>
        </w:rPr>
        <w:t xml:space="preserve">Crea la página de inicio (/expedientes o /dashboard) con dos secciones: arriba, los Plazos del tenant actual ordenados por fecha_limite ascendente, destacando visualmente (color o icono) los que venzan en pocos días; debajo, un MudTable o MudDataGrid en modo Dense con los Expedientes activos (materia, estado, cliente), con un cuadro de filtro rápido por texto. Cada fila de expediente navega a /expedientes/{id} (ficha de expediente, tarea 6.4). Prueba con datos reales creados desde Swagger o desde la propia UI y confirma que el orden y el destacado de plazos es correcto, y que la densidad permite ver muchas filas sin scroll. Antes de escribir ningún marcado propio, abre mockup_pantallas_compas.html y usa la sección screen-dashboard como referencia visual literal (ver "Referencia" arriba) para el page-head, el stat-grid, el panel de Plazos y la tabla de Expedientes — pero solo con datos reales del seed para Plazos y Expedientes; en las 4 tarjetas de estadísticas, Actividad reciente y Cola de OCR, no copies los números fijos del mockup — déjalas en 0 o con un aviso de "sin datos todavía" hasta que haya un origen real que resumir.</w:t>
      </w:r>
    </w:p>
    <w:p>
      <w:pPr>
        <w:pStyle w:val="Heading3"/>
        <w:spacing w:after="80" w:before="220"/>
      </w:pPr>
      <w:r>
        <w:t xml:space="preserve">6.4. Ficha de expediente (pestañas)</w:t>
      </w:r>
    </w:p>
    <w:p>
      <w:pPr>
        <w:spacing w:after="80"/>
      </w:pPr>
      <w:r>
        <w:rPr>
          <w:b/>
          <w:bCs/>
        </w:rPr>
        <w:t xml:space="preserve">Por qué: </w:t>
      </w:r>
      <w:r>
        <w:t xml:space="preserve">Es el segundo wireframe de fase0_dominio_ux.docx y el punto central de la aplicación: es donde confluyen el dominio legal, los documentos y la IA documental para un expediente concreto.</w:t>
      </w:r>
    </w:p>
    <w:p>
      <w:pPr>
        <w:spacing w:after="80"/>
      </w:pPr>
      <w:r>
        <w:rPr>
          <w:b/>
          <w:bCs/>
        </w:rPr>
        <w:t xml:space="preserve">Alcance: </w:t>
      </w:r>
      <w:r>
        <w:t xml:space="preserve">Página de detalle con MudTabs: Datos generales (cliente, materia, fechas, selector de transición de estado de la tarea 4.1), Partes (ParteContraria), Plazos/Actuaciones, Documentos (desarrollada en la tarea 6.5) y Facturación (Facturas y ProvisionDeFondos), manteniendo siempre visibles en una columna lateral los próximos plazos y el historial de cambios de estado (tarea 4.2) de ese expediente. Por debajo del breakpoint Sm definido en la tarea 6.0, sustituye la fila de pestañas por un MudSelect o un acordeón — cinco pestañas en una fila no caben legibles en una pantalla estrecha.</w:t>
      </w:r>
    </w:p>
    <w:p>
      <w:pPr>
        <w:spacing w:after="80"/>
      </w:pPr>
      <w:r>
        <w:rPr>
          <w:b/>
          <w:bCs/>
        </w:rPr>
        <w:t xml:space="preserve">Criterio de terminado: </w:t>
      </w:r>
      <w:r>
        <w:t xml:space="preserve">Cada pestaña muestra datos reales de ese expediente; cambiar el estado desde Datos generales usa PATCH /api/expedientes/{id}/estado y muestra de forma legible el error 400 si se intenta una transición inválida, en vez de un JSON crudo; cualquier formulario de alta o edición dentro de las pestañas (por ejemplo añadir una Parte o un Plazo) se puede completar y enviar solo con Tab y Enter, según la convención de teclado de la tarea 6.0.</w:t>
      </w:r>
    </w:p>
    <w:p>
      <w:pPr>
        <w:pBdr>
          <w:left w:val="single" w:color="999999" w:sz="12" w:space="8"/>
        </w:pBdr>
        <w:spacing w:after="240" w:before="60"/>
        <w:ind w:left="431"/>
      </w:pPr>
      <w:r>
        <w:rPr>
          <w:b/>
          <w:bCs/>
          <w:i/>
          <w:iCs/>
          <w:color w:val="444444"/>
        </w:rPr>
        <w:t xml:space="preserve">Prompt para el agente: </w:t>
      </w:r>
      <w:r>
        <w:rPr>
          <w:i/>
          <w:iCs/>
          <w:color w:val="444444"/>
        </w:rPr>
        <w:t xml:space="preserve">Crea la página /expedientes/{id} con un MudTabs con las pestañas Datos generales, Partes, Plazos/Actuaciones, Documentos y Facturación, cada una consumiendo su endpoint correspondiente del Paso 6 de la guía (ClientesEndpoints, PartesContrariasEndpoints, PlazosEndpoints, FacturasEndpoints/ProvisionesFondosEndpoints). En Datos generales añade un selector de estado que llame a PATCH /api/expedientes/{id}/estado, mostrando en un MudAlert o MudSnackbar el mensaje de error tal cual lo devuelve la Api si la transición no es válida. Añade una columna lateral (MudPaper fijo) con los próximos Plazos del expediente y su historial de cambios de estado (GET /api/expedientes/{id}/historial de la tarea 4.2). En los formularios de alta/edición de Partes y Plazos, revisa el orden de los campos (tabindex u orden natural de MudTextField/MudSelect) para que se puedan rellenar y enviar sin tocar el ratón. Prueba navegando a un expediente real y confirma que cada pestaña refleja los datos correctos y que al menos un formulario se completa solo con teclado.</w:t>
      </w:r>
    </w:p>
    <w:p>
      <w:pPr>
        <w:pStyle w:val="Heading3"/>
        <w:spacing w:after="80" w:before="220"/>
      </w:pPr>
      <w:r>
        <w:t xml:space="preserve">6.5. Documentos: subida, estado de procesamiento, foliado y visor</w:t>
      </w:r>
    </w:p>
    <w:p>
      <w:pPr>
        <w:spacing w:after="80"/>
      </w:pPr>
      <w:r>
        <w:rPr>
          <w:b/>
          <w:bCs/>
        </w:rPr>
        <w:t xml:space="preserve">Por qué: </w:t>
      </w:r>
      <w:r>
        <w:t xml:space="preserve">Es la pestaña que conecta la ficha de expediente con todo el pipeline de IA (IA.2 y IA.2b); sin visibilidad del estado de procesamiento, el abogado no sabe si un documento subido ya está listo para citarse o buscarse en el chat. Decisión tomada el 2026-08-08 tras revisar cómo lo resuelven Clio, Kleos, LexON y Tirant Gestión: ninguno de ellos renderiza Word/Excel dentro del navegador — el patrón del sector para despacho pequeño es visor embebido solo para PDF (que además es donde vive el foliado/OCR de este proyecto) y descargar-y-abrir en la aplicación nativa para Word/Excel. Replicar eso evita construir o pagar un servidor de renderizado de Office (tipo Collabora/OnlyOffice), que sería un proyecto en sí mismo y no aporta nada que Clio/Kleos ya no ofrezcan tampoco.</w:t>
      </w:r>
    </w:p>
    <w:p>
      <w:pPr>
        <w:spacing w:after="80"/>
      </w:pPr>
      <w:r>
        <w:rPr>
          <w:b/>
          <w:bCs/>
        </w:rPr>
        <w:t xml:space="preserve">Alcance: </w:t>
      </w:r>
      <w:r>
        <w:t xml:space="preserve">Dentro de la pestaña Documentos: formulario de subida (MudFileUpload) hacia el endpoint de subida de la Fase 2.4, listado de documentos con su EstadoProcesamiento (indicador visual pendiente/procesando/completado/error), y para cada documento completado, su rango de folio (folio_inicio-folio_fin) y el tipo_documento sugerido con su tipo_documento_confianza, con un control para corregirlo si el abogado no está de acuerdo. Cada fila incluye el BotonCopiar de la tarea 6.0 junto al folio y junto al nombre del archivo, pensado para el flujo de redactar un escrito con el expediente y Word abiertos a la vez. Además: si el documento es un PDF, un botón "Ver" que lo abre embebido dentro de la misma pestaña (PDF.js, MIT); si es Word/Excel/otro formato, un botón "Descargar" que lo abre con la aplicación del sistema — no se construye ningún visor ni editor de Word/Excel dentro de la plataforma. Cada subida es un DocumentoAdjunto independiente, sin relación de "versión de otro": si el abogado sube dos veces un escrito corregido, aparecen como dos documentos distintos con su propio folio, igual que trataría un documento en papel entregado dos veces — el control de versiones de un borrador en redacción se queda en el Word del abogado, fuera de la plataforma.</w:t>
      </w:r>
    </w:p>
    <w:p>
      <w:pPr>
        <w:spacing w:after="80"/>
      </w:pPr>
      <w:r>
        <w:rPr>
          <w:b/>
          <w:bCs/>
        </w:rPr>
        <w:t xml:space="preserve">Criterio de terminado: </w:t>
      </w:r>
      <w:r>
        <w:t xml:space="preserve">Subir un documento de prueba lo muestra en pendiente, pasa a procesando y luego a completado sin recargar la página a mano (con polling periódico o SignalR), y al completarse aparecen su folio y el tipo de documento sugerido; pulsar el botón de copiar junto al folio deja ese texto en el portapapeles, confirmado con un aviso breve. Un documento PDF se abre embebido con el botón Ver sin descargar nada; un documento Word o Excel se descarga y se abre con la aplicación del sistema al pulsar Descargar, sin que la plataforma intente mostrar su contenido.</w:t>
      </w:r>
    </w:p>
    <w:p>
      <w:pPr>
        <w:pBdr>
          <w:left w:val="single" w:color="999999" w:sz="12" w:space="8"/>
        </w:pBdr>
        <w:spacing w:after="240" w:before="60"/>
        <w:ind w:left="431"/>
      </w:pPr>
      <w:r>
        <w:rPr>
          <w:b/>
          <w:bCs/>
          <w:i/>
          <w:iCs/>
          <w:color w:val="444444"/>
        </w:rPr>
        <w:t xml:space="preserve">Prompt para el agente: </w:t>
      </w:r>
      <w:r>
        <w:rPr>
          <w:i/>
          <w:iCs/>
          <w:color w:val="444444"/>
        </w:rPr>
        <w:t xml:space="preserve">En la pestaña Documentos de la ficha de expediente, añade un MudFileUpload que suba el archivo al endpoint de subida ya existente (Fase 2.4) y un listado (MudTable en modo Dense) de los documentos del expediente con su EstadoProcesamiento representado visualmente (por ejemplo un MudChip de color distinto por estado). Para los documentos en estado Completado, muestra folio_inicio-folio_fin y tipo_documento con su tipo_documento_confianza (por ejemplo como porcentaje), con un botón o selector para corregir el tipo si el abogado no está de acuerdo (llamando al endpoint de actualización de metadatos de DocumentoAdjunto). Añade el componente BotonCopiar (tarea 6.0) junto al rango de folio y junto al nombre de archivo de cada fila. Según el content_type del documento: si es PDF, añade un botón "Ver" que lo muestre embebido en la propia página usando PDF.js (MIT, gratis); para cualquier otro tipo (Word, Excel, imágenes), añade un botón "Descargar" que sirva el archivo original para abrirlo con la aplicación del sistema del abogado — no implementes ningún visor ni editor de Word/Excel dentro de la plataforma, ni ninguna relación de versión entre documentos (cada subida es un DocumentoAdjunto independiente). Implementa una actualización periódica (polling cada pocos segundos, o una notificación por SignalR si prefieres evitarlo) para que el estado pase de pendiente a procesando a completado sin que el usuario tenga que refrescar la página a mano. Prueba subiendo un documento real, sigue su estado hasta completado, confirma que copiar el folio funciona, y que ver/descargar funciona según el tipo de archivo.</w:t>
      </w:r>
    </w:p>
    <w:p>
      <w:r>
        <w:rPr>
          <w:b/>
          <w:i w:val="0"/>
        </w:rPr>
        <w:t xml:space="preserve">Ampliado el 2026-08-30 (requisito explícito de Manuel): </w:t>
      </w:r>
      <w:r>
        <w:rPr>
          <w:b w:val="0"/>
          <w:i w:val="0"/>
        </w:rPr>
        <w:t>la subida de documentos de esta tarea se amplía con un flujo de carga múltiple pensado para el caso real de OCR (subir de golpe varios documentos de un expediente, no uno a uno). Alcance añadido: un selector de archivos con el atributo Multiple de MudFileUpload/InputFile de Blazor, que abre el diálogo nativo de selección de archivos del sistema operativo del usuario — no hace falta, ni es viable por el sandboxing del navegador, construir un explorador de archivos propio dentro de la aplicación. Tras elegir varios archivos, se muestran en una lista previa dentro de la misma pantalla, cada uno con checkbox, nombre y tamaño, antes de subir nada; un control “Seleccionar todos/Ninguno” marca o desmarca todos a la vez; solo los archivos marcados se suben (uno por uno contra el mismo endpoint de subida ya descrito arriba, cada uno como su propio DocumentoAdjunto independiente, igual que el resto de esta tarea) al confirmar. Útil en particular para descartar de la selección inicial algún archivo equivocado antes de que entre en el pipeline de OCR, dado que no hay endpoint de borrado todavía.</w:t>
      </w:r>
    </w:p>
    <w:p>
      <w:r>
        <w:rPr>
          <w:b/>
          <w:i/>
        </w:rPr>
        <w:t xml:space="preserve">Prompt para el agente: </w:t>
      </w:r>
      <w:r>
        <w:rPr>
          <w:b w:val="0"/>
          <w:i/>
        </w:rPr>
        <w:t>Añade al formulario de subida de la pestaña Documentos un MudFileUpload con el atributo Multiple habilitado. Al elegir varios archivos, en vez de subirlos inmediatamente, muéstralos en una lista previa (MudTable o MudList) dentro de la misma pantalla, con un MudCheckBox, el nombre y el tamaño de cada archivo, y un MudCheckBox adicional de “Seleccionar todos” que marque o desmarque todas las filas a la vez. Solo al pulsar un botón de confirmación se suben, uno por uno, los archivos marcados contra el endpoint de subida ya existente (POST /api/expedientes/{id}/documentos), cada uno creando su propio DocumentoAdjunto independiente como ya hace el resto de esta tarea. Prueba seleccionando varios archivos de golpe, desmarca alguno antes de confirmar, y comprueba que solo los marcados terminan subidos y entrando en el pipeline de OCR.</w:t>
      </w:r>
    </w:p>
    <w:p>
      <w:pPr>
        <w:pStyle w:val="Heading3"/>
        <w:spacing w:after="80" w:before="220"/>
      </w:pPr>
      <w:r>
        <w:t xml:space="preserve">6.6. Cronología automática y chat con citas</w:t>
      </w:r>
    </w:p>
    <w:p>
      <w:pPr>
        <w:spacing w:after="80"/>
      </w:pPr>
      <w:r>
        <w:rPr>
          <w:b/>
          <w:bCs/>
        </w:rPr>
        <w:t xml:space="preserve">Por qué: </w:t>
      </w:r>
      <w:r>
        <w:t xml:space="preserve">Son las dos pantallas de IA más vistosas del plan maestro, y comparten un mismo patrón de interfaz: mostrar de dónde sale cada afirmación (documento, página, párrafo) para que el abogado pueda verificarla, no solo confiar en ella.</w:t>
      </w:r>
    </w:p>
    <w:p>
      <w:pPr>
        <w:spacing w:after="80"/>
      </w:pPr>
      <w:r>
        <w:rPr>
          <w:b/>
          <w:bCs/>
        </w:rPr>
        <w:t xml:space="preserve">Alcance: </w:t>
      </w:r>
      <w:r>
        <w:t xml:space="preserve">Componente Blazor reutilizable CitaFragmento.razor que muestre "documento, página, párrafo" con el BotonCopiar de la tarea 6.0 integrado, y permita abrir o resaltar ese fragmento de origen — para poder pegar la cita directamente en un escrito sin transcribirla a mano. Pestaña o página de Cronología que consuma GET /api/expedientes/{id}/cronologia y la muestre como línea de tiempo (MudTimeline), cada evento con su CitaFragmento. Página de Chat que consuma POST /api/expedientes/{id}/chat con un historial de conversación (burbujas de pregunta/respuesta), cada respuesta con sus CitaFragmento y, cuando corresponda, un aviso visualmente distinto de "no encontrado en los documentos del expediente" — nunca una respuesta inventada con la misma apariencia que una respuesta con cita real.</w:t>
      </w:r>
    </w:p>
    <w:p>
      <w:pPr>
        <w:spacing w:after="80"/>
      </w:pPr>
      <w:r>
        <w:rPr>
          <w:b/>
          <w:bCs/>
        </w:rPr>
        <w:t xml:space="preserve">Criterio de terminado: </w:t>
      </w:r>
      <w:r>
        <w:t xml:space="preserve">La cronología de un expediente de prueba se ve ordenada cronológicamente con sus citas visibles; el chat responde citando el origen y distingue visualmente (color o icono distinto) una respuesta con cita de un "no encontrado", sin inventar contenido; copiar una cita desde CitaFragmento deja en el portapapeles un texto listo para pegar en un escrito (por ejemplo "Demanda_inicial.pdf, folio 3").</w:t>
      </w:r>
    </w:p>
    <w:p>
      <w:pPr>
        <w:pBdr>
          <w:left w:val="single" w:color="999999" w:sz="12" w:space="8"/>
        </w:pBdr>
        <w:spacing w:after="240" w:before="60"/>
        <w:ind w:left="431"/>
      </w:pPr>
      <w:r>
        <w:rPr>
          <w:b/>
          <w:bCs/>
          <w:i/>
          <w:iCs/>
          <w:color w:val="444444"/>
        </w:rPr>
        <w:t xml:space="preserve">Prompt para el agente: </w:t>
      </w:r>
      <w:r>
        <w:rPr>
          <w:i/>
          <w:iCs/>
          <w:color w:val="444444"/>
        </w:rPr>
        <w:t xml:space="preserve">Crea el componente reutilizable CitaFragmento.razor (recibe documento, página, párrafo, los muestra de forma compacta, incluye el BotonCopiar de la tarea 6.0 y permite un evento o enlace para resaltar/abrir ese fragmento). Crea la pestaña o página Cronología dentro de la ficha de expediente que consuma GET /api/expedientes/{id}/cronologia y la renderice con MudTimeline, usando CitaFragmento en cada entrada. Crea la página Chat (dentro de la ficha de expediente o como pestaña aparte) con un historial de burbujas de conversación que consuma POST /api/expedientes/{id}/chat; cada respuesta del asistente debe mostrar sus CitaFragmento, y si la Api indica que no encontró la información en los documentos, muéstralo con un estilo visualmente distinto (por ejemplo un MudAlert de tipo warning) en vez de como una respuesta normal. Prueba con el caso de despido improcedente (u otro de fase0_dominio_ux.docx), confirma que ambas pantallas citan correctamente su origen, y que copiar una cita funciona.</w:t>
      </w:r>
    </w:p>
    <w:p>
      <w:pPr>
        <w:spacing w:after="160"/>
      </w:pPr>
      <w:r>
        <w:t xml:space="preserve">Ampliado el 2026-09-08 (tras entrevistar a los abogados simulados sobre el ítem de menú Cronología e investigar cómo lo resuelven Clio (Manage AI), Everlaw y los productos de referencia ya citados en IA.5): dos precisiones de alcance que faltaban y una distinción visual que evita confundir el origen de una cita.</w:t>
      </w:r>
    </w:p>
    <w:p>
      <w:pPr>
        <w:spacing w:after="80"/>
      </w:pPr>
      <w:r>
        <w:rPr>
          <w:b/>
          <w:bCs/>
        </w:rPr>
        <w:t xml:space="preserve">Cronología de solo lectura: </w:t>
      </w:r>
      <w:r>
        <w:t xml:space="preserve">La línea de tiempo de esta tarea es de solo lectura: no incluye ningún control de confirmar o descartar sobre las EntidadExtraida ni sobre los EventoCronologia que la alimentan. Esa interacción vive exclusivamente en la tarea 6.7 (Revisión de entidades) — así se evita construir el mismo flujo de confirmar/descartar en dos pantallas distintas. Un evento que aparece en la Cronología es, por definición, uno ya confirmado (o de alta confianza automática, ver IA.4); si el abogado quiere descartar una fecha mal extraída, lo hace desde 6.7, no desde aquí.</w:t>
      </w:r>
    </w:p>
    <w:p>
      <w:pPr>
        <w:spacing w:after="80"/>
      </w:pPr>
      <w:r>
        <w:rPr>
          <w:b/>
          <w:bCs/>
        </w:rPr>
        <w:t xml:space="preserve">Botón “Guardar respuesta”: </w:t>
      </w:r>
      <w:r>
        <w:t xml:space="preserve">Cada respuesta del chat incluye el botón “Guardar respuesta” ya especificado en IA.5 (Fase de IA documental): genera un .docx con la pregunta, la respuesta, las citas exactas y un aviso de origen IA, y lo guarda como un DocumentoAdjunto más del expediente. Sin este botón en la propia pantalla de chat, la funcionalidad ya diseñada en IA.5 quedaría documentada en el backend pero inalcanzable desde la interfaz — un hueco real que no estaba en el alcance original de esta tarea.</w:t>
      </w:r>
    </w:p>
    <w:p>
      <w:pPr>
        <w:spacing w:after="80"/>
      </w:pPr>
      <w:r>
        <w:rPr>
          <w:b/>
          <w:bCs/>
        </w:rPr>
        <w:t xml:space="preserve">Aviso de límite mensual: </w:t>
      </w:r>
      <w:r>
        <w:t xml:space="preserve">Cuando el tenant se acerca al límite mensual de preguntas configurado en IA.5, la pantalla de chat muestra un aviso visible de forma permanente mientras dure esa condición (por ejemplo un MudAlert de tipo warning fijo sobre el historial de conversación), no solo un mensaje de error al superar el límite — el abogado debe poder ver que se está acercando al tope antes de quedarse sin chat a mitad de un caso urgente.</w:t>
      </w:r>
    </w:p>
    <w:p>
      <w:pPr>
        <w:spacing w:after="80"/>
      </w:pPr>
      <w:r>
        <w:rPr>
          <w:b/>
          <w:bCs/>
        </w:rPr>
        <w:t xml:space="preserve">Distinción visual del origen de una cita: </w:t>
      </w:r>
      <w:r>
        <w:t xml:space="preserve">Cuando el despacho tiene jurisprudencia externa configurada (IA.6, opcional y fuera del MVP), cada CitaFragmento del chat debe mostrar de forma visualmente inequívoca si la cita viene de un documento del propio expediente o de una base de datos externa de jurisprudencia — por ejemplo con un chip de color y texto distinto (“Tu expediente” en el azul marino del tema, frente a “Jurisprudencia (Aranzadi)” o “Jurisprudencia (vLex)” en un color distinto con icono de enlace externo) — nunca con el mismo estilo visual que una cita del propio expediente, para que el abogado no confunda el fallo de un tribunal en otro caso con un dato de su propio cliente. Si el tenant no tiene jurisprudencia configurada, esta distinción no aplica todavía y la función de jurisprudencia se limita al enlace externo a CENDOJ descrito en IA.6, fuera del hilo de chat con citas.</w:t>
      </w:r>
    </w:p>
    <w:p>
      <w:r>
        <w:rPr>
          <w:b/>
          <w:i/>
        </w:rPr>
        <w:t xml:space="preserve">Prompt para el agente: </w:t>
      </w:r>
      <w:r>
        <w:rPr>
          <w:b w:val="0"/>
          <w:i/>
        </w:rPr>
        <w:t>Al construir la pestaña o página de Cronología de esta tarea, no añadas ningún botón de confirmar o descartar sobre los eventos ni sobre las entidades que los originan — verifica que esa interacción exista solo en la pantalla de la tarea 6.7. Añade el botón “Guardar respuesta” junto a cada mensaje del asistente en el chat, llamando al endpoint ya definido en IA.5 (POST /api/expedientes/{id}/chat/{mensajeId}/guardar). Añade un MudAlert de aviso, visible cuando el backend indique que el tenant se acerca a su límite mensual de preguntas (IA.5), sin esperar a que se supere el límite. Si el tenant tiene jurisprudencia externa configurada (IA.6), diferencia visualmente en el componente CitaFragmento (o una variante) si la cita proviene del expediente propio o de la base de datos externa, con un chip o etiqueta de color distinto; si no la tiene configurada, no muestres ese modo y limita la función de jurisprudencia al enlace externo a CENDOJ descrito en IA.6.</w:t>
      </w:r>
    </w:p>
    <w:p>
      <w:pPr>
        <w:pStyle w:val="Heading3"/>
        <w:spacing w:after="80" w:before="220"/>
      </w:pPr>
      <w:r>
        <w:t xml:space="preserve">6.7. Revisión de entidades extraídas (confirmar/descartar)</w:t>
      </w:r>
    </w:p>
    <w:p>
      <w:pPr>
        <w:spacing w:after="80"/>
      </w:pPr>
      <w:r>
        <w:rPr>
          <w:b/>
          <w:bCs/>
        </w:rPr>
        <w:t xml:space="preserve">Por qué: </w:t>
      </w:r>
      <w:r>
        <w:t xml:space="preserve">IA.3 genera EntidadExtraida en estado pendiente_revision pero no tenía todavía ninguna pantalla — sin ella, esas sugerencias se quedan sin revisar y nunca llegan a confirmarse como Plazo, ParteContraria o Factura reales.</w:t>
      </w:r>
    </w:p>
    <w:p>
      <w:pPr>
        <w:spacing w:after="80"/>
      </w:pPr>
      <w:r>
        <w:rPr>
          <w:b/>
          <w:bCs/>
        </w:rPr>
        <w:t xml:space="preserve">Alcance: </w:t>
      </w:r>
      <w:r>
        <w:t xml:space="preserve">Panel (dentro de la ficha de expediente o como sección aparte) que liste las EntidadExtraida pendientes de revisión de ese expediente, agrupadas por tipo (persona, empresa, fecha, importe), con su texto, confianza y CitaFragmento de origen (reutilizando el componente de la tarea 6.6), y un botón de confirmar/descartar por fila (o selección múltiple) que llame a PATCH /api/entidades/{id}/confirmar o /descartar.</w:t>
      </w:r>
    </w:p>
    <w:p>
      <w:pPr>
        <w:spacing w:after="80"/>
      </w:pPr>
      <w:r>
        <w:rPr>
          <w:b/>
          <w:bCs/>
        </w:rPr>
        <w:t xml:space="preserve">Criterio de terminado: </w:t>
      </w:r>
      <w:r>
        <w:t xml:space="preserve">Al confirmar una entidad desde la pantalla, desaparece de "pendientes de revisión"; al descartarla, igual; ambas acciones quedan reflejadas de inmediato en la lista sin recargar la página entera.</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un panel (pestaña de la ficha de expediente o sección aparte) que liste, agrupadas por tipo, las EntidadExtraida en estado pendiente_revision del expediente actual, mostrando su valor_texto, confianza (como porcentaje) y su CitaFragmento de origen (componente de la tarea 6.6). Añade botones de Confirmar y Descartar por fila (y opcionalmente selección múltiple con acción en lote) que llamen a PATCH /api/entidades/{id}/confirmar o /descartar, y actualiza la lista localmente al recibir la respuesta sin recargar toda la página. Prueba con un expediente que tenga entidades pendientes de revisión reales (subiendo un documento de prueba y esperando a que IA.3 las genere) y confirma que confirmar/descartar funciona y se refleja al instante.</w:t>
      </w:r>
    </w:p>
    <w:p>
      <w:pPr>
        <w:spacing w:after="160"/>
      </w:pPr>
      <w:r>
        <w:t xml:space="preserve">Ampliado el 2026-09-08: esta es la única pantalla de la aplicación con controles de confirmar o descartar sobre EntidadExtraida. La Cronología (tarea 6.6) es de solo lectura y no duplica este flujo — ver la precisión de alcance añadida al final de 6.6.</w:t>
      </w:r>
    </w:p>
    <w:p>
      <w:pPr>
        <w:spacing w:after="160"/>
      </w:pPr>
      <w:r>
        <w:t xml:space="preserve">Ampliado de nuevo el 2026-09-08 (undécima ampliación, tras entrevistar a Carmen y Diego sobre la carga de confirmar cada entidad una a una): el confirmar/descartar deja de ser uniforme para las cuatro tipologías de EntidadExtraida. Persona y Empresa nacen en estado confirmada por defecto (no pendiente_revision) porque el coste de un error es bajo — un nombre mal en una lista, no un hecho jurídico —, así que la pantalla solo necesita ofrecer Descartar sobre ellas, sin exigir revisión activa. Fecha e Importe siguen naciendo en pendiente_revision (confirmar/descartar explícito) porque pueden condicionar un plazo procesal o un cobro, y un error sin revisar ahí sí tiene consecuencia real — coherente con que solo una Fecha confirmada activa IA.4 (Cronología). Como red de seguridad pedida en la propia entrevista: la pantalla debe mostrar siempre un contador visible de cuántas entidades siguen en pendiente_revision (no solo al entrar, de forma permanente mientras haya alguna), y toda entidad confirmada automáticamente debe llevar una marca visual distinta de una confirmada a mano por el abogado, para poder auditarla si hace falta. El criterio de terminado de esta tarea se amplía: confirmar/descartar una entidad de Fecha o Importe sigue actualizando la lista al instante sin recargar la página; descartar una entidad de Persona o Empresa (ya confirmada) hace lo mismo, y no existe acción "confirmar" visible para esos dos tipos.</w:t>
      </w:r>
    </w:p>
    <w:p>
      <w:pPr>
        <w:pStyle w:val="Heading3"/>
        <w:spacing w:after="80" w:before="220"/>
      </w:pPr>
      <w:r>
        <w:t xml:space="preserve">6.8. Clientes y derechos del interesado (RGPD)</w:t>
      </w:r>
    </w:p>
    <w:p>
      <w:pPr>
        <w:spacing w:after="80"/>
      </w:pPr>
      <w:r>
        <w:rPr>
          <w:b/>
          <w:bCs/>
        </w:rPr>
        <w:t xml:space="preserve">Por qué: </w:t>
      </w:r>
      <w:r>
        <w:t xml:space="preserve">Sin esta pantalla, atender una solicitud ARCO-POL real de un cliente (tarea C.1) seguiría exigiendo llamar a mano a un endpoint desde Swagger — no es utilizable por nadie del despacho que no sea quien programó el sistema.</w:t>
      </w:r>
    </w:p>
    <w:p>
      <w:pPr>
        <w:spacing w:after="80"/>
      </w:pPr>
      <w:r>
        <w:rPr>
          <w:b/>
          <w:bCs/>
        </w:rPr>
        <w:t xml:space="preserve">Alcance: </w:t>
      </w:r>
      <w:r>
        <w:t xml:space="preserve">Listado y ficha de Cliente (datos de contacto, expedientes asociados), con tres acciones visibles solo para los roles con permiso: exportar datos (GET /api/clientes/{id}/exportar, ofreciendo descargar el JSON resultante), rectificar datos de contacto (formulario sobre PATCH /api/clientes/{id}), y solicitar supresión (POST /api/clientes/{id}/solicitar-supresion), mostrando con claridad si la supresión se pospone por una obligación legal de conservación y por qué.</w:t>
      </w:r>
    </w:p>
    <w:p>
      <w:pPr>
        <w:spacing w:after="80"/>
      </w:pPr>
      <w:r>
        <w:rPr>
          <w:b/>
          <w:bCs/>
        </w:rPr>
        <w:t xml:space="preserve">Criterio de terminado: </w:t>
      </w:r>
      <w:r>
        <w:t xml:space="preserve">Las tres acciones funcionan contra un cliente de prueba; la respuesta de "supresión pospuesta por conservación legal" se muestra en un lenguaje legible para un abogado (motivo y plazo), no como el JSON crudo de la Api.</w:t>
      </w:r>
    </w:p>
    <w:p>
      <w:pPr>
        <w:pBdr>
          <w:left w:val="single" w:color="999999" w:sz="12" w:space="8"/>
        </w:pBdr>
        <w:spacing w:after="240" w:before="60"/>
        <w:ind w:left="431"/>
      </w:pPr>
      <w:r>
        <w:rPr>
          <w:b/>
          <w:bCs/>
          <w:i/>
          <w:iCs/>
          <w:color w:val="444444"/>
        </w:rPr>
        <w:t xml:space="preserve">Prompt para el agente: </w:t>
      </w:r>
      <w:r>
        <w:rPr>
          <w:i/>
          <w:iCs/>
          <w:color w:val="444444"/>
        </w:rPr>
        <w:t xml:space="preserve">Crea la página /clientes con un listado (MudTable) y una ficha de detalle por Cliente (datos de contacto, expedientes asociados). Añade tres acciones en la ficha: un botón Exportar datos que llame a GET /api/clientes/{id}/exportar y ofrezca descargar el JSON resultante como archivo; un formulario de Rectificar datos de contacto sobre PATCH /api/clientes/{id}; y un botón Solicitar supresión que llame a POST /api/clientes/{id}/solicitar-supresion y muestre la respuesta en un MudAlert redactado en lenguaje llano — si la Api indica que se pospone por conservación legal, muestra explícitamente el motivo y hasta cuándo, no el JSON crudo. Prueba las tres acciones contra un cliente de prueba, incluyendo uno con facturas dentro del plazo legal de conservación para ver el caso de supresión pospuesta.</w:t>
      </w:r>
    </w:p>
    <w:p>
      <w:pPr>
        <w:pStyle w:val="Heading3"/>
        <w:spacing w:after="80" w:before="220"/>
      </w:pPr>
      <w:r>
        <w:t xml:space="preserve">6.9. Auditoría (solo rol Administrador)</w:t>
      </w:r>
    </w:p>
    <w:p>
      <w:pPr>
        <w:spacing w:after="80"/>
      </w:pPr>
      <w:r>
        <w:rPr>
          <w:b/>
          <w:bCs/>
        </w:rPr>
        <w:t xml:space="preserve">Por qué: </w:t>
      </w:r>
      <w:r>
        <w:t xml:space="preserve">C.3 exige que el informe de integridad del audit log sea legible por alguien no técnico (un abogado o un auditor externo); sin una pantalla, ese informe solo existiría como la respuesta cruda de un endpoint.</w:t>
      </w:r>
    </w:p>
    <w:p>
      <w:pPr>
        <w:spacing w:after="80"/>
      </w:pPr>
      <w:r>
        <w:rPr>
          <w:b/>
          <w:bCs/>
        </w:rPr>
        <w:t xml:space="preserve">Alcance: </w:t>
      </w:r>
      <w:r>
        <w:t xml:space="preserve">Página restringida al rol Administrador (oculta en la navegación para el resto, según la tarea 6.2) con el historial de auditoría de un expediente (AuditLogEndpoints de solo lectura del Paso 6 de la guía) y un botón que ejecute la verificación de integridad de la cadena de hashes (tarea C.3) y muestre su informe (fecha de verificación, filas verificadas, resultado, y el punto exacto de ruptura si lo hay) de forma legible.</w:t>
      </w:r>
    </w:p>
    <w:p>
      <w:pPr>
        <w:spacing w:after="80"/>
      </w:pPr>
      <w:r>
        <w:rPr>
          <w:b/>
          <w:bCs/>
        </w:rPr>
        <w:t xml:space="preserve">Criterio de terminado: </w:t>
      </w:r>
      <w:r>
        <w:t xml:space="preserve">Un usuario sin rol Administrador no ve esta sección en la navegación ni puede acceder a la ruta directamente (redirige o muestra acceso denegado); el informe de integridad se presenta en un formato claro tras pulsar el botón, no como JSON crudo.</w:t>
      </w:r>
    </w:p>
    <w:p>
      <w:pPr>
        <w:pBdr>
          <w:left w:val="single" w:color="999999" w:sz="12" w:space="8"/>
        </w:pBdr>
        <w:spacing w:after="240" w:before="60"/>
        <w:ind w:left="431"/>
      </w:pPr>
      <w:r>
        <w:rPr>
          <w:b/>
          <w:bCs/>
          <w:i/>
          <w:iCs/>
          <w:color w:val="444444"/>
        </w:rPr>
        <w:t xml:space="preserve">Prompt para el agente: </w:t>
      </w:r>
      <w:r>
        <w:rPr>
          <w:i/>
          <w:iCs/>
          <w:color w:val="444444"/>
        </w:rPr>
        <w:t xml:space="preserve">Crea la página /auditoria, protegida para que solo el rol Administrador pueda acceder (si se intenta acceder sin el rol, redirige o muestra una página de acceso denegado). Muestra el historial de auditoría de un expediente seleccionado usando el endpoint de solo lectura de AuditLog del Paso 6 de la guía. Añade un botón "Verificar integridad" que llame al endpoint de verificación de la cadena de hashes de la tarea C.3 y muestre su informe (fecha, número de filas verificadas, resultado íntegro/alterado, y el punto exacto de ruptura si lo hay) en un formato legible (por ejemplo una MudCard con el resultado destacado en verde o rojo). Prueba que un usuario sin rol Administrador no puede llegar a esta pantalla ni por la navegación ni escribiendo la URL directamente.</w:t>
      </w:r>
    </w:p>
    <w:p>
      <w:pPr>
        <w:pStyle w:val="Heading1"/>
        <w:spacing w:after="160" w:before="360"/>
      </w:pPr>
      <w:r>
        <w:t xml:space="preserve">Fase 7 — Despliegue</w:t>
      </w:r>
    </w:p>
    <w:p>
      <w:pPr>
        <w:spacing w:after="160"/>
      </w:pPr>
      <w:r>
        <w:t xml:space="preserve">Con MVP funcional más cerca, conviene tener al menos un Dockerfile de la Api y un pipeline de CI mínimo (build + tests de la fase 5) antes de acercarse a un despacho piloto real, para no depender de "funciona en mi máquina".</w:t>
      </w:r>
    </w:p>
    <w:p>
      <w:pPr>
        <w:pStyle w:val="Heading3"/>
        <w:spacing w:after="80" w:before="220"/>
      </w:pPr>
      <w:r>
        <w:t xml:space="preserve">7.1. Dockerfile de la Api y build reproducible</w:t>
      </w:r>
    </w:p>
    <w:p>
      <w:pPr>
        <w:spacing w:after="80"/>
      </w:pPr>
      <w:r>
        <w:rPr>
          <w:b/>
          <w:bCs/>
        </w:rPr>
        <w:t xml:space="preserve">Por qué: </w:t>
      </w:r>
      <w:r>
        <w:t xml:space="preserve">Un despacho piloto no va a instalar el SDK de .NET a mano; hace falta poder levantar la Api como contenedor igual que ya se levantan Postgres, RabbitMQ y MinIO.</w:t>
      </w:r>
    </w:p>
    <w:p>
      <w:pPr>
        <w:spacing w:after="80"/>
      </w:pPr>
      <w:r>
        <w:rPr>
          <w:b/>
          <w:bCs/>
        </w:rPr>
        <w:t xml:space="preserve">Alcance: </w:t>
      </w:r>
      <w:r>
        <w:t xml:space="preserve">Dockerfile multi-stage (build con SDK, runtime con ASP.NET) para el proyecto Api; añadirlo al docker-compose.yml como servicio propio.</w:t>
      </w:r>
    </w:p>
    <w:p>
      <w:pPr>
        <w:spacing w:after="80"/>
      </w:pPr>
      <w:r>
        <w:rPr>
          <w:b/>
          <w:bCs/>
        </w:rPr>
        <w:t xml:space="preserve">Criterio de terminado: </w:t>
      </w:r>
      <w:r>
        <w:t xml:space="preserve">docker compose up levanta toda la pila (Postgres, RabbitMQ, MinIO y la Api) sin necesidad de tener el SDK de .NET instalado en el host.</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 Dockerfile multi-stage para src/Api: una etapa build con la imagen mcr.microsoft.com/dotnet/sdk:8.0 que restaure y publique el proyecto, y una etapa final con mcr.microsoft.com/dotnet/aspnet:8.0 que copie el resultado publicado. Añade un servicio api al docker-compose.yml que use ese Dockerfile, dependa de postgres, rabbitmq y minio, y exponga el puerto de la Api. Confirma que `docker compose up` levanta toda la pila y que la Api responde en Swagger sin tener el SDK de .NET instalado en el host.</w:t>
      </w:r>
    </w:p>
    <w:p>
      <w:pPr>
        <w:pBdr>
          <w:bottom w:val="single" w:color="CCCCCC" w:sz="6" w:space="4"/>
        </w:pBdr>
        <w:spacing w:after="200" w:before="100"/>
      </w:pPr>
    </w:p>
    <w:p>
      <w:pPr>
        <w:pStyle w:val="Heading1"/>
        <w:spacing w:after="160" w:before="360"/>
      </w:pPr>
      <w:r>
        <w:t xml:space="preserve">Fase 8 — Camino a producto comercializable (post-MVP)</w:t>
      </w:r>
    </w:p>
    <w:p>
      <w:pPr>
        <w:spacing w:after="160"/>
      </w:pPr>
      <w:r>
        <w:t xml:space="preserve">Según la estimación del documento de contexto, esto llega después de tener un MVP demostrable a un despacho piloto (6-9 meses a este ritmo) y añade otros 6-9 meses: onboarding self-serve, facturación, panel de administración multi-tenant, y certificaciones ISO 27001/ENS de cara a ventas enterprise. Se deja fuera de este plan a propósito: conviene revisarlo con el despacho piloto real ya usando el sistema, no antes, para no construir sobre suposiciones sin validar.</w:t>
      </w:r>
    </w:p>
    <w:p>
      <w:pPr>
        <w:pBdr>
          <w:bottom w:val="single" w:color="CCCCCC" w:sz="6" w:space="4"/>
        </w:pBdr>
        <w:spacing w:after="200" w:before="100"/>
      </w:pPr>
    </w:p>
    <w:p>
      <w:pPr>
        <w:pStyle w:val="Heading1"/>
        <w:spacing w:after="160" w:before="360"/>
      </w:pPr>
      <w:r>
        <w:t xml:space="preserve">Resumen de orden recomendado</w:t>
      </w:r>
    </w:p>
    <w:p>
      <w:pPr>
        <w:spacing w:after="160"/>
      </w:pPr>
      <w:r>
        <w:t xml:space="preserve">0.1 → 0.2 → 1.1 → 1.2 → 1.3 → 2.1 → 2.2 → 2.3 → 2.4 → 3.1 → 3.2 → 3.3 → 4.1 → 4.2 → 5.1 → 5.2 → 6.0 → 6.1 → 6.2 → 6.3 → 6.4 → 6.5 → 6.6 → 6.7 → 6.8 → 6.9 → 7.1, y la Fase 8 revisada solo tras validar con el despacho piloto. 6.0 (sistema de diseño) va antes que cualquier pantalla porque cambiar la paleta o la tipografía después de construir varias pantallas obliga a retocarlas todas. En la práctica, 6.0-6.4 (sistema de diseño, scaffold, layout, dashboard, ficha de expediente) pueden empezar en cuanto exista el CRUD del Paso 6 de la guía, sin esperar a que la fase de IA (IA.0-IA.5/IA.2b) esté terminada; 6.5-6.7 (documentos con foliado, cronología, chat, entidades) sí necesitan que esas tareas de IA estén implementadas y devolviendo datos reales; 6.8 necesita C.1, y 6.9 necesita C.3.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2026-08-09T17:06:03.249Z</dcterms:created>
  <dcterms:modified xsi:type="dcterms:W3CDTF">2026-08-09T17:06:03.249Z</dcterms:modified>
</cp:coreProperties>
</file>

<file path=docProps/custom.xml><?xml version="1.0" encoding="utf-8"?>
<Properties xmlns="http://schemas.openxmlformats.org/officeDocument/2006/custom-properties" xmlns:vt="http://schemas.openxmlformats.org/officeDocument/2006/docPropsVTypes"/>
</file>