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Plan maestro actualizado</w:t>
      </w:r>
    </w:p>
    <w:p>
      <w:pPr>
        <w:spacing w:after="300"/>
      </w:pPr>
      <w:r>
        <w:rPr>
          <w:i/>
          <w:iCs/>
          <w:color w:val="555555"/>
        </w:rPr>
        <w:t xml:space="preserve">Decisión de continuidad + IA documental — Legal Case Management, julio 2026</w:t>
      </w:r>
    </w:p>
    <w:p>
      <w:pPr>
        <w:spacing w:after="160"/>
      </w:pPr>
      <w:r>
        <w:t xml:space="preserve">Este documento responde a dos preguntas que surgieron al ampliar el alcance del proyecto con ingesta de documentos e IA: si merece la pena seguir sobre el embrión que ya existe en WSL o empezar de cero, y — si la respuesta es seguir — cómo encajan las tareas de IA con lo que ya estaba planeado, para no tener que rehacer trabajo. A partir de aquí, este documento sustituye al orden de tareas de plan_desarrollo_secuencial.docx (las fases 0 a 8 en sí mismas siguen siendo válidas, solo cambia el orden y se insertan tareas nuevas) y sustituye a las tareas D.0-D.2 de fase0_dominio_ux.docx (que quedan incorporadas aquí, ampliadas). Los wireframes, personas y casos de uso de fase0_dominio_ux.docx siguen vigentes tal cual, no hace falta rehacerlos.</w:t>
      </w:r>
    </w:p>
    <w:p>
      <w:pPr>
        <w:pBdr>
          <w:bottom w:val="single" w:color="CCCCCC" w:sz="6" w:space="4"/>
        </w:pBdr>
        <w:spacing w:after="200" w:before="100"/>
      </w:pPr>
    </w:p>
    <w:p>
      <w:pPr>
        <w:pStyle w:val="Heading1"/>
        <w:spacing w:after="160" w:before="360"/>
      </w:pPr>
      <w:r>
        <w:t xml:space="preserve">La decisión: seguir sobre el proyecto actual</w:t>
      </w:r>
    </w:p>
    <w:p>
      <w:pPr>
        <w:spacing w:after="160"/>
      </w:pPr>
      <w:r>
        <w:t xml:space="preserve">No hay motivo técnico para empezar de cero. Lo que existe hoy en el embrión de WSL es deliberadamente pequeño — Domain con dos entidades, Infrastructure con el DbContext y su filtro de tenant, Api con dos endpoints y la autenticación JWT recién añadida — y lo valioso de ese código no es su volumen, son las decisiones de arquitectura que ya lleva dentro: multi-tenancy con aislamiento en dos capas (filtro de EF Core + Row-Level Security de Postgres), autenticación JWT con claim de tenant, y PostgreSQL como base de datos. Ninguna de esas tres decisiones queda invalidada por añadir ingesta documental e IA — al contrario, las refuerza.</w:t>
      </w:r>
    </w:p>
    <w:p>
      <w:pPr>
        <w:spacing w:after="160"/>
      </w:pPr>
      <w:r>
        <w:t xml:space="preserve">La prueba concreta es pgvector: la extensión de Postgres para búsqueda semántica por embeddings tiene soporte maduro en .NET/EF Core (paquete Pgvector.EntityFrameworkCore, activo, compatible con EF Core 10) y vive en la misma base de datos que ya tienes, con la misma Row-Level Security que ya construiste. No hace falta añadir una base de datos vectorial aparte ni replantear el almacenamiento. Empezar de cero para "hacerlo bien desde el principio" tiraría trabajo ya validado (JWT, RLS) a cambio de nada — lo que sí hace falta corregir es el orden en que se construye lo que falta, no el punto de partida.</w:t>
      </w:r>
    </w:p>
    <w:p>
      <w:pPr>
        <w:pBdr>
          <w:bottom w:val="single" w:color="CCCCCC" w:sz="6" w:space="4"/>
        </w:pBdr>
        <w:spacing w:after="200" w:before="100"/>
      </w:pPr>
    </w:p>
    <w:p>
      <w:pPr>
        <w:pStyle w:val="Heading1"/>
        <w:spacing w:after="160" w:before="360"/>
      </w:pPr>
      <w:r>
        <w:t xml:space="preserve">Qué cambia y qué no cambia</w:t>
      </w:r>
    </w:p>
    <w:p>
      <w:pPr>
        <w:spacing w:after="80"/>
      </w:pPr>
      <w:r>
        <w:rPr>
          <w:b/>
          <w:bCs/>
        </w:rPr>
        <w:t xml:space="preserve">Sigue exactamente igual: </w:t>
      </w:r>
      <w:r>
        <w:t xml:space="preserve">la arquitectura multi-tenant (pooled/siloed), JWT + RLS ya implementados, el stack (.NET/Postgres/RabbitMQ/MinIO), y todo el contenido de fase0_dominio_ux.docx (personas, casos de uso, wireframes).</w:t>
      </w:r>
    </w:p>
    <w:p>
      <w:pPr>
        <w:spacing w:after="80"/>
      </w:pPr>
      <w:r>
        <w:rPr>
          <w:b/>
          <w:bCs/>
        </w:rPr>
        <w:t xml:space="preserve">Se reordena: </w:t>
      </w:r>
      <w:r>
        <w:t xml:space="preserve">las tareas D.0/D.1/D.2 (ampliar el modelo con Materia, ParteContraria, Plazo, ProvisionDeFondos, Factura) pasan a fusionarse con las tablas nuevas de IA en una sola migración, en vez de dos migraciones separadas que se pisarían.</w:t>
      </w:r>
    </w:p>
    <w:p>
      <w:pPr>
        <w:spacing w:after="80"/>
      </w:pPr>
      <w:r>
        <w:rPr>
          <w:b/>
          <w:bCs/>
        </w:rPr>
        <w:t xml:space="preserve">Se inserta: </w:t>
      </w:r>
      <w:r>
        <w:t xml:space="preserve">una fase de IA documental (tareas IA.0 a IA.5) justo después de la Fase 2 (documentos) del plan original, porque necesita tanto el almacenamiento de documentos (Fase 2) como la mensajería asíncrona (Fase 1) que ya estaban planeadas — de hecho, esta es la primera necesidad concreta y real de MassTransit: procesar un legajo grande (OCR, extracción, embeddings) en segundo plano sin bloquear la petición HTTP de subida.</w:t>
      </w:r>
    </w:p>
    <w:p>
      <w:pPr>
        <w:spacing w:after="80"/>
      </w:pPr>
      <w:r>
        <w:rPr>
          <w:b/>
          <w:bCs/>
        </w:rPr>
        <w:t xml:space="preserve">Se aplaza explícitamente: </w:t>
      </w:r>
      <w:r>
        <w:t xml:space="preserve">el grafo de relaciones entre entidades (una de las cinco ideas que trajiste). Es la de mayor riesgo técnico (resolución de identidad entre documentos: decidir si dos menciones del mismo nombre son la misma persona) y la de UX más frágil (un grafo deja de ser intuitivo pasadas 15-20 entidades). Se retoma solo si el despacho piloto lo pide después de ver las otras cuatro funcionando. Se aplaza también, con el mismo criterio (2026-08-08, tras revisar cómo lo resuelve la competencia): indexar el contenido de los Excel del expediente para el chat/búsqueda de IA — ningún competidor investigado (Clio, Kleos, LexON, Tirant) lo destaca como diferenciador, así que no es prioritario frente a IA.3-IA.5; y el versionado de borradores en redacción dentro de la plataforma — el patrón de mercado en herramientas para despacho pequeño es dejar eso en el Word del propio abogado y guardar en la plataforma solo la versión final ya foliada (ver tarea 6.5 de plan_desarrollo_secuencial.docx).</w:t>
      </w:r>
    </w:p>
    <w:p>
      <w:pPr>
        <w:pBdr>
          <w:bottom w:val="single" w:color="CCCCCC" w:sz="6" w:space="4"/>
        </w:pBdr>
        <w:spacing w:after="200" w:before="100"/>
      </w:pPr>
    </w:p>
    <w:p>
      <w:pPr>
        <w:pStyle w:val="Heading1"/>
        <w:spacing w:after="160" w:before="360"/>
      </w:pPr>
      <w:r>
        <w:t xml:space="preserve">Modelo de datos consolidado (una sola migración)</w:t>
      </w:r>
    </w:p>
    <w:p>
      <w:pPr>
        <w:spacing w:after="160"/>
      </w:pPr>
      <w:r>
        <w:t xml:space="preserve">Todas las tablas nuevas —tanto las de dominio legal como las de IA— se generan en la misma migración de EF Core, después de aplicar D.0 (convención snake_case). Esto evita lo que ya casi pasa una vez: generar una migración, descubrir que hace falta otra tabla relacionada, y tener que rehacer o parchear la primera.</w:t>
      </w:r>
    </w:p>
    <w:p>
      <w:pPr>
        <w:pStyle w:val="Heading2"/>
        <w:spacing w:after="120" w:before="280"/>
      </w:pPr>
      <w:r>
        <w:t xml:space="preserve">Ya existentes</w:t>
      </w:r>
    </w:p>
    <w:p>
      <w:pPr>
        <w:spacing w:after="160"/>
      </w:pPr>
      <w:r>
        <w:t xml:space="preserve">Tenant (id, nombre, plan, created_at_utc) y Expediente (id, tenant_id, titulo, cliente, estado, fecha_apertura, fecha_cierre) — sin cambios.</w:t>
      </w:r>
    </w:p>
    <w:p>
      <w:pPr>
        <w:pStyle w:val="Heading2"/>
        <w:spacing w:after="120" w:before="280"/>
      </w:pPr>
      <w:r>
        <w:t xml:space="preserve">Dominio legal (tareas D.1/D.2, sin cambios respecto a fase0_dominio_ux.docx)</w:t>
      </w:r>
    </w:p>
    <w:p>
      <w:pPr>
        <w:pStyle w:val="Heading3"/>
        <w:spacing w:after="80" w:before="200"/>
      </w:pPr>
      <w:r>
        <w:t xml:space="preserve">Cliente</w:t>
      </w:r>
    </w:p>
    <w:p>
      <w:pPr>
        <w:spacing w:after="160"/>
      </w:pPr>
      <w:r>
        <w:t xml:space="preserve">id, tenant_id, nombre, dni_cif, email, telefono, canal_preferido.</w:t>
      </w:r>
    </w:p>
    <w:p>
      <w:pPr>
        <w:pStyle w:val="Heading3"/>
        <w:spacing w:after="80" w:before="200"/>
      </w:pPr>
      <w:r>
        <w:t xml:space="preserve">ParteContraria</w:t>
      </w:r>
    </w:p>
    <w:p>
      <w:pPr>
        <w:spacing w:after="160"/>
      </w:pPr>
      <w:r>
        <w:t xml:space="preserve">id, tenant_id, expediente_id, nombre, tipo, representante_legal.</w:t>
      </w:r>
    </w:p>
    <w:p>
      <w:pPr>
        <w:pStyle w:val="Heading3"/>
        <w:spacing w:after="80" w:before="200"/>
      </w:pPr>
      <w:r>
        <w:t xml:space="preserve">Materia</w:t>
      </w:r>
    </w:p>
    <w:p>
      <w:pPr>
        <w:spacing w:after="160"/>
      </w:pPr>
      <w:r>
        <w:t xml:space="preserve">id, tenant_id, nombre (catálogo: Civil, Laboral, Familia, Penal, Mercantil, Extranjería).</w:t>
      </w:r>
    </w:p>
    <w:p>
      <w:pPr>
        <w:pStyle w:val="Heading3"/>
        <w:spacing w:after="80" w:before="200"/>
      </w:pPr>
      <w:r>
        <w:t xml:space="preserve">Plazo</w:t>
      </w:r>
    </w:p>
    <w:p>
      <w:pPr>
        <w:spacing w:after="160"/>
      </w:pPr>
      <w:r>
        <w:t xml:space="preserve">id, tenant_id, expediente_id, descripcion, fecha_limite, tipo, dias_aviso_previo.</w:t>
      </w:r>
    </w:p>
    <w:p>
      <w:pPr>
        <w:pStyle w:val="Heading3"/>
        <w:spacing w:after="80" w:before="200"/>
      </w:pPr>
      <w:r>
        <w:t xml:space="preserve">ProvisionDeFondos</w:t>
      </w:r>
    </w:p>
    <w:p>
      <w:pPr>
        <w:spacing w:after="160"/>
      </w:pPr>
      <w:r>
        <w:t xml:space="preserve">id, tenant_id, expediente_id, importe, fecha_solicitud, aplicada.</w:t>
      </w:r>
    </w:p>
    <w:p>
      <w:pPr>
        <w:pStyle w:val="Heading3"/>
        <w:spacing w:after="80" w:before="200"/>
      </w:pPr>
      <w:r>
        <w:t xml:space="preserve">Factura</w:t>
      </w:r>
    </w:p>
    <w:p>
      <w:pPr>
        <w:spacing w:after="160"/>
      </w:pPr>
      <w:r>
        <w:t xml:space="preserve">id, tenant_id, expediente_id, concepto, importe, fecha, modo.</w:t>
      </w:r>
    </w:p>
    <w:p>
      <w:pPr>
        <w:pStyle w:val="Heading3"/>
        <w:spacing w:after="80" w:before="200"/>
      </w:pPr>
      <w:r>
        <w:t xml:space="preserve">DocumentoAdjunto (ampliada)</w:t>
      </w:r>
    </w:p>
    <w:p>
      <w:pPr>
        <w:spacing w:after="160"/>
      </w:pPr>
      <w:r>
        <w:t xml:space="preserve">id, tenant_id, expediente_id, nombre_archivo, content_type, tamano_bytes, clave_almacenamiento, tipo_documento, fecha_subida — más dos columnas de la fase de IA: estado_procesamiento (pendiente | procesando | completado | error) y fecha_procesado — y tres columnas nuevas de la tarea IA.2b (foliado y clasificación): folio_inicio, folio_fin (el rango de numeración Bates que ocupa el documento dentro del expediente) y tipo_documento_confianza (0 a 1; tipo_documento pasa de ser un campo solo editable a mano a un valor sugerido automáticamente por IA.2b, que el abogado puede corregir igual que las EntidadExtraida de IA.3).</w:t>
      </w:r>
    </w:p>
    <w:p>
      <w:pPr>
        <w:pStyle w:val="Heading2"/>
        <w:spacing w:after="120" w:before="280"/>
      </w:pPr>
      <w:r>
        <w:t xml:space="preserve">IA documental (nuevo en este documento)</w:t>
      </w:r>
    </w:p>
    <w:p>
      <w:pPr>
        <w:pStyle w:val="Heading3"/>
        <w:spacing w:after="80" w:before="200"/>
      </w:pPr>
      <w:r>
        <w:t xml:space="preserve">FragmentoDocumento</w:t>
      </w:r>
    </w:p>
    <w:p>
      <w:pPr>
        <w:spacing w:after="160"/>
      </w:pPr>
      <w:r>
        <w:t xml:space="preserve">id, tenant_id, documento_adjunto_id, pagina, parrafo, texto_fragmento, embedding (vector, pgvector), confianza_ocr (0 a 1, nullable si el texto vino de extracción directa sin pasar por OCR), created_at_utc. Es la unidad mínima que se recupera para responder al chat y de la que sale la cita "documento, página, párrafo". confianza_ocr sigue el mismo principio que confianza en EntidadExtraida: el texto de baja confianza no se descarta ni se corrige solo, se muestra marcado para que el abogado sepa que ese fragmento concreto merece una revisión visual del original (ver IA.2c). El filtro de búsqueda por tipo de documento y rango de fechas se resuelve por índice/join sobre DocumentoAdjunto, no por columnas nuevas aquí (ver IA.2d).</w:t>
      </w:r>
    </w:p>
    <w:p>
      <w:pPr>
        <w:pStyle w:val="Heading3"/>
        <w:spacing w:after="80" w:before="200"/>
      </w:pPr>
      <w:r>
        <w:t xml:space="preserve">EntidadExtraida</w:t>
      </w:r>
    </w:p>
    <w:p>
      <w:pPr>
        <w:spacing w:after="160"/>
      </w:pPr>
      <w:r>
        <w:t xml:space="preserve">id, tenant_id, expediente_id, documento_adjunto_id, fragmento_id, tipo (persona | empresa | fecha | importe), valor_texto, valor_normalizado, confianza, estado (pendiente_revision | confirmada | descartada). El abogado confirma o descarta cada una; las confirmadas son las que alimentan Plazo, ParteContraria o Factura como sugerencia, no como escritura directa.</w:t>
      </w:r>
    </w:p>
    <w:p>
      <w:pPr>
        <w:pStyle w:val="Heading3"/>
        <w:spacing w:after="80" w:before="200"/>
      </w:pPr>
      <w:r>
        <w:t xml:space="preserve">EventoCronologia</w:t>
      </w:r>
    </w:p>
    <w:p>
      <w:pPr>
        <w:spacing w:after="160"/>
      </w:pPr>
      <w:r>
        <w:t xml:space="preserve">id, tenant_id, expediente_id, fecha, descripcion, documento_adjunto_id, fragmento_id, confianza. Alimenta la pantalla de cronología automática; comparte columna vertebradora (la línea de tiempo) con el historial de acciones del sistema de la tarea 4.2 del plan original.</w:t>
      </w:r>
    </w:p>
    <w:p>
      <w:pPr>
        <w:pStyle w:val="Heading3"/>
      </w:pPr>
      <w:r>
        <w:t>TomoDocumento</w:t>
      </w:r>
    </w:p>
    <w:p>
      <w:r>
        <w:t>id, tenant_id, documento_adjunto_id, indice, pagina_inicio, pagina_fin, estado_procesamiento (pendiente | procesando | completado | error), intentos, mensaje_error, fecha_procesado. Es la unidad real que se manda a OCR (ver IA.2d): un DocumentoAdjunto grande se trocea en tomos de tamaño fijo, y cada uno procesa y persiste sus FragmentoDocumento de forma independiente. EstadoProcesamiento de DocumentoAdjunto pasa a ser un resumen calculado a partir de sus tomos (completado solo cuando todos lo están; error si alguno lo está tras agotar reintentos), no un campo que se fija en un único paso final.</w:t>
      </w:r>
    </w:p>
    <w:p>
      <w:pPr>
        <w:pStyle w:val="Heading3"/>
      </w:pPr>
      <w:r>
        <w:t>PaginaOcrIncidencia</w:t>
      </w:r>
    </w:p>
    <w:p>
      <w:r>
        <w:t>id, tenant_id, documento_adjunto_id, tomo_id, pagina, mensaje_error, fecha_utc, resuelta. Registra las páginas concretas donde el microservicio de OCR falló dentro de un tomo que, por lo demás, se completó bien — evita reprocesar un tomo entero por una sola página problemática. Alimenta el panel de páginas con incidencia de la Fase 6 y el botón de reintento por página (ver IA.2d).</w:t>
      </w:r>
    </w:p>
    <w:p>
      <w:pPr>
        <w:pStyle w:val="Heading2"/>
        <w:spacing w:after="120" w:before="280"/>
      </w:pPr>
      <w:r>
        <w:t xml:space="preserve">Cumplimiento (nuevo, añadido tras revisar los requisitos inexcusables del sector)</w:t>
      </w:r>
    </w:p>
    <w:p>
      <w:pPr>
        <w:pStyle w:val="Heading3"/>
        <w:spacing w:after="80" w:before="200"/>
      </w:pPr>
      <w:r>
        <w:t xml:space="preserve">AuditLog</w:t>
      </w:r>
    </w:p>
    <w:p>
      <w:pPr>
        <w:spacing w:after="160"/>
      </w:pPr>
      <w:r>
        <w:t xml:space="preserve">id, tenant_id, usuario_id, expediente_id, accion, fecha_utc, hash_actual, hash_anterior. Sustituye y amplía a la tabla de auditoría prevista en la tarea 3.2 del plan original: hash_actual se calcula sobre el contenido de la fila más hash_anterior, de forma que la cadena completa se puede verificar y cualquier alteración posterior de una fila antigua rompe todos los hashes siguientes. Es lo que convierte "tenemos un registro de auditoría" en "podemos demostrar que no se ha manipulado".</w:t>
      </w:r>
    </w:p>
    <w:p>
      <w:pPr>
        <w:pBdr>
          <w:bottom w:val="single" w:color="CCCCCC" w:sz="6" w:space="4"/>
        </w:pBdr>
        <w:spacing w:after="200" w:before="100"/>
      </w:pPr>
    </w:p>
    <w:p>
      <w:pPr>
        <w:pStyle w:val="Heading1"/>
        <w:spacing w:after="160" w:before="360"/>
      </w:pPr>
      <w:r>
        <w:t xml:space="preserve">Fases reordenadas — resumen</w:t>
      </w:r>
    </w:p>
    <w:p>
      <w:pPr>
        <w:spacing w:after="160"/>
      </w:pPr>
      <w:r>
        <w:t xml:space="preserve">0.1 → 0.2 → D.0 → D.1 → D.2 → D.3 → D.4 → C.0 → C.1 → C.2 → C.3 → C.4 → C.5 → 1.1 → 1.2 → 1.3 → 2.1 → 2.2 → 2.3 → 2.4 → IA.0 → IA.1 → IA.2 → IA.2b → IA.2c → IA.2d → IA.2e → IA.3 → IA.4 → IA.5 → IA.6 → E.1 → E.2 → P.1 → P.2 → 3.1 → 3.3 → 4.1 → 4.2 → 5.1 → 5.2 → 7.1 (D.3, C.4 y C.5 pueden adelantarse o hacerse en paralelo en cuanto D.1/D.2 y el CRUD de la guía existan — no dependen de la fase de IA), con la Fase 6 (frontend) incorporando ahora también las pantallas de cronología, chat y el panel de foliado/notas, y la Fase 8 sin cambios (post-MVP, tras validar con el despacho piloto). La tarea 3.2 del plan original (auditoría de accesos) queda sustituida por C.0 — se construye una sola vez, con el encadenado criptográfico desde el principio, no primero sin él y después parcheada. IA.2b (foliado automático y clasificación de documentos) se añadió tras revisar un documento externo sobre automatización del flujo de trabajo jurídico tradicional (OCR, foliado/Bates stamping, etiquetado, cronología, redacción) — confirmó el enfoque ya tomado en IA.0-IA.5 y aportó una funcionalidad real que faltaba: el foliado. IA.2c (2026-08-08) fija un objetivo de rendimiento realista para el OCR sin GPU (≤30 min para 500 páginas en un PC de despacho) tras revisar el código real del pipeline y confirmar que este debe optimizarse por paralelismo de CPU dentro del microservicio, no en el lado .NET. IA.3 (2026-08-08) se rehízo para usar spaCy en vez de un LLM por fragmento, tras investigar cómo lo resuelven productos legaltech de referencia (Harvey, CoCounsel) y confirmar que el patrón self-hosted-lento-vs-API-cara solo era un problema real en la extracción masiva de entidades. IA.4 (2026-08-08) se rehízo igualmente para generar la descripción de cada evento extrayendo la frase de origen con el segmentador de frases de spaCy (reutilizando el mismo pipeline de IA.3, sin coste añadido) en vez de pedírsela a un LLM. Con los dos cambios, IA.5 (el chat) queda como la única de las tres que de verdad necesita una API de pago (OpenAI GPT-4o-mini o Claude Haiku 4.5, proveedor fijado explícitamente), porque es la única genuinamente generativa y su volumen de llamadas es bajo (una por pregunta del usuario). E.1-E.2 (2026-08-08) se añadieron tras evaluar LTPDF y DigiGen LexNET: E.1 (PDF/A + división por tamaño para LexNET) es una tarea de código normal; E.2 (firma con certificado del abogado) es, a propósito, una tarea de investigación previa, no de código directo, por el riesgo legal de una firma PAdES mal implementada. P.1-P.2 (2026-08-08) cubren el despliegue del MVP en un único servidor barato en la UE y la estrategia de piloto con despachos reales — P.2, igual que E.2, es una tarea de gestión para Manuel, no de código. D.3 (2026-08-08) se añadió tras investigar cómo integran Word los competidores (Clio, Kleos, LexON): generar documentos desde plantilla con los datos del expediente ya rellenos es una función básica esperada, más que la propia lectura de Word de IA.2. C.4-C.5 (2026-08-08) nacen de aplicar la propia disciplina de verificación de licencias del proyecto sobre sí mismo: C.4 deja un registro vivo de qué licencia tiene cada dependencia de terceros, y C.5 es la primera corrección que ese registro sacó a la luz — MinIO, elegido al principio del proyecto, es AGPLv3 desde 2021 y su edición gratuita quedó archivada y sin mantenimiento el 25 de abril de 2026, así que se sustituye por SeaweedFS (Apache 2.0, mantenido). IA.2d (2026-08-10) se añadió tras plantear la arquitectura de tomos como ventaja competitiva frente a Clio/LexOn (que según la investigación de Manuel tardan 5-20 min en 500 páginas y fallan con documentos más grandes al tratarlos como una sola unidad): trocea cada documento grande en tomos que se procesan y persisten de forma independiente, con tolerancia a fallos por tomo y por página aprovechando el retry ya incluido en MassTransit, y progreso visible para el usuario en la Fase 6 — validado además con la entrevista simulada a Carmen (socia generalista, perfil de cliente más habitual), que confirmó la necesidad de buscar en un documento aunque siga procesándose y de ver marcado el texto de confianza_ocr baja. IA.2e (2026-08-12) se añadió tras investigar PP-StructureV3 buscando una mejora de velocidad para IA.2c/IA.2d — resultó ser lo contrario (un superconjunto de PP-OCRv5 con más trabajo por página, no menos), pero surgió de ahí un valor real distinto: reconocimiento de tablas como paso opcional y dirigido solo a páginas candidatas, para documentos legales con cuadros de amortización o desgloses de facturas — mejora de calidad, no de velocidad, deliberadamente baja prioridad. IA.6 (2026-08-15) se añadió después de IA.5, no como parte de ella: búsqueda de jurisprudencia en una base de datos externa (Aranzadi/vLex, de pago) usando la suscripción que el propio despacho ya tenga contratada, con CENDOJ (gratuito pero sin API) como enlace externo de reserva — función opcional por tenant, no un requisito del MVP. D.4 (2026-08-15) se añadió tras validar con dos entrevistas simuladas (Diego y Carmen) un caso de uso de taxonomía de revisión documental que Manuel trajo: se descartó la versión completa (pensada para litigios grandes con equipo de paralegals) por sobredimensionada, y se quedó en un campo de texto libre y opcional en Expediente para anotar qué hay que probar, sin estructura jerárquica ni tabla de etiquetas nueva.</w:t>
      </w:r>
    </w:p>
    <w:p>
      <w:pPr>
        <w:spacing w:after="160"/>
      </w:pPr>
      <w:r>
        <w:t xml:space="preserve">D.0, D.1 y D.2 ya están redactadas con su prompt de agente en fase0_dominio_ux.docx y no se repiten aquí — solo cambia que su migración debe generarse ya incluyendo las tres tablas de IA y la tabla de auditoría de este documento, no por separado.</w:t>
      </w:r>
    </w:p>
    <w:p>
      <w:pPr>
        <w:pBdr>
          <w:bottom w:val="single" w:color="CCCCCC" w:sz="6" w:space="4"/>
        </w:pBdr>
        <w:spacing w:after="200" w:before="100"/>
      </w:pPr>
    </w:p>
    <w:p>
      <w:pPr>
        <w:pStyle w:val="Heading1"/>
        <w:spacing w:after="160" w:before="360"/>
      </w:pPr>
      <w:r>
        <w:t xml:space="preserve">Tareas nuevas: plantillas de documento (D.3)</w:t>
      </w:r>
    </w:p>
    <w:p>
      <w:pPr>
        <w:spacing w:after="160"/>
      </w:pPr>
      <w:r>
        <w:t xml:space="preserve">Añadido el 2026-08-08 tras investigar cómo integran Word los competidores de referencia (Clio, Kleos, LexON, NetDocuments/iManage): todos, sin excepción, tratan como funcionalidad básica generar un documento Word a partir de una plantilla rellenando automáticamente los datos del cliente/expediente (nombre, DNI/CIF, fechas, materia) — es un patrón más extendido y esperado por un despacho que la propia lectura de Word que ya hace IA.2. No es una tarea de IA: es generación de documentos a partir de datos ya estructurados en Postgres.</w:t>
      </w:r>
    </w:p>
    <w:p>
      <w:pPr>
        <w:pStyle w:val="Heading3"/>
        <w:spacing w:after="80" w:before="200"/>
      </w:pPr>
      <w:r>
        <w:t xml:space="preserve">D.3. Plantillas de documento con fusión de datos del expediente</w:t>
      </w:r>
    </w:p>
    <w:p>
      <w:pPr>
        <w:spacing w:after="80"/>
      </w:pPr>
      <w:r>
        <w:rPr>
          <w:b/>
          <w:bCs/>
        </w:rPr>
        <w:t xml:space="preserve">Depende de: </w:t>
      </w:r>
      <w:r>
        <w:t xml:space="preserve">D.1/D.2 (modelo de dominio) y el CRUD de la guía (Cliente/Expediente ya accesibles por la Api).</w:t>
      </w:r>
    </w:p>
    <w:p>
      <w:pPr>
        <w:spacing w:after="80"/>
      </w:pPr>
      <w:r>
        <w:rPr>
          <w:b/>
          <w:bCs/>
        </w:rPr>
        <w:t xml:space="preserve">Por qué: </w:t>
      </w:r>
      <w:r>
        <w:t xml:space="preserve">redactar un escrito repitiendo a mano el nombre del cliente, su DNI, la fecha y los datos del expediente en cada documento es exactamente el tipo de trabajo mecánico que un despacho espera que el software le quite de encima — todos los competidores investigados lo ofrecen como función base, no como extra.</w:t>
      </w:r>
    </w:p>
    <w:p>
      <w:pPr>
        <w:spacing w:after="80"/>
      </w:pPr>
      <w:r>
        <w:rPr>
          <w:b/>
          <w:bCs/>
        </w:rPr>
        <w:t xml:space="preserve">Alcance: </w:t>
      </w:r>
      <w:r>
        <w:t xml:space="preserve">un catálogo de plantillas Word (.docx) por tipo de escrito habitual (demanda, contestación, requerimiento, etc., ampliable), con marcadores de fusión (por ejemplo {{Cliente.Nombre}}, {{Expediente.Numero}}, {{Expediente.FechaApertura}}) que un servicio en el backend rellena con los datos reales del cliente/expediente seleccionado y devuelve como un .docx nuevo listo para descargar y terminar de redactar en Word. Generación en el servidor, no un editor de Word dentro del navegador.</w:t>
      </w:r>
    </w:p>
    <w:p>
      <w:pPr>
        <w:spacing w:after="80"/>
      </w:pPr>
      <w:r>
        <w:rPr>
          <w:b/>
          <w:bCs/>
        </w:rPr>
        <w:t xml:space="preserve">Criterio de terminado: </w:t>
      </w:r>
      <w:r>
        <w:t xml:space="preserve">elegir una plantilla y un expediente desde la interfaz genera un .docx descargable con los marcadores sustituidos por los datos reales de ese cliente/expediente, sin dejar ningún marcador sin rellenar cuando el dato existe, y sin romper el formato original de la plantilla (estilos, logo, cabecera).</w:t>
      </w:r>
    </w:p>
    <w:p>
      <w:pPr>
        <w:pBdr>
          <w:left w:val="single" w:color="999999" w:sz="12" w:space="8"/>
        </w:pBdr>
        <w:spacing w:after="240" w:before="60"/>
        <w:ind w:left="431"/>
      </w:pPr>
      <w:r>
        <w:rPr>
          <w:b/>
          <w:bCs/>
          <w:i/>
          <w:iCs/>
          <w:color w:val="444444"/>
        </w:rPr>
        <w:t xml:space="preserve">Prompt para el agente: </w:t>
      </w:r>
      <w:r>
        <w:rPr>
          <w:i/>
          <w:iCs/>
          <w:color w:val="444444"/>
        </w:rPr>
        <w:t>IMPORTANTE sobre licencias: no uses EPPlus (licencia Polyform Noncommercial desde 2020, no es gratis para uso comercial), ni la versión gratuita de DocX/Xceed.Words.NET (uso no comercial únicamente), ni NPOI si es a través de su paquete NuGet binario más reciente (añadió una cuota de mantenimiento sobre el binario en 2026, aunque el código fuente siga Apache-2.0). Usa el Open XML SDK de Microsoft (MIT) — si su verbosidad resulta incómoda para trabajar con marcadores de texto, apóyate en OfficeIMO (MIT), un envoltorio sobre el mismo SDK pensado para no escribir XML a mano. Implementa un servicio que cargue una plantilla .docx (guardada como recurso o en el almacenamiento de documentos (SeaweedFS, vía IDocumentStorage)), reemplace los marcadores de fusión por los valores reales del Cliente/Expediente/Materia solicitados (vía Open XML SDK/OfficeIMO, iterando los run de texto del documento; antes de buscar los marcadores de fusión, fusiona los runs adyacentes con el mismo formato en el XML de la plantilla — no es un defecto de esta librería en particular, es una característica del formato OOXML: cualquier herramienta que edite el XML crudo se encuentra con marcadores partidos entre varios &lt;w:r&gt; por la revisión ortográfica o el control de cambios de Word, y fusionar antes de buscar evita el problema de raíz en vez de trabajarlo caso por caso), y devuelva el .docx resultante para su descarga. Empieza con 2-3 plantillas reales (puedes basarte en los casos de fase0_dominio_ux.docx) y confirma que los marcadores se sustituyen correctamente y que el documento sigue abriendo sin errores en Word.</w:t>
      </w:r>
    </w:p>
    <w:p>
      <w:pPr>
        <w:pStyle w:val="Heading3"/>
      </w:pPr>
      <w:r>
        <w:t>D.4. Líneas de trabajo del expediente (elementos a probar) — campo opcional</w:t>
      </w:r>
    </w:p>
    <w:p>
      <w:r>
        <w:t>Depende de: D.1 (Expediente ya existe). No depende de IA.2d ni IA.5, pero se complementa con ellas si ya están disponibles.</w:t>
      </w:r>
    </w:p>
    <w:p>
      <w:r>
        <w:t>Por qué: validado con dos entrevistas simuladas (Diego, civil/mercantil, y Carmen, socia generalista) sobre un caso de uso que Manuel trajo inspirado en la taxonomía de e-discovery (Legal Elements / Tagging Tree / Review Protocol). Conclusión de ambas: la ceremonia completa — árbol jerárquico de etiquetas con códigos, protocolo escrito para un equipo de paralegals — está pensada para litigios de miles de páginas con equipo de revisión, y es sobredimensionada para el cliente real de este producto (despachos de 2-3 personas, casos de docenas a un par de cientos de páginas). Pero la idea de fondo — anotar qué hay que probar antes de ponerse a buscar en el expediente — sí tiene valor, sobre todo en Civil/Mercantil (reclamaciones, impagos); no de forma universal en todas las materias, un divorcio de mutuo acuerdo o un despido no encajan en ese marco.</w:t>
      </w:r>
    </w:p>
    <w:p>
      <w:r>
        <w:t>Alcance: un campo de texto libre y opcional en Expediente, sin estructura jerárquica ni tabla de etiquetas nueva, sin asistente de configuración ni pasos obligatorios al abrir el expediente. Visible en la ficha del expediente, más relevante cuando Materia es Civil o Mercantil pero disponible para cualquier caso sin forzar su uso. Si IA.2d (búsqueda) o IA.5 (chat) ya están construidas, permitir opcionalmente que el abogado anote qué línea de trabajo respalda un resultado de búsqueda o una respuesta del chat — una referencia de texto simple, no una relación de base de datos nueva.</w:t>
      </w:r>
    </w:p>
    <w:p>
      <w:r>
        <w:t>Criterio de terminado: se puede crear el expediente del Caso 3 (reclamación de cantidad, Constructora Sureste S.L., de fase0_dominio_ux.docx) con 2-3 líneas de trabajo escritas a mano, y el campo queda vacío sin error en un expediente de otro tipo (por ejemplo el Caso 2, divorcio) donde no se usa.</w:t>
      </w:r>
    </w:p>
    <w:p>
      <w:r>
        <w:t>Prompt para el agente: Añade una propiedad LineasDeTrabajo (texto largo, nullable) a la entidad Expediente en src/Domain/Entities, con su migración correspondiente. En la ficha de expediente (Fase 6), muestra un campo de texto libre editable para este dato — un textarea simple, sin validación obligatoria ni asistente de pasos. No crees ninguna tabla ni entidad nueva para esto.</w:t>
      </w:r>
    </w:p>
    <w:p>
      <w:pPr>
        <w:pBdr>
          <w:bottom w:val="single" w:color="CCCCCC" w:sz="6" w:space="4"/>
        </w:pBdr>
        <w:spacing w:after="200" w:before="100"/>
      </w:pPr>
    </w:p>
    <w:p>
      <w:pPr>
        <w:pStyle w:val="Heading1"/>
        <w:spacing w:after="160" w:before="360"/>
      </w:pPr>
      <w:r>
        <w:t xml:space="preserve">Tareas nuevas: cumplimiento normativo (C.0 – C.5)</w:t>
      </w:r>
    </w:p>
    <w:p>
      <w:pPr>
        <w:spacing w:after="160"/>
      </w:pPr>
      <w:r>
        <w:t xml:space="preserve">El principio detrás de esta fase: incorporar estas cuatro piezas ahora, en el mismo momento en que se genera la primera migración grande del modelo ampliado, es lo que permite decir después "esto se diseñó así desde el principio" en vez de "esto se añadió cuando hizo falta". Esa diferencia de fecha es, literalmente, lo que separa una medida de cumplimiento creíble de una añadida a toda prisa tras un incidente o una auditoría.</w:t>
      </w:r>
    </w:p>
    <w:p>
      <w:pPr>
        <w:pStyle w:val="Heading3"/>
        <w:spacing w:after="80" w:before="200"/>
      </w:pPr>
      <w:r>
        <w:t xml:space="preserve">C.0. Registro de auditoría con encadenado criptográfico</w:t>
      </w:r>
    </w:p>
    <w:p>
      <w:pPr>
        <w:spacing w:after="80"/>
      </w:pPr>
      <w:r>
        <w:rPr>
          <w:b/>
          <w:bCs/>
        </w:rPr>
        <w:t xml:space="preserve">Depende de: </w:t>
      </w:r>
      <w:r>
        <w:t xml:space="preserve">D.0 (convención de nombres). Sustituye a la tarea 3.2 del plan original.</w:t>
      </w:r>
    </w:p>
    <w:p>
      <w:pPr>
        <w:spacing w:after="80"/>
      </w:pPr>
      <w:r>
        <w:rPr>
          <w:b/>
          <w:bCs/>
        </w:rPr>
        <w:t xml:space="preserve">Por qué: </w:t>
      </w:r>
      <w:r>
        <w:t xml:space="preserve">un registro de auditoría que vive en una tabla Postgres normal se puede editar por cualquiera con acceso de administrador a la base de datos — y un registro que se puede editar no tiene valor como prueba frente a un cliente, un colegio de abogados o un juzgado. Encadenar cada fila con la anterior mediante un hash hace que cualquier alteración posterior sea detectable.</w:t>
      </w:r>
    </w:p>
    <w:p>
      <w:pPr>
        <w:spacing w:after="80"/>
      </w:pPr>
      <w:r>
        <w:rPr>
          <w:b/>
          <w:bCs/>
        </w:rPr>
        <w:t xml:space="preserve">Alcance: </w:t>
      </w:r>
      <w:r>
        <w:t xml:space="preserve">tabla AuditLog (ver modelo consolidado arriba) que registre accesos y modificaciones sobre expedientes, documentos y facturación; cada fila calcula hash_actual a partir de una serialización canónica de sus propios campos más el hash_anterior de la fila previa del mismo tenant. Publicación del evento de auditoría vía MassTransit (reutilizando la infraestructura de la Fase 1), igual que se planteaba en la tarea 3.2 original.</w:t>
      </w:r>
    </w:p>
    <w:p>
      <w:pPr>
        <w:spacing w:after="80"/>
      </w:pPr>
      <w:r>
        <w:rPr>
          <w:b/>
          <w:bCs/>
        </w:rPr>
        <w:t xml:space="preserve">Criterio de terminado: </w:t>
      </w:r>
      <w:r>
        <w:t xml:space="preserve">existe un script o endpoint que recorre la cadena de un tenant y confirma que ningún hash intermedio ha sido alterado; si se modifica a mano una fila antigua directamente en la base de datos, la verificación falla de forma clara señalando desde qué fila se rompe la cadena.</w:t>
      </w:r>
    </w:p>
    <w:p>
      <w:pPr>
        <w:pBdr>
          <w:left w:val="single" w:color="999999" w:sz="12" w:space="8"/>
        </w:pBdr>
        <w:spacing w:after="240" w:before="60"/>
        <w:ind w:left="431"/>
      </w:pPr>
      <w:r>
        <w:rPr>
          <w:b/>
          <w:bCs/>
          <w:i/>
          <w:iCs/>
          <w:color w:val="444444"/>
        </w:rPr>
        <w:t xml:space="preserve">Prompt para el agente: </w:t>
      </w:r>
      <w:r>
        <w:rPr>
          <w:i/>
          <w:iCs/>
          <w:color w:val="444444"/>
        </w:rPr>
        <w:t xml:space="preserve">Crea la entidad AuditLog (TenantId, UsuarioId, ExpedienteId, Accion, FechaUtc, HashActual, HashAnterior) y un servicio que, al insertar una nueva fila, calcule HashActual como el hash SHA-256 de la serialización canónica (JSON con claves ordenadas, por ejemplo) de los campos de negocio de la fila concatenados con el HashAnterior de la última fila registrada para ese tenant (o un valor inicial fijo si es la primera). Publica un evento AccesoRegistrado vía MassTransit desde los endpoints que leen o modifican expedientes, documentos y facturas, con un consumer que persista la fila de AuditLog aplicando el cálculo de hash. Añade un endpoint o script de administración que recorra todas las filas de un tenant en orden y verifique que cada HashActual coincide con el recalculado a partir de sus campos y el HashAnterior de la fila previa, señalando explícitamente la primera fila donde la cadena se rompe si hay alguna alteración.</w:t>
      </w:r>
    </w:p>
    <w:p>
      <w:pPr>
        <w:pStyle w:val="Heading3"/>
        <w:spacing w:after="80" w:before="200"/>
      </w:pPr>
      <w:r>
        <w:t xml:space="preserve">C.1. Endpoints de derechos del interesado (acceso, rectificación, supresión, portabilidad)</w:t>
      </w:r>
    </w:p>
    <w:p>
      <w:pPr>
        <w:spacing w:after="80"/>
      </w:pPr>
      <w:r>
        <w:rPr>
          <w:b/>
          <w:bCs/>
        </w:rPr>
        <w:t xml:space="preserve">Depende de: </w:t>
      </w:r>
      <w:r>
        <w:t xml:space="preserve">JWT ya implementado (Fase 0) — no hace falta esperar al login real de la tarea 3.1 para construir y probar esto.</w:t>
      </w:r>
    </w:p>
    <w:p>
      <w:pPr>
        <w:spacing w:after="80"/>
      </w:pPr>
      <w:r>
        <w:rPr>
          <w:b/>
          <w:bCs/>
        </w:rPr>
        <w:t xml:space="preserve">Por qué: </w:t>
      </w:r>
      <w:r>
        <w:t xml:space="preserve">el RGPD reconoce a cualquier cliente (interesado) el derecho a pedir una copia de sus datos, corregirlos, pedir su supresión o llevárselos a otro proveedor. Sin estos endpoints, atender una de estas solicitudes hoy significaría una consulta SQL manual — lento, propenso a error, y nada enseñable como prueba de cumplimiento.</w:t>
      </w:r>
    </w:p>
    <w:p>
      <w:pPr>
        <w:spacing w:after="80"/>
      </w:pPr>
      <w:r>
        <w:rPr>
          <w:b/>
          <w:bCs/>
        </w:rPr>
        <w:t xml:space="preserve">Alcance: </w:t>
      </w:r>
      <w:r>
        <w:t xml:space="preserve">endpoints para exportar todos los datos personales de un Cliente (acceso/portabilidad, en un formato estructurado como JSON), corregir sus datos de contacto (rectificación), y marcarlo para supresión/anonimización respetando los plazos legales de conservación de C.2 (no se puede borrar de inmediato si hay facturas u obligaciones legales que retenerlas).</w:t>
      </w:r>
    </w:p>
    <w:p>
      <w:pPr>
        <w:spacing w:after="80"/>
      </w:pPr>
      <w:r>
        <w:rPr>
          <w:b/>
          <w:bCs/>
        </w:rPr>
        <w:t xml:space="preserve">Criterio de terminado: </w:t>
      </w:r>
      <w:r>
        <w:t xml:space="preserve">se puede pedir la exportación completa de un Cliente de prueba y se recibe un JSON con todos sus expedientes, documentos (metadatos) y facturas asociadas; una solicitud de supresión sobre un cliente con facturas dentro del plazo legal de conservación se rechaza o se pospone explicando el motivo, no se ejecuta sin más.</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GET /api/clientes/{id}/exportar que devuelva un JSON con todos los datos personales del cliente y referencias a sus expedientes, documentos (solo metadatos, no el contenido binario) y facturas. Añade PATCH /api/clientes/{id} para rectificación de datos de contacto (ya debería existir parcialmente, verifica que cubre todos los campos personales). Añade POST /api/clientes/{id}/solicitar-supresion que compruebe, contra la política de retención de C.2, si existen facturas u otros registros con obligación legal de conservación vigente; si los hay, responde indicando qué se conservará y hasta cuándo en vez de borrar; si no los hay, anonimiza (no necesariamente borra físicamente) los datos personales del cliente y sus expedientes.</w:t>
      </w:r>
    </w:p>
    <w:p>
      <w:pPr>
        <w:pStyle w:val="Heading3"/>
        <w:spacing w:after="80" w:before="200"/>
      </w:pPr>
      <w:r>
        <w:t xml:space="preserve">C.2. Política de retención y purga con plazos legales diferenciados</w:t>
      </w:r>
    </w:p>
    <w:p>
      <w:pPr>
        <w:spacing w:after="80"/>
      </w:pPr>
      <w:r>
        <w:rPr>
          <w:b/>
          <w:bCs/>
        </w:rPr>
        <w:t xml:space="preserve">Depende de: </w:t>
      </w:r>
      <w:r>
        <w:t xml:space="preserve">ninguna, puede empezar en paralelo con C.0/C.1.</w:t>
      </w:r>
    </w:p>
    <w:p>
      <w:pPr>
        <w:spacing w:after="80"/>
      </w:pPr>
      <w:r>
        <w:rPr>
          <w:b/>
          <w:bCs/>
        </w:rPr>
        <w:t xml:space="preserve">Por qué: </w:t>
      </w:r>
      <w:r>
        <w:t xml:space="preserve">"conservar los datos indefinidamente" incumple el principio de minimización del RGPD, pero "borrarlo todo pasado un tiempo" incumple obligaciones legales distintas: las facturas tienen un mínimo de conservación fiscal (Ley General Tributaria) y mercantil (Código de Comercio) que hay que agotar antes de poder eliminarlas, con independencia de lo que pida el cliente.</w:t>
      </w:r>
    </w:p>
    <w:p>
      <w:pPr>
        <w:spacing w:after="80"/>
      </w:pPr>
      <w:r>
        <w:rPr>
          <w:b/>
          <w:bCs/>
        </w:rPr>
        <w:t xml:space="preserve">Alcance: </w:t>
      </w:r>
      <w:r>
        <w:t xml:space="preserve">tabla o configuración de política de retención por tipo de dato (facturas: mínimo N años desde su fecha; datos personales de un cliente sin expedientes activos: purga/anonimización tras M meses de inactividad; documentos de un expediente archivado: según lo que decida el despacho), y un proceso programado (puede reutilizar MassTransit/un job periódico) que aplique esa política.</w:t>
      </w:r>
    </w:p>
    <w:p>
      <w:pPr>
        <w:spacing w:after="80"/>
      </w:pPr>
      <w:r>
        <w:rPr>
          <w:b/>
          <w:bCs/>
        </w:rPr>
        <w:t xml:space="preserve">Criterio de terminado: </w:t>
      </w:r>
      <w:r>
        <w:t xml:space="preserve">existe una tabla de configuración de plazos de retención por tipo de entidad, revisable sin tocar código, y un proceso que, ejecutado sobre datos de prueba con fechas antiguas, anonimiza o marca para supresión solo lo que ya ha superado su plazo mínimo, dejando intacto lo que todavía está dentro del plazo legal obligatorio.</w:t>
      </w:r>
    </w:p>
    <w:p>
      <w:pPr>
        <w:pBdr>
          <w:left w:val="single" w:color="999999" w:sz="12" w:space="8"/>
        </w:pBdr>
        <w:spacing w:after="240" w:before="60"/>
        <w:ind w:left="431"/>
      </w:pPr>
      <w:r>
        <w:rPr>
          <w:b/>
          <w:bCs/>
          <w:i/>
          <w:iCs/>
          <w:color w:val="444444"/>
        </w:rPr>
        <w:t xml:space="preserve">Prompt para el agente: </w:t>
      </w:r>
      <w:r>
        <w:rPr>
          <w:i/>
          <w:iCs/>
          <w:color w:val="444444"/>
        </w:rPr>
        <w:t xml:space="preserve">Crea una tabla PoliticaRetencion (TipoEntidad, PlazoMinimoMeses, PlazoMaximoMeses opcional, Fundamento como texto libre para anotar la norma que lo justifica) con una fila inicial para Factura (plazo mínimo orientativo de conservación fiscal/mercantil — pide confirmación del plazo exacto vigente a un asesor antes de dar esto por definitivo, no lo asumas de este prompt) y otra para Cliente sin expedientes activos. Crea un proceso programado (job periódico, o un consumer de un evento de mantenimiento diario) que recorra los datos y anonimice o marque para purga únicamente lo que ha superado el plazo mínimo aplicable, dejando explícitamente intacto lo que sigue dentro del plazo obligatorio. Prueba con datos ficticios con fechas antiguas y recientes y confirma que el proceso distingue correctamente unos de otros.</w:t>
      </w:r>
    </w:p>
    <w:p>
      <w:pPr>
        <w:pStyle w:val="Heading3"/>
        <w:spacing w:after="80" w:before="200"/>
      </w:pPr>
      <w:r>
        <w:t xml:space="preserve">C.3. Verificación de integridad del audit log como herramienta de auditoría externa</w:t>
      </w:r>
    </w:p>
    <w:p>
      <w:pPr>
        <w:spacing w:after="80"/>
      </w:pPr>
      <w:r>
        <w:rPr>
          <w:b/>
          <w:bCs/>
        </w:rPr>
        <w:t xml:space="preserve">Depende de: </w:t>
      </w:r>
      <w:r>
        <w:t xml:space="preserve">C.0 (registro de auditoría encadenado).</w:t>
      </w:r>
    </w:p>
    <w:p>
      <w:pPr>
        <w:spacing w:after="80"/>
      </w:pPr>
      <w:r>
        <w:rPr>
          <w:b/>
          <w:bCs/>
        </w:rPr>
        <w:t xml:space="preserve">Por qué: </w:t>
      </w:r>
      <w:r>
        <w:t xml:space="preserve">de cara a un despacho piloto, a un asesor de protección de datos, o a una auditoría ISO 27001/ENS, hace falta poder demostrar la integridad del registro con una sola ejecución verificable por un tercero, no explicando de palabra cómo funciona el encadenado.</w:t>
      </w:r>
    </w:p>
    <w:p>
      <w:pPr>
        <w:spacing w:after="80"/>
      </w:pPr>
      <w:r>
        <w:rPr>
          <w:b/>
          <w:bCs/>
        </w:rPr>
        <w:t xml:space="preserve">Alcance: </w:t>
      </w:r>
      <w:r>
        <w:t xml:space="preserve">un comando o endpoint de solo lectura, pensado para ejecutarse durante una auditoría, que recorra la cadena completa de un tenant y produzca un informe (fecha de la verificación, número de filas verificadas, resultado, y el punto exacto de ruptura si lo hay).</w:t>
      </w:r>
    </w:p>
    <w:p>
      <w:pPr>
        <w:spacing w:after="80"/>
      </w:pPr>
      <w:r>
        <w:rPr>
          <w:b/>
          <w:bCs/>
        </w:rPr>
        <w:t xml:space="preserve">Criterio de terminado: </w:t>
      </w:r>
      <w:r>
        <w:t xml:space="preserve">el informe generado es legible por alguien no técnico (un abogado o un auditor externo), no solo por quien programó el sistema.</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un comando de administración (o un endpoint protegido solo para roles de administración) que ejecute la verificación de C.0 sobre todo el histórico de un tenant y genere un informe en texto o PDF simple: fecha de la verificación, número de filas verificadas, resultado (íntegro / alterado), y si hay alteración, la fila exacta donde se rompe la cadena y su fecha. Redacta el informe pensando en que lo pueda leer un abogado o un auditor externo sin conocimientos técnicos, no solo un desarrollador.</w:t>
      </w:r>
    </w:p>
    <w:p>
      <w:pPr>
        <w:pStyle w:val="Heading3"/>
        <w:spacing w:after="80" w:before="200"/>
      </w:pPr>
      <w:r>
        <w:t xml:space="preserve">C.4. Registro y vigilancia de licencias de dependencias de terceros</w:t>
      </w:r>
    </w:p>
    <w:p>
      <w:pPr>
        <w:spacing w:after="80"/>
      </w:pPr>
      <w:r>
        <w:rPr>
          <w:b/>
          <w:bCs/>
        </w:rPr>
        <w:t xml:space="preserve">Depende de: </w:t>
      </w:r>
      <w:r>
        <w:t xml:space="preserve">ninguna, puede empezar ya — de hecho conviene hacerlo cuanto antes, para no perder el trabajo de verificación de licencias ya hecho durante la planificación.</w:t>
      </w:r>
    </w:p>
    <w:p>
      <w:pPr>
        <w:spacing w:after="80"/>
      </w:pPr>
      <w:r>
        <w:rPr>
          <w:b/>
          <w:bCs/>
        </w:rPr>
        <w:t xml:space="preserve">Por qué: </w:t>
      </w:r>
      <w:r>
        <w:t xml:space="preserve">el proyecto depende de bastantes herramientas de terceros elegidas explícitamente por ser libres para uso comercial (PaddleOCR, spaCy, PDFsharp, pypdf/pikepdf, LibreOffice, Open XML SDK/OfficeIMO...), pero una licencia libre hoy no garantiza que lo siga siendo en la versión de mañana — ya ha pasado varias veces en el propio ecosistema .NET (EPPlus, DocX/Xceed, NPOI) y, como se descubrió el 2026-08-08 revisando el propio stack del proyecto, también le ha pasado a MinIO (ver C.5). Un cambio de licencia casi siempre aplica hacia delante, no hacia atrás — si la versión que usas está fijada y archivada, el cambio no te afecta retroactivamente — pero sin un registro, nadie se entera de que hay que revisarlo antes de actualizar o antes de una due diligence legal de un cliente grande.</w:t>
      </w:r>
    </w:p>
    <w:p>
      <w:pPr>
        <w:spacing w:after="80"/>
      </w:pPr>
      <w:r>
        <w:rPr>
          <w:b/>
          <w:bCs/>
        </w:rPr>
        <w:t xml:space="preserve">Alcance: </w:t>
      </w:r>
      <w:r>
        <w:t xml:space="preserve">un documento vivo (registro_licencias_dependencias.docx) con cada librería/herramienta de terceros usada en el proyecto, su licencia verificada, la fecha de verificación y, si aplica, la alternativa prevista; fijar la versión exacta (no rangos) de cada dependencia en los ficheros de proyecto (.csproj, requirements.txt) en vez de dejar que se actualice sola; y revisar ese registro antes de cada actualización de una dependencia y, obligatoriamente, antes de cualquier lanzamiento comercial o negociación con un cliente grande.</w:t>
      </w:r>
    </w:p>
    <w:p>
      <w:pPr>
        <w:spacing w:after="80"/>
      </w:pPr>
      <w:r>
        <w:rPr>
          <w:b/>
          <w:bCs/>
        </w:rPr>
        <w:t xml:space="preserve">Criterio de terminado: </w:t>
      </w:r>
      <w:r>
        <w:t xml:space="preserve">el registro existe, está actualizado a la fecha de la última revisión, y las dependencias del proyecto (.csproj/requirements.txt) usan versiones fijas, no rangos abiertos (nada de "^5.0" o "*").</w:t>
      </w:r>
    </w:p>
    <w:p>
      <w:pPr>
        <w:pBdr>
          <w:left w:val="single" w:color="999999" w:sz="12" w:space="8"/>
        </w:pBdr>
        <w:spacing w:after="240" w:before="60"/>
        <w:ind w:left="431"/>
      </w:pPr>
      <w:r>
        <w:rPr>
          <w:b/>
          <w:bCs/>
          <w:i/>
          <w:iCs/>
          <w:color w:val="444444"/>
        </w:rPr>
        <w:t xml:space="preserve">Prompt para el agente: </w:t>
      </w:r>
      <w:r>
        <w:rPr>
          <w:i/>
          <w:iCs/>
          <w:color w:val="444444"/>
        </w:rPr>
        <w:t xml:space="preserve">Crea (o usa el ya generado como parte de esta misma sesión) registro_licencias_dependencias.docx con una entrada por cada dependencia de terceros del proyecto: nombre, versión fijada, licencia, fecha de verificación, uso en el proyecto, y alternativa si la licencia cambiara. Revisa los ficheros de dependencias (.csproj de cada proyecto .NET, requirements.txt del microservicio Python) y sustituye cualquier rango de versión abierto por una versión exacta fijada. Añade una nota al README o a este mismo registro indicando que debe revisarse antes de cada actualización de dependencias y antes de cualquier proceso comercial serio (venta a un despacho grande, ronda de inversión, auditoría). Prioriza especialmente las dependencias de un único proveedor/empresa sin gobernanza de fundación detrás (el patrón de mayor riesgo de relicenciamiento: EPPlus, DocX/Xceed, NPOI, MassTransit a partir de v9, MinIO), marcándolas explícitamente como "vigilar" en el registro.</w:t>
      </w:r>
    </w:p>
    <w:p>
      <w:pPr>
        <w:pStyle w:val="Heading3"/>
        <w:spacing w:after="80" w:before="200"/>
      </w:pPr>
      <w:r>
        <w:t xml:space="preserve">C.5. Migrar el almacenamiento de documentos de MinIO a una alternativa mantenida</w:t>
      </w:r>
    </w:p>
    <w:p>
      <w:pPr>
        <w:spacing w:after="80"/>
      </w:pPr>
      <w:r>
        <w:rPr>
          <w:b/>
          <w:bCs/>
        </w:rPr>
        <w:t xml:space="preserve">Depende de: </w:t>
      </w:r>
      <w:r>
        <w:t xml:space="preserve">C.4 (es el hallazgo que motiva esta tarea). Puede hacerse en paralelo con IA.2b/IA.2c, no bloquea nada de la fase de IA.</w:t>
      </w:r>
    </w:p>
    <w:p>
      <w:pPr>
        <w:spacing w:after="80"/>
      </w:pPr>
      <w:r>
        <w:rPr>
          <w:b/>
          <w:bCs/>
        </w:rPr>
        <w:t xml:space="preserve">Por qué: </w:t>
      </w:r>
      <w:r>
        <w:t xml:space="preserve">MinIO Community Edition — la pieza de almacenamiento S3 usada desde el principio del proyecto (Fase 2.1) — dejó de publicar imágenes Docker en octubre de 2025, entró en modo mantenimiento en diciembre de 2025, y su repositorio quedó archivado (solo lectura) el 25 de abril de 2026: no va a recibir más actualizaciones ni, con seguridad, parches de seguridad. La empresa sigue adelante solo con su producto de pago (AIStor). Además, MinIO Server es AGPLv3 desde 2021 — usarlo como infraestructura interna sin modificarlo (que es como está planteado aquí) es la interpretación más extendida de por qué no obliga a liberar el código del resto del SaaS, pero es una interpretación, no una certeza legal, y ahora se suma el problema añadido de que la versión libre ya no se mantiene. Es exactamente el caso real que preguntaste (2026-08-08): una pieza elegida al principio del proyecto cuya situación cambió meses después sin que nadie lo estuviera vigilando — por eso se crea C.4 a la vez que esta tarea.</w:t>
      </w:r>
    </w:p>
    <w:p>
      <w:pPr>
        <w:spacing w:after="80"/>
      </w:pPr>
      <w:r>
        <w:rPr>
          <w:b/>
          <w:bCs/>
        </w:rPr>
        <w:t xml:space="preserve">Alcance: </w:t>
      </w:r>
      <w:r>
        <w:t xml:space="preserve">sustituir MinIO por SeaweedFS (Apache 2.0, activamente mantenido en 2026, compatible con la API S3) como backend de almacenamiento, aprovechando que el código ya usa una interfaz propia (IDocumentStorage) y no llama al SDK de MinIO directamente desde la lógica de negocio — el cambio debería quedar contenido en la implementación de esa interfaz y en el docker-compose, sin tocar el resto del código.</w:t>
      </w:r>
    </w:p>
    <w:p>
      <w:pPr>
        <w:spacing w:after="80"/>
      </w:pPr>
      <w:r>
        <w:rPr>
          <w:b/>
          <w:bCs/>
        </w:rPr>
        <w:t xml:space="preserve">Criterio de terminado: </w:t>
      </w:r>
      <w:r>
        <w:t xml:space="preserve">la Api y el Worker leen y escriben documentos contra SeaweedFS a través de la misma interfaz IDocumentStorage sin cambios visibles para el resto del código; una prueba de subida y descarga de un documento real confirma que el contenido no se corrompe ni cambia de clave de almacenamiento respecto al comportamiento anterior con MinIO.</w:t>
      </w:r>
    </w:p>
    <w:p>
      <w:pPr>
        <w:pBdr>
          <w:left w:val="single" w:color="999999" w:sz="12" w:space="8"/>
        </w:pBdr>
        <w:spacing w:after="240" w:before="60"/>
        <w:ind w:left="431"/>
      </w:pPr>
      <w:r>
        <w:rPr>
          <w:b/>
          <w:bCs/>
          <w:i/>
          <w:iCs/>
          <w:color w:val="444444"/>
        </w:rPr>
        <w:t xml:space="preserve">Prompt para el agente: </w:t>
      </w:r>
      <w:r>
        <w:rPr>
          <w:i/>
          <w:iCs/>
          <w:color w:val="444444"/>
        </w:rPr>
        <w:t xml:space="preserve">Cambia el servicio de almacenamiento de objetos en docker-compose.yml de MinIO a SeaweedFS en su modo compatible con S3 (SeaweedFS expone una API S3). Revisa la implementación actual de IDocumentStorage (Infrastructure/Storage) y ajusta solo la configuración de conexión (endpoint, credenciales) y, si hace falta, el cliente S3 usado (si ya usas un SDK S3 genérico en vez del SDK propio de MinIO, es posible que no haga falta cambiar código, solo configuración) — no cambies la interfaz IDocumentStorage ni su contrato hacia el resto de la aplicación. Prueba subiendo y descargando un documento real de un expediente de prueba después del cambio y confirma que el contenido llega intacto. Si en el momento de hacer esta tarea existiera ya un despliegue real con documentos guardados en MinIO, planifica también la migración de esos datos existentes (copiar los objetos de un backend a otro) antes de apagar MinIO, no solo el cambio de configuración para lo nuevo.</w:t>
      </w:r>
    </w:p>
    <w:p>
      <w:pPr>
        <w:pBdr>
          <w:bottom w:val="single" w:color="CCCCCC" w:sz="6" w:space="4"/>
        </w:pBdr>
        <w:spacing w:after="200" w:before="100"/>
      </w:pPr>
    </w:p>
    <w:p>
      <w:pPr>
        <w:pStyle w:val="Heading1"/>
        <w:spacing w:after="160" w:before="360"/>
      </w:pPr>
      <w:r>
        <w:t xml:space="preserve">Tareas nuevas: IA documental (IA.0 – IA.5)</w:t>
      </w:r>
    </w:p>
    <w:p>
      <w:pPr>
        <w:pStyle w:val="Heading3"/>
        <w:spacing w:after="80" w:before="200"/>
      </w:pPr>
      <w:r>
        <w:t xml:space="preserve">IA.0. Habilitar pgvector en Postgres</w:t>
      </w:r>
    </w:p>
    <w:p>
      <w:pPr>
        <w:spacing w:after="80"/>
      </w:pPr>
      <w:r>
        <w:rPr>
          <w:b/>
          <w:bCs/>
        </w:rPr>
        <w:t xml:space="preserve">Depende de: </w:t>
      </w:r>
      <w:r>
        <w:t xml:space="preserve">D.0 (convención de nombres) debe estar aplicada antes, para que las columnas de esta tabla ya salgan en snake_case.</w:t>
      </w:r>
    </w:p>
    <w:p>
      <w:pPr>
        <w:spacing w:after="80"/>
      </w:pPr>
      <w:r>
        <w:rPr>
          <w:b/>
          <w:bCs/>
        </w:rPr>
        <w:t xml:space="preserve">Por qué: </w:t>
      </w:r>
      <w:r>
        <w:t xml:space="preserve">pgvector es la pieza que permite guardar y buscar embeddings dentro de la misma Postgres que ya usas, sin añadir una base de datos vectorial aparte.</w:t>
      </w:r>
    </w:p>
    <w:p>
      <w:pPr>
        <w:spacing w:after="80"/>
      </w:pPr>
      <w:r>
        <w:rPr>
          <w:b/>
          <w:bCs/>
        </w:rPr>
        <w:t xml:space="preserve">Alcance: </w:t>
      </w:r>
      <w:r>
        <w:t xml:space="preserve">cambiar la imagen de Postgres del docker-compose a pgvector/pgvector:pg16 (o ejecutar CREATE EXTENSION vector contra la imagen actual si prefieres no cambiar de imagen), y añadir el paquete NuGet Pgvector.EntityFrameworkCore al proyecto Infrastructure.</w:t>
      </w:r>
    </w:p>
    <w:p>
      <w:pPr>
        <w:spacing w:after="80"/>
      </w:pPr>
      <w:r>
        <w:rPr>
          <w:b/>
          <w:bCs/>
        </w:rPr>
        <w:t xml:space="preserve">Criterio de terminado: </w:t>
      </w:r>
      <w:r>
        <w:t xml:space="preserve">una migración de prueba puede crear una columna de tipo vector y EF Core la reconoce sin errores.</w:t>
      </w:r>
    </w:p>
    <w:p>
      <w:pPr>
        <w:pBdr>
          <w:left w:val="single" w:color="999999" w:sz="12" w:space="8"/>
        </w:pBdr>
        <w:spacing w:after="240" w:before="60"/>
        <w:ind w:left="431"/>
      </w:pPr>
      <w:r>
        <w:rPr>
          <w:b/>
          <w:bCs/>
          <w:i/>
          <w:iCs/>
          <w:color w:val="444444"/>
        </w:rPr>
        <w:t xml:space="preserve">Prompt para el agente: </w:t>
      </w:r>
      <w:r>
        <w:rPr>
          <w:i/>
          <w:iCs/>
          <w:color w:val="444444"/>
        </w:rPr>
        <w:t xml:space="preserve">Cambia la imagen de postgres en docker-compose.yml a pgvector/pgvector:pg16 (mantiene compatibilidad con Postgres 16, solo añade la extensión). Si prefieres no tocar la imagen, en su lugar añade un script de inicialización que ejecute CREATE EXTENSION IF NOT EXISTS vector; contra la base de datos al arrancar el contenedor. Añade el paquete Pgvector.EntityFrameworkCore al proyecto Infrastructure y confirma, con una migración de prueba que declare una columna Vector(1536) en una entidad de prueba, que EF Core la reconoce y genera el tipo vector correctamente. Borra la migración de prueba si no la necesitas en la historia real.</w:t>
      </w:r>
    </w:p>
    <w:p>
      <w:pPr>
        <w:pStyle w:val="Heading3"/>
        <w:spacing w:after="80" w:before="200"/>
      </w:pPr>
      <w:r>
        <w:t xml:space="preserve">IA.1. Tablas de ingesta: FragmentoDocumento y estado de procesamiento</w:t>
      </w:r>
    </w:p>
    <w:p>
      <w:pPr>
        <w:spacing w:after="80"/>
      </w:pPr>
      <w:r>
        <w:rPr>
          <w:b/>
          <w:bCs/>
        </w:rPr>
        <w:t xml:space="preserve">Depende de: </w:t>
      </w:r>
      <w:r>
        <w:t xml:space="preserve">IA.0 (pgvector habilitado) y D.0 (snake_case).</w:t>
      </w:r>
    </w:p>
    <w:p>
      <w:pPr>
        <w:spacing w:after="80"/>
      </w:pPr>
      <w:r>
        <w:rPr>
          <w:b/>
          <w:bCs/>
        </w:rPr>
        <w:t xml:space="preserve">Por qué: </w:t>
      </w:r>
      <w:r>
        <w:t xml:space="preserve">sin esta tabla no hay dónde guardar los fragmentos con su embedding, que es lo que hace posible tanto el chat con citas como la extracción de entidades y la cronología.</w:t>
      </w:r>
    </w:p>
    <w:p>
      <w:pPr>
        <w:spacing w:after="80"/>
      </w:pPr>
      <w:r>
        <w:rPr>
          <w:b/>
          <w:bCs/>
        </w:rPr>
        <w:t xml:space="preserve">Alcance: </w:t>
      </w:r>
      <w:r>
        <w:t xml:space="preserve">entidad FragmentoDocumento en Domain (ver modelo consolidado arriba) y dos columnas nuevas en DocumentoAdjunto (EstadoProcesamiento, FechaProcesado). Migración de EF Core que incluya también Materia, ParteContraria, Plazo, ProvisionDeFondos, Factura y EntidadExtraida/EventoCronologia de las tareas siguientes, en la misma migración.</w:t>
      </w:r>
    </w:p>
    <w:p>
      <w:pPr>
        <w:spacing w:after="80"/>
      </w:pPr>
      <w:r>
        <w:rPr>
          <w:b/>
          <w:bCs/>
        </w:rPr>
        <w:t xml:space="preserve">Criterio de terminado: </w:t>
      </w:r>
      <w:r>
        <w:t xml:space="preserve">se puede insertar manualmente un FragmentoDocumento de prueba con un embedding y recuperarlo por similitud (consulta de prueba con CosineDistance).</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a src/Domain/Entities la entidad FragmentoDocumento (DocumentoAdjuntoId, Pagina, Parrafo, TextoFragmento, Embedding de tipo Vector de pgvector). Añade a DocumentoAdjunto dos propiedades nuevas: EstadoProcesamiento (enum Pendiente/Procesando/Completado/Error) y FechaProcesado (DateTime nullable). Registra FragmentoDocumento en AppDbContext con su HasQueryFilter por tenant. Genera UNA migración de EF Core que incluya esta tabla junto con Materia, ParteContraria, Plazo, ProvisionDeFondos, Factura, EntidadExtraida y EventoCronologia (de las tareas D.1, D.2, IA.3 e IA.4 de este documento) para que sea una sola migración, no varias sueltas. Verifica insertando un FragmentoDocumento de prueba con un vector de embedding cualquiera (puede ser aleatorio para esta prueba) y recuperándolo con una consulta que use CosineDistance.</w:t>
      </w:r>
    </w:p>
    <w:p>
      <w:pPr>
        <w:pStyle w:val="Heading3"/>
        <w:spacing w:after="80" w:before="200"/>
      </w:pPr>
      <w:r>
        <w:t xml:space="preserve">IA.2. Pipeline de ingesta asíncrona (OCR, extracción, embeddings)</w:t>
      </w:r>
    </w:p>
    <w:p>
      <w:pPr>
        <w:spacing w:after="80"/>
      </w:pPr>
      <w:r>
        <w:rPr>
          <w:b/>
          <w:bCs/>
        </w:rPr>
        <w:t xml:space="preserve">Depende de: </w:t>
      </w:r>
      <w:r>
        <w:t xml:space="preserve">Fase 1 (MassTransit) y Fase 2 (almacenamiento S3/MinIO) del plan original, más IA.1.</w:t>
      </w:r>
    </w:p>
    <w:p>
      <w:pPr>
        <w:spacing w:after="80"/>
      </w:pPr>
      <w:r>
        <w:rPr>
          <w:b/>
          <w:bCs/>
        </w:rPr>
        <w:t xml:space="preserve">Por qué: </w:t>
      </w:r>
      <w:r>
        <w:t xml:space="preserve">un legajo grande puede tardar minutos en procesarse (OCR de páginas escaneadas, trocear el texto, generar un embedding por fragmento); hacerlo dentro de la misma petición HTTP de subida dejaría al usuario esperando y sería frágil ante cualquier fallo a mitad de proceso. Además, la calidad del texto que sale del OCR condiciona todo lo que viene después (fragmentos, entidades, cronología, chat): un reconocimiento pobre en esta fase arrastra errores a cada fase siguiente sin que el resto del sistema pueda corregirlos, así que conviene invertir aquí en la mejor librería gratuita disponible, no en la más simple de integrar.</w:t>
      </w:r>
    </w:p>
    <w:p>
      <w:pPr>
        <w:spacing w:after="80"/>
      </w:pPr>
      <w:r>
        <w:rPr>
          <w:b/>
          <w:bCs/>
        </w:rPr>
        <w:t xml:space="preserve">Alcance: </w:t>
      </w:r>
      <w:r>
        <w:t>al subir un documento (endpoint ya existente de la Fase 2.4), publicar un evento DocumentoSubido vía MassTransit; un consumer se encarga de: extraer texto (llamando a un microservicio de OCR en Python si el documento es un escaneo, o extracción directa de texto si el PDF/DOCX ya tiene texto seleccionable), trocearlo en fragmentos razonables, generar el embedding de cada fragmento (vía la API de embeddings que elijas) y guardarlos como FragmentoDocumento; actualizar EstadoProcesamiento del documento en cada etapa. El troceo en fragmentos (FragmentadorTexto.cs) separa hoy por líneas en blanco entre párrafos, y si no encuentra ninguna trata la página entera como un único fragmento — razonable para texto extraído directamente de PDF/DOCX, pero frágil para el texto que viene del OCR, donde no hay garantía de que las líneas detectadas conserven separadores de párrafo. En el microservicio de OCR, agrupar las líneas detectadas por PP-OCRv5 en párrafos usando el hueco vertical entre sus cajas (información que la detección ya da, sin cálculo adicional) antes de devolver el texto de cada página. Como red de seguridad adicional en FragmentadorTexto.cs, si un párrafo (o la página completa cuando no se detectan huecos) supera un tamaño razonable (por ejemplo 700-900 caracteres), trocearlo más por límites de frase (puntuación) en vez de dejarlo como un fragmento único — esto evita que una página de un documento escaneado se guarde como un solo fragmento gigante, que diluye la precisión de la búsqueda semántica (IA.5) y hace inútil la cita 'documento, página, párrafo'. No usa spaCy para este troceo inicial (aunque ya es una dependencia del proyecto en IA.3/IA.4): en este punto del pipeline no hay garantía de que el microservicio de NLP esté ya disponible, y añadir esa llamada de red al momento en que se crean los fragmentos acoplaría dos pasos que hoy son independientes — queda apuntado como mejora futura una vez ese microservicio esté en pie.</w:t>
      </w:r>
    </w:p>
    <w:p>
      <w:pPr>
        <w:spacing w:after="80"/>
      </w:pPr>
      <w:r>
        <w:rPr>
          <w:b/>
          <w:bCs/>
        </w:rPr>
        <w:t xml:space="preserve">Criterio de terminado: </w:t>
      </w:r>
      <w:r>
        <w:t>subir un PDF de varias páginas deja, unos segundos o minutos después, varios FragmentoDocumento asociados con su embedding, y el documento pasa de Pendiente a Completado (o a Error con un mensaje claro si algo falla). El texto de un documento escaneado con calidad media-baja (letra pequeña, alguna mancha o inclinación) se reconoce con una tasa de acierto notablemente mejor que con Tesseract puro, sin coste de licencia. Procesar una página escaneada sin separadores de párrafo claros no produce un único fragmento con todo el texto de la página: aparece dividido en varios fragmentos de tamaño razonable, ninguno muy por encima del umbral configurado.</w:t>
      </w:r>
    </w:p>
    <w:p>
      <w:pPr>
        <w:pBdr>
          <w:left w:val="single" w:color="999999" w:sz="12" w:space="8"/>
        </w:pBdr>
        <w:spacing w:after="240" w:before="60"/>
        <w:ind w:left="431"/>
      </w:pPr>
      <w:r>
        <w:rPr>
          <w:b/>
          <w:bCs/>
          <w:i/>
          <w:iCs/>
          <w:color w:val="444444"/>
        </w:rPr>
        <w:t xml:space="preserve">Prompt para el agente: </w:t>
      </w:r>
      <w:r>
        <w:rPr>
          <w:i/>
          <w:iCs/>
          <w:color w:val="444444"/>
        </w:rPr>
        <w:t>IMPORTANTE sobre la elección de OCR: no uses Tesseract como opción por defecto — su precisión en documentos jurídicos reales (escaneos de juzgados, fotocopias de fotocopias, anotaciones a mano) se queda corta. Usa en su lugar PaddleOCR con el modelo PP-OCRv5 (que además reconoce texto manuscrito), licencia Apache 2.0 confirmada como segura para uso comercial/SaaS (solo exige conservar el aviso de licencia, sin cláusula de red ni obligación de liberar código). Como PaddleOCR es Python y el resto del sistema es .NET, monta un microservicio Python pequeño (FastAPI) que exponga un único endpoint REST (por ejemplo POST /ocr, recibe el PDF/imagen y devuelve el texto por página en JSON), con OpenCV (Apache 2.0) para preprocesado — enderezar páginas torcidas y limpiar ruido antes de pasarlas al modelo, lo que mejora notablemente la precisión sobre escaneos de mala calidad. Este microservicio se despliega como un contenedor más en docker-compose, junto a la Api y Postgres. Publica un evento DocumentoSubido (DocumentoAdjuntoId, TenantId, ClaveAlmacenamiento) desde el endpoint POST /api/expedientes/{id}/documentos de la Fase 2.4, justo después de guardar el documento, y marca su EstadoProcesamiento como Procesando. Crea un consumer DocumentoSubidoConsumer en .NET que: descargue el archivo de MinIO/S3 vía IDocumentStorage, y si el contenido es una imagen o un PDF escaneado, lo envíe por HTTP al microservicio de OCR (PaddleOCR/PP-OCRv5) y reciba el texto por página; si el PDF/DOCX ya tiene texto seleccionable, extráelo directamente sin pasar por OCR. Trocea el texto en fragmentos de tamaño razonable (por página o por párrafo, registrando página y párrafo de origen), llama a una API de embeddings para generar el vector de cada fragmento, y guarda cada uno como FragmentoDocumento. Al terminar, actualiza EstadoProcesamiento a Completado, o a Error con un mensaje descriptivo si algo falla en cualquier paso (incluido si el microservicio de OCR no responde). Prueba subiendo un PDF real de varias páginas con calidad de escaneo mediocre (puedes usar uno del BOE, o fotografiar/escanear un documento en papel con mala iluminación) y confirma que aparecen los fragmentos esperados con un texto razonablemente limpio. Al construir el microservicio de OCR, agrupa las líneas de texto detectadas en párrafos usando el hueco vertical entre sus cajas delimitadoras antes de devolver el texto de cada página (un salto claramente mayor que el habitual entre líneas separa un párrafo del siguiente). En FragmentadorTexto.cs, añade un umbral de tamaño configurable (por ejemplo 800 caracteres): si un párrafo resultante lo supera, trocéalo más por límites de frase (puntuación de cierre seguida de mayúscula) antes de crear el Fragmento. Prueba con una página sintética sin ninguna línea en blanco y confirma que no se guarda como un único fragmento gigante.</w:t>
      </w:r>
    </w:p>
    <w:p>
      <w:pPr>
        <w:pStyle w:val="Heading3"/>
        <w:spacing w:after="80" w:before="200"/>
      </w:pPr>
      <w:r>
        <w:t xml:space="preserve">IA.2b. Foliado automático (Bates stamping) y clasificación de documentos</w:t>
      </w:r>
    </w:p>
    <w:p>
      <w:pPr>
        <w:spacing w:after="80"/>
      </w:pPr>
      <w:r>
        <w:rPr>
          <w:b/>
          <w:bCs/>
        </w:rPr>
        <w:t xml:space="preserve">Depende de: </w:t>
      </w:r>
      <w:r>
        <w:t xml:space="preserve">IA.2 (el documento ya tiene texto extraído por OCR).</w:t>
      </w:r>
    </w:p>
    <w:p>
      <w:pPr>
        <w:spacing w:after="80"/>
      </w:pPr>
      <w:r>
        <w:rPr>
          <w:b/>
          <w:bCs/>
        </w:rPr>
        <w:t xml:space="preserve">Por qué: </w:t>
      </w:r>
      <w:r>
        <w:t xml:space="preserve">citar un folio concreto ("folio 47") al redactar un escrito es una práctica real de los despachos que el modelo de datos no recogía todavía, y clasificar automáticamente cada documento por tipo (factura, contrato, correo, informe, anexo) evita que el abogado tenga que etiquetarlo a mano al subirlo. Se añade tras revisar un documento externo que analizaba el flujo de trabajo jurídico tradicional (OCR → foliado → etiquetado → cronología → redacción) y confirmaba que el resto del pipeline de IA.0-IA.5 ya cubre la parte más valiosa (cronología, chat, entidades); el foliado era la única pieza real que faltaba.</w:t>
      </w:r>
    </w:p>
    <w:p>
      <w:pPr>
        <w:spacing w:after="80"/>
      </w:pPr>
      <w:r>
        <w:rPr>
          <w:b/>
          <w:bCs/>
        </w:rPr>
        <w:t xml:space="preserve">Alcance: </w:t>
      </w:r>
      <w:r>
        <w:t xml:space="preserve">al terminar el OCR de IA.2, numerar secuencialmente las páginas de cada documento dentro del expediente (folio_inicio/folio_fin en DocumentoAdjunto, continuando la numeración del documento anterior del mismo expediente, no reiniciando en 1 cada vez), estampar el número de folio de forma visible en cada página del PDF, y sugerir un tipo_documento con su tipo_documento_confianza a partir del texto ya extraído.</w:t>
      </w:r>
    </w:p>
    <w:p>
      <w:pPr>
        <w:spacing w:after="80"/>
      </w:pPr>
      <w:r>
        <w:rPr>
          <w:b/>
          <w:bCs/>
        </w:rPr>
        <w:t xml:space="preserve">Criterio de terminado: </w:t>
      </w:r>
      <w:r>
        <w:t xml:space="preserve">al subir dos documentos consecutivos al mismo expediente, el segundo continúa la numeración donde terminó el primero (no empieza en folio 1), el PDF resultante tiene el número de folio visible en cada página, y tipo_documento aparece rellenado con una sugerencia razonable que el abogado puede corregir.</w:t>
      </w:r>
    </w:p>
    <w:p>
      <w:r>
        <w:rPr>
          <w:b/>
          <w:i w:val="0"/>
        </w:rPr>
        <w:t xml:space="preserve">Ampliación 2026-08-30 (entrevista simulada, skill despacho-legal-persona, perfiles Diego civil/mercantil y Carmen socia generalista): </w:t>
      </w:r>
      <w:r>
        <w:rPr>
          <w:b w:val="0"/>
          <w:i w:val="0"/>
        </w:rPr>
        <w:t>el alcance de arriba asume que TODO documento se folia automáticamente con numeración propia del despacho, y eso no encaja con la práctica real. Hay dos numeraciones distintas que no se pueden mezclar: (1) foliado ajeno — un expediente administrativo o un documento que llega ya numerado por un tercero (Administración, contraparte), que el despacho nunca debe renumerar ni solapar con su propio sello, porque el abogado necesita citar ese número exacto en un escrito o en vista; y (2) foliado propio — la documentación que el propio despacho aporta (demanda, anexos, pruebas), donde sí tiene sentido una numeración correlativa del despacho. Se añade un campo tiene_foliado_propio (booleano) a DocumentoAdjunto, marcable por el abogado al subir el documento (o detectable de forma básica más adelante), que si está activo excluye ese documento del foliado automático del despacho por completo.</w:t>
      </w:r>
    </w:p>
    <w:p>
      <w:r>
        <w:rPr>
          <w:b/>
          <w:i w:val="0"/>
        </w:rPr>
        <w:t xml:space="preserve">Foliado bajo demanda, no automático tras cada OCR: </w:t>
      </w:r>
      <w:r>
        <w:rPr>
          <w:b w:val="0"/>
          <w:i w:val="0"/>
        </w:rPr>
        <w:t>un despacho puede tardar semanas o meses en completar un expediente, y si el folio se fija nada más terminar el OCR de cada documento, añadir o reordenar algo más tarde rompe toda la numeración ya citada en escritos previos. El alcance cambia de "foliar automáticamente al terminar el OCR" a un botón explícito ("Foliar expediente") que el abogado dispara cuando decide cerrar el conjunto para presentar, con una vista previa del orden resultante antes de confirmar. Se admite además más de una serie de foliado dentro del mismo expediente (por ejemplo, la papeleta de conciliación foliada aparte de la demanda principal), en vez de un único contador global obligatorio — el abogado agrupa qué documentos entran en cada serie al lanzar el foliado.</w:t>
      </w:r>
    </w:p>
    <w:p>
      <w:r>
        <w:rPr>
          <w:b/>
          <w:i w:val="0"/>
        </w:rPr>
        <w:t xml:space="preserve">Corrección técnica frente a IA.2d (tomos): </w:t>
      </w:r>
      <w:r>
        <w:rPr>
          <w:b w:val="0"/>
          <w:i w:val="0"/>
        </w:rPr>
        <w:t>este alcance se escribió el 2026-08-03, antes de IA.2d (tomos asíncronos, 2026-08-10), y asume que un documento termina su OCR como una única unidad — con tomos que se procesan y persisten de forma independiente y no necesariamente en orden, foliar "al terminar el OCR" tal cual está escrito arriba puede numerar páginas de un tomo posterior antes que las de un tomo anterior. El botón de foliado debe esperar a que TODOS los tomos del documento (y, con el punto anterior, de todo el conjunto que el abogado incluya en esa serie) estén persistidos, y recorrer las páginas en su orden real dentro del documento — no en el orden en que sus tomos terminaron de procesarse.</w:t>
      </w:r>
    </w:p>
    <w:p>
      <w:pPr>
        <w:pBdr>
          <w:left w:val="single" w:color="999999" w:sz="12" w:space="8"/>
        </w:pBdr>
        <w:spacing w:after="240" w:before="60"/>
        <w:ind w:left="431"/>
      </w:pPr>
      <w:r>
        <w:rPr>
          <w:b/>
          <w:bCs/>
          <w:i/>
          <w:iCs/>
          <w:color w:val="444444"/>
        </w:rPr>
        <w:t xml:space="preserve">Prompt para el agente: </w:t>
      </w:r>
      <w:r>
        <w:rPr>
          <w:i/>
          <w:iCs/>
          <w:color w:val="444444"/>
        </w:rPr>
        <w:t xml:space="preserve">IMPORTANTE sobre licencias — no uses PyMuPDF/fitz para esta tarea: su licencia es AGPL, y AGPL obliga a liberar el código completo de cualquier sistema que lo use como servicio de red (justo el caso de una plataforma SaaS vendida a despachos), salvo que se compre la licencia comercial de Artifex. En su lugar: si el foliado se hace en la Api/Worker de .NET, usa PDFsharp (MIT, mantiene versión activa para .NET 8/9/10, permite abrir un PDF existente y dibujar texto sobre cada página con su contexto de dibujo — así se estampa el número de folio sin depender de Python para este paso). Si prefieres hacerlo en el mismo servicio Python que ya uses para OCR, usa pypdf (BSD, puro Python) o pikepdf (MPL-2.0, más robusto para reparar PDFs dañados) combinado con reportlab (BSD) para generar el overlay del sello de folio; evita también iText7 salvo licencia comercial, por el mismo motivo que PyMuPDF. Para la clasificación de tipo de documento, usa spaCy (MIT) sobre el texto ya extraído por IA.2 — un clasificador ligero por palabras clave/embeddings de spaCy es suficiente para el primer MVP, no hace falta entrenar un modelo propio todavía. Implementa un servicio (en el Worker de .NET si usas PDFsharp, o como paso adicional del consumer de IA.2 si usas Python) que: calcule el folio_inicio del documento como folio_fin+1 del último documento del mismo expediente (o 1 si es el primero), estampe visiblemente "Folio N" en cada página usando PDFsharp/pypdf+reportlab, guarde el PDF foliado (sustituyendo o añadiendo junto al original en MinIO/S3), y clasifique el tipo_documento con spaCy sobre el texto de IA.2, guardando también tipo_documento_confianza. Prueba subiendo dos documentos al mismo expediente y confirma que la numeración de folios continúa sin solaparse ni reiniciarse, y que la clasificación sugerida es razonable para al menos una factura y un contrato de prueba.</w:t>
      </w:r>
    </w:p>
    <w:p>
      <w:pPr>
        <w:pStyle w:val="Heading3"/>
        <w:spacing w:after="80" w:before="200"/>
      </w:pPr>
      <w:r>
        <w:t xml:space="preserve">IA.2c. Optimización del pipeline de OCR para hardware sin GPU, sin sacrificar calidad (PC de despacho)</w:t>
      </w:r>
    </w:p>
    <w:p>
      <w:pPr>
        <w:spacing w:after="80"/>
      </w:pPr>
      <w:r>
        <w:rPr>
          <w:b/>
          <w:bCs/>
        </w:rPr>
        <w:t xml:space="preserve">Depende de: </w:t>
      </w:r>
      <w:r>
        <w:t xml:space="preserve">IA.2 (pipeline de OCR ya funcionando de extremo a extremo, usando PaddleOCR).</w:t>
      </w:r>
    </w:p>
    <w:p>
      <w:pPr>
        <w:spacing w:after="80"/>
      </w:pPr>
      <w:r>
        <w:rPr>
          <w:b/>
          <w:bCs/>
        </w:rPr>
        <w:t xml:space="preserve">Por qué: </w:t>
      </w:r>
      <w:r>
        <w:t xml:space="preserve">el despliegue de referencia es un PC de despacho normal, sin GPU, y el sector maneja un tiempo de referencia de 20-30 minutos para procesar un legajo de 500 páginas: por debajo de eso vas mejor que el estándar del mercado (DigiGen LexNET, por ejemplo, procesa a aproximadamente 1 segundo por página con hardware dedicado a escaneo). El objetivo del proyecto es ser una herramienta competitiva frente a esa competencia, no solo "suficientemente rápida" — lo cual descarta una solución que gane velocidad a costa de peor calidad de reconocimiento, porque eso sería perder por otro lado lo que se gana aquí. PP-OCRv5 ofrece una variante ligera/mobile (rápida en CPU) y una variante server (más precisa, pensada para acelerarse con GPU); la ligera pierde precisión frente a la server de forma más notable justo en los casos difíciles — manuscrito, escaneos de mala calidad, letra pequeña — que es exactamente el tipo de documento jurídico real (escaneos de juzgados, fotocopias de fotocopias) donde más importa acertar. Usar solo la variante ligera por velocidad arriesgaría la calidad precisamente donde el cliente lo notaría; usar solo la server sin GPU no llegaría al objetivo de tiempo. Revisando el código real del proyecto: OcrClient.cs (Infrastructure/Ocr) manda el PDF completo en una sola llamada HTTP al microservicio y espera el resultado entero de vuelta — no hay reparto de páginas en el lado .NET, así que toda la velocidad depende del microservicio de OCR por dentro. Nota aparte: OpenAiEmbeddingClient.cs ya agrupa todos los fragmentos en una sola llamada a la API, así que ese punto de la optimización ya está resuelto y no hace falta tocarlo.</w:t>
      </w:r>
    </w:p>
    <w:p>
      <w:pPr>
        <w:spacing w:after="80"/>
      </w:pPr>
      <w:r>
        <w:rPr>
          <w:b/>
          <w:bCs/>
        </w:rPr>
        <w:t xml:space="preserve">Alcance: </w:t>
      </w:r>
      <w:r>
        <w:t xml:space="preserve">Enfoque híbrido por confianza, no una elección única de modelo: procesar todas las páginas por defecto con la variante ligera/mobile de PP-OCRv5 (rápida), y cuando PaddleOCR devuelva una confianza baja para una página o línea, reprocesar automáticamente solo esa página con la variante server (más lenta pero más precisa) antes de darla por definitiva — como es una minoría de páginas por documento, el coste en tiempo total apenas se nota frente a la ganancia de calidad donde más falta hace. Guardar esa confianza (confianza_ocr, ver modelo consolidado) a nivel de fragmento para que la Fase 6 pueda mostrar visualmente qué texto merece una revisión humana, con el mismo principio que ya se aplica a EntidadExtraida. Paralelizar además varias páginas a la vez dentro del microservicio (multiprocessing o varios workers de Uvicorn/Gunicorn), dimensionado para dejar CPU disponible al resto de la pila (Postgres, RabbitMQ, MinIO, Api, Worker) que corre en el mismo PC.</w:t>
      </w:r>
    </w:p>
    <w:p>
      <w:pPr>
        <w:spacing w:after="80"/>
      </w:pPr>
      <w:r>
        <w:rPr>
          <w:b/>
          <w:bCs/>
        </w:rPr>
        <w:t xml:space="preserve">Criterio de terminado: </w:t>
      </w:r>
      <w:r>
        <w:t xml:space="preserve">procesar un documento de prueba de aproximadamente 500 páginas de calidad mixta (mayoría de escaneo limpio, un grupo minoritario de páginas deliberadamente degradadas: manuscrito, mala iluminación, letra pequeña) tarda 30 minutos o menos de principio a fin en el hardware de referencia (PC de despacho sin GPU, mínimo 6-8 núcleos recomendado; por debajo de 20 minutos es la aspiración). Las páginas degradadas de la prueba deben aparecer marcadas con confianza_ocr baja y haber pasado por la variante server, no por la mobile sin más; las páginas limpias deben procesarse solo con la mobile, sin reintento. Además, y por separado de la prueba sintética: el mismo pipeline se ha probado contra AL MENOS un expediente real de aproximadamente ese volumen (no fabricado, con el desorden real de un caso — grapas, orientaciones mezcladas, anotaciones a mano en sitios impredecibles, calidad de escaneo desigual entre documentos), y el resultado (tiempo total y proporción de páginas con confianza_ocr baja) queda documentado. Un documento sintético que pasa la prueba no basta por sí solo para dar la tarea por terminada — el desorden real de un expediente de verdad no se replica fabricando páginas degradadas a propósito.</w:t>
      </w:r>
    </w:p>
    <w:p>
      <w:r>
        <w:rPr>
          <w:b/>
          <w:i w:val="0"/>
        </w:rPr>
        <w:t xml:space="preserve">Ampliado el 2026-08-30 (estado real reportado por el agente de programación, ver ESTADO_PROYECTO.md, + decisión de Manuel): </w:t>
      </w:r>
      <w:r>
        <w:rPr>
          <w:b w:val="0"/>
          <w:i w:val="0"/>
        </w:rPr>
        <w:t>el motor de OCR se actualizó de PP-OCRv5 a PP-OCRv6 (paddleocr==3.7.0/paddlepaddle==3.2.0), probado el 2026-08-27/28 sobre una muestra real de 20 páginas del documento “Gaceta de Madrid 1818-1819” (tipografía impresa antigua). Hallazgo que motivó el cambio: PP-OCRv5 (ambas variantes) usa un vocabulario multilingüe que incluye chino/japonés y, cuando no reconoce algo con confianza (orlas tipográficas, tablas numéricas), “alucina” caracteres CJK sueltos en vez de fallar limpiamente — se confirmó además, con la misma muestra, que la variante “server” de PP-OCRv5 no aportaba nada real frente a la mobile (13/20 páginas idénticas, 3 peores, 2.8× más lenta), reforzando la decisión ya tomada de OCR_HABILITAR_SERVER=false. PP-OCRv6 tier “medium”, sobre la misma muestra, subió la confianza de 0.68-0.94 a 0.90-0.997 y eliminó la alucinación CJK, a cambio de ser 2.3× más lento que PP-OCRv5 mobile.</w:t>
      </w:r>
    </w:p>
    <w:p>
      <w:r>
        <w:rPr>
          <w:b/>
          <w:i w:val="0"/>
        </w:rPr>
        <w:t xml:space="preserve">Decisión de arquitectura para IA.2c (sustituye “mobile/server PP-OCRv5” de arriba por “mobile/medium PP-OCRv6” allá donde se lea, incluyendo IA.2d/IA.2e/IA.2f más abajo): </w:t>
      </w:r>
      <w:r>
        <w:rPr>
          <w:b w:val="0"/>
          <w:i w:val="0"/>
        </w:rPr>
        <w:t>se mantiene el enfoque híbrido por confianza ya descrito — todas las páginas por defecto con PP-OCRv6 tier mobile (rápido), y las que queden por debajo del umbral de confianza se reprocesan, pero ahora con PP-OCRv6 tier medium en vez de la variante server de PP-OCRv5. Matiz añadido tras el hallazgo de alucinación: el umbral de confianza solo no basta como disparador — se detectó una página con confianza 0.865 (por encima del umbral 0.80) que aun así tenía alucinación CJK — así que el disparador de reprocesado debe combinar el umbral de confianza con una detección barata de si el texto reconocido contiene algún carácter CJK, no solo el umbral por sí solo. Esta combinación (umbral + detección CJK) queda pendiente de implementar: es la siguiente pieza de IA.2c a cerrar, no una idea aparte.</w:t>
      </w:r>
    </w:p>
    <w:p>
      <w:r>
        <w:rPr>
          <w:b/>
          <w:i w:val="0"/>
        </w:rPr>
        <w:t xml:space="preserve">Estado de validación, no dar por cerrado sin esto: </w:t>
      </w:r>
      <w:r>
        <w:rPr>
          <w:b w:val="0"/>
          <w:i w:val="0"/>
        </w:rPr>
        <w:t>el cambio de motor solo se ha probado sobre la muestra de 20 páginas de arriba, no sobre las pruebas de volumen que ya validan IA.2c (ni las 500 páginas sintéticas ni las 928 reales de la Gaceta de Madrid). El dimensionado de CPU/memoria de docker-compose.yml (pensado para PP-OCRv5 mobile) tampoco se ha revisado todavía para un modelo más grande, y DESPLIEGUE.md sigue describiendo PP-OCRv5 sin actualizar. Antes de dar IA.2c por terminada con el nuevo motor: (1) implementar el disparador combinado umbral+CJK, (2) repetir la prueba de 500 páginas y, si es posible, la de 928 páginas reales, con el nuevo motor, y (3) actualizar DESPLIEGUE.md con el resultado real. Aparte, y ya validado con el motor anterior: la Prueba 1 (500 páginas sintéticas, 32 degradadas) completó con éxito el flujo .NET real completo el 2026-08-26 en 2h1min38s — por encima del objetivo de ≤30min de este mismo criterio de terminado, documentado honestamente, no forzado; hay que confirmar si el nuevo motor cambia ese resultado.</w:t>
      </w:r>
    </w:p>
    <w:p>
      <w:r>
        <w:rPr>
          <w:b/>
          <w:i w:val="0"/>
        </w:rPr>
        <w:t xml:space="preserve">Limitación real distinta, descubierta el 2026-08-28 y sin resolver todavía: </w:t>
      </w:r>
      <w:r>
        <w:rPr>
          <w:b w:val="0"/>
          <w:i w:val="0"/>
        </w:rPr>
        <w:t>si un PDF subido YA tiene texto incrustado de mala calidad (por ejemplo, de un OCR previo hecho por quien lo escaneó originalmente), el pipeline solo comprueba CANTIDAD de caracteres por página (≥20 de media) antes de decidir si hace falta OCR, no CALIDAD — así que un texto tan malo como “GA'CéTAi;1«MADRID1819” pasa el umbral y el documento nunca vuelve a pasar por el OCR propio, aunque este probablemente lo haría mejor. No evaluada ninguna solución todavía (vía posible: heurística de calidad — detectar palabras pegadas/sin espacios — no solo cantidad).</w:t>
      </w:r>
    </w:p>
    <w:p>
      <w:r>
        <w:rPr>
          <w:b/>
          <w:i w:val="0"/>
        </w:rPr>
        <w:t xml:space="preserve">GPU de alquiler para OCR: candidato concreto identificado, sin implementar (ampliación 2026-08-30, vista en una versión más reciente de ESTADO_PROYECTO.md todavía no sincronizada en esta carpeta). </w:t>
      </w:r>
      <w:r>
        <w:rPr>
          <w:b w:val="0"/>
          <w:i w:val="0"/>
        </w:rPr>
        <w:t>El 2026-08-28 se identificó PaddleOCR-VL-1.6 como candidato concreto para cuando se aborde la GPU de alquiler: es un modelo de visión-lenguaje (VLM), arquitectura distinta a PP-OCR y no un simple ajuste de este, licencia Apache 2.0, con GPU obligatoria en la práctica (11.9-80GB VRAM según variante). Hipótesis razonable sin probar todavía: podría resolver de raíz la alucinación CJK en vez de solo mitigarla como hace el disparador umbral+CJK descrito arriba. Requeriría una integración nueva en services/ocr-paddle/ (otro pipeline de serving), no un cambio de nombre de modelo. Le aplica el mismo análisis pendiente de privacidad/coste de la GPU de alquiler en general: GPU local (p. ej. WSL2) frente a instancia cloud de terceros con datos de clientes saliendo del entorno propio.</w:t>
      </w:r>
    </w:p>
    <w:p>
      <w:r>
        <w:rPr>
          <w:b/>
          <w:i w:val="0"/>
        </w:rPr>
        <w:t xml:space="preserve">Optimizaciones de CPU evaluadas y descartadas el mismo día (ONNX Runtime / MKL-DNN): </w:t>
      </w:r>
      <w:r>
        <w:rPr>
          <w:b w:val="0"/>
          <w:i w:val="0"/>
        </w:rPr>
        <w:t>sin llegar a aplicarse. ONNX Runtime (Microsoft.ML.OnnxRuntime) no aplica: es una librería de inferencia para .NET, y el OCR de este proyecto corre en Python/PaddlePaddle nativo, no en ONNX — categoría equivocada, ni se llegó a probar. El equivalente real dentro de PaddleOCR es MKL-DNN (run_mode: “mkldnn”), que sí se evaluó y se descartó: tiene fugas de memoria documentadas y activas hasta mediados de 2025 (reportes de hasta 25GB de RAM en imágenes normales) — riesgo directo contra la prioridad ya fijada de “nunca tumbar el host”, descartado sin llegar a aplicarlo.</w:t>
      </w:r>
    </w:p>
    <w:p>
      <w:r>
        <w:rPr>
          <w:b/>
          <w:i w:val="0"/>
        </w:rPr>
        <w:t>Tercera vía de aceleración encontrada por Manuel el 2026-08-31 (investigada en esta sesión), distinta de las dos anteriores: OpenVINO, el motor de inferencia de Intel. No es MKL-DNN con otro nombre — es un toolkit aparte, con soporte oficial documentado tanto para PaddleOCR clásico (notebook oficial de OpenVINO, exportando los modelos a formato IR .xml/.bin) como, más relevante aquí, para PaddleOCR-VL — el mismo candidato VLM del párrafo de arriba — con un artículo dedicado de OpenVINO (“PaddleOCR-VL-1.5 with OpenVINO”) y un proyecto de terceros (zhaohb/paddleocr_vl_ov) enfocados justo en acelerar ese modelo. Por qué importa: si OpenVINO permite que PaddleOCR-VL rinda aceptablemente en CPU Intel (o iGPU Intel), podría no hacer falta GPU de alquiler en absoluto para ese candidato — encajaría mejor con la prioridad ya fijada de no sacar datos de clientes a infraestructura cloud de terceros. Sin probar todavía en este proyecto, y dos motivos concretos para no darlo por buena mejora sin más: (1) la cifra “hasta 15x más rápido” que circula sobre OpenVINO+PaddleOCR viene de un artículo de blog que no publica ningún benchmark real (la parte de benchmarks está anunciada como “próximamente”) — cifra de marketing sin verificar, no un dato medido; (2) un issue abierto en el repo oficial de PaddleOCR (#16568, 2026) reporta el caso contrario: PaddleOCR v3 con backend OpenVINO va más de 2x MÁS LENTO que v2 en la misma CPU (691ms vs 300ms), sin causa raíz identificada ni resuelto por los mantenedores — señal de que la integración OpenVINO en versiones recientes de PaddleOCR puede tener regresiones, no es una ganancia garantizada solo por activarla. Conclusión: candidato a evaluar con prueba propia (exportar el modelo real que se vaya a usar, medir tiempo/página en el hardware de referencia, comparar contra el mismo modelo sin OpenVINO) antes de decidir — mismo criterio de “prueba real, no cifra de terceros” que ya rige IA.2c. No sustituye la investigación pendiente de PaddleOCR-VL-1.6 de arriba, es una variable más dentro de ella (con OpenVINO vs. sin OpenVINO, CPU/iGPU Intel vs. GPU de alquiler).</w:t>
      </w:r>
    </w:p>
    <w:p>
      <w:pPr>
        <w:pBdr>
          <w:left w:val="single" w:color="999999" w:sz="12" w:space="8"/>
        </w:pBdr>
        <w:spacing w:after="240" w:before="60"/>
        <w:ind w:left="431"/>
      </w:pPr>
      <w:r>
        <w:rPr>
          <w:b/>
          <w:bCs/>
          <w:i/>
          <w:iCs/>
          <w:color w:val="444444"/>
        </w:rPr>
        <w:t xml:space="preserve">Prompt para el agente: </w:t>
      </w:r>
      <w:r>
        <w:rPr>
          <w:i/>
          <w:iCs/>
          <w:color w:val="444444"/>
        </w:rPr>
        <w:t xml:space="preserve">En el microservicio de OCR (el mismo que expone POST /ocr y consume OcrClient.cs), carga ambas variantes de PP-OCRv5 (ligera/mobile y server) y procesa cada página primero con la mobile; si la confianza media que devuelve PaddleOCR para esa página está por debajo de un umbral configurable (por ejemplo 0.80, ajustable sin recompilar), reprocesa solo esa página con la variante server y usa ese resultado como definitivo. Devuelve en el JSON de respuesta, junto al texto de cada página, la confianza final usada. Reparte además el procesamiento de páginas entre varios procesos en paralelo (multiprocessing.Pool de Python, o varios workers de Uvicorn/Gunicorn) para aprovechar varios núcleos de CPU, documentando en docker-compose.yml cuántos procesos se reservan para OCR y dejando núcleos libres para el resto de la pila. En el lado .NET, añade la propiedad ConfianzaOcr a FragmentoDocumento y guárdala con el valor devuelto por el microservicio (null si el texto vino de extracción directa sin OCR). Primero, genera o reutiliza un documento de prueba de unas 500 páginas con un grupo minoritario de páginas deliberadamente degradadas, súbelo por el flujo real, cronometra el tiempo total, y confirma tanto que está por debajo de 30 minutos como que las páginas degradadas tienen confianza_ocr baja y fueron reprocesadas con la variante server. Después, repite la prueba con al menos un expediente real de un volumen similar (si no hay uno disponible del despacho piloto todavía, usa un legajo público real y voluminoso, no una concatenación artificial — por ejemplo una causa judicial publicada o un expediente administrativo extenso) y documenta el tiempo total y la proporción de páginas con confianza_ocr baja obtenida. Si el PC de pruebas no llega al objetivo de tiempo en cualquiera de las dos pruebas, documenta el resultado real y el número de núcleos usado, en vez de forzar una cifra que no se sostiene en ese hardware.</w:t>
      </w:r>
    </w:p>
    <w:p>
      <w:r>
        <w:rPr>
          <w:b/>
        </w:rPr>
        <w:t xml:space="preserve">Cierre de validación a escala completa, 2026-09-04/05 (Manuel + agente): </w:t>
      </w:r>
      <w:r>
        <w:rPr>
          <w:b w:val="0"/>
        </w:rPr>
        <w:t>los tres pendientes señalados arriba quedan cerrados. El disparador combinado umbral+CJK ya estaba implementado desde el 2026-08-30. La prueba de 500 páginas sintéticas se completó con éxito el 2026-09-01 (1h55min28s, híbrido PP-OCRv6, mejor tiempo Y mejor calidad que PP-OCRv5). La prueba de 928 páginas reales de la Gaceta de Madrid se completó con éxito el 2026-09-04 (estado_procesamiento=Completado, 928/928 folios asignados, texto legible verificado con pypdf sobre una muestra de páginas, capa de texto invisible “3 Tr” presente para la selección/búsqueda en el lector de PDF).</w:t>
      </w:r>
    </w:p>
    <w:p>
      <w:r>
        <w:rPr>
          <w:b/>
        </w:rPr>
        <w:t xml:space="preserve">Corrección real al Alcance de arriba, no un resultado más: </w:t>
      </w:r>
      <w:r>
        <w:rPr>
          <w:b w:val="0"/>
        </w:rPr>
        <w:t>la hipótesis de que el reprocesado con la variante server/medium mejora la calidad donde más importa NO se sostuvo al comparar el TEXTO real (no solo la confianza numérica) a escala completa. Se ejecutó el mismo documento de 928 páginas dos veces, con y sin server, comparando directamente el resultado en una muestra que cubre prosa normal y tablas numéricas densas: en ningún caso revisado server produjo un texto mejor que mobile. En páginas de prosa el resultado es prácticamente idéntico; en páginas de tablas numéricas AMBAS variantes producen una secuencia de dígitos sin sentido casi igual de ininteligible, pese a que server reporta más confianza numérica (ejemplo real: una página con confianza 0.952→0.995 mobile→server, texto igualmente incorrecto en los dos casos — la confianza del modelo no es una señal fiable de calidad real para este tipo de contenido). OCR_HABILITAR_SERVER se desactivó de forma PERMANENTE (no un ajuste puntual) el 2026-09-05 con este dato como base, no solo aparcado. Efecto en tiempo: ~80 minutos para las 928 páginas (frente a ~137 minutos con server), ~43% menos, sin pérdida de calidad detectada en la muestra revisada. Otras dos palancas de rendimiento aplicadas y validadas por el camino: sustitución de pdftoppm por pypdfium2 para la conversión PDF→imagen (~6x más rápido, medido con páginas reales, no cifra de terceros) y subida de “cpus:” del contenedor de OCR de 5 a 9 núcleos (el pool mobile pasó de 4 a 8 procesos en paralelo, con una mejora casi lineal del ritmo por página).</w:t>
      </w:r>
    </w:p>
    <w:p>
      <w:r>
        <w:rPr>
          <w:b/>
        </w:rPr>
        <w:t xml:space="preserve">Hallazgo de calidad distinto, conecta directamente con IA.2e: </w:t>
      </w:r>
      <w:r>
        <w:rPr>
          <w:b w:val="0"/>
        </w:rPr>
        <w:t>las páginas de tablas numéricas densas mencionadas arriba no son un problema de mobile vs. server — es un límite real del motor PP-OCRv6 con este tipo de contenido, en cualquiera de sus variantes. Es evidencia concreta a favor de priorizar IA.2e (reconocimiento de tablas con PP-StructureV3, especificada más abajo) cuando se aborde. Matiz importante: el ejemplo concreto (tablas de aduanas/vales de la Gaceta de Madrid 1818-1819) viene del documento usado para las pruebas de volumen — un documento histórico elegido por su tamaño real y su tipografía degradada, no necesariamente representativo del contenido de un expediente legal moderno (contratos, escritos, facturas). Antes de invertir esfuerzo técnico en resolverlo, Manuel planteó una pregunta de negocio previa sin responder: si este tipo de contenido (tablas de cifras densas) es siquiera relevante/candidato a OCR para los documentos reales de los clientes — pendiente de consultar, posiblemente con abogados reales. Siguiente paso ya decidido: probar con al menos un documento legal real (no la Gaceta) antes de dar la fiabilidad del pipeline de OCR por cerrada del todo, precisamente para ver si aparecen problemas de este tipo u otros en contenido genuinamente representativo del producto.</w:t>
      </w:r>
    </w:p>
    <w:p>
      <w:r>
        <w:rPr>
          <w:b/>
        </w:rPr>
        <w:t xml:space="preserve">Hallazgo de fiabilidad no relacionado con velocidad, mismo periodo: </w:t>
      </w:r>
      <w:r>
        <w:rPr>
          <w:b w:val="0"/>
        </w:rPr>
        <w:t>se encontró y corrigió un fallo real de idempotencia en DocumentoSubidoConsumer (src/Worker). Si RabbitMQ reentrega un mensaje ya procesado tras un crash ocurrido justo después de que el SaveChangesAsync final confirmara documento+fragmentos pero antes de que el consumer llegara a confirmar el mensaje a la cola, el pipeline completo se reprocesaba desde cero y los fragmentos quedaban DUPLICADOS en FragmentoDocumento (nada borraba los existentes antes de insertar los nuevos). Corregido con dos capas: un guard de idempotencia (si el documento ya está Completado, se ignora la redelivery sin gastar tiempo de OCR) y un reemplazo transaccional (si de todas formas se reprocesa — por ejemplo, un futuro reprocesado legítimo pedido por un usuario — los fragmentos antiguos se sustituyen por los nuevos dentro de la misma transacción, sin perderse si el reprocesado falla a mitad).</w:t>
      </w:r>
    </w:p>
    <w:p>
      <w:r>
        <w:rPr>
          <w:b/>
        </w:rPr>
        <w:t xml:space="preserve">GPU de alquiler — reabierto para revisión antes del despliegue, NO cerrado: </w:t>
      </w:r>
      <w:r>
        <w:rPr>
          <w:b w:val="0"/>
        </w:rPr>
        <w:t>al calcular el coste real de escalar más núcleos de CPU para el despliegue comercial, el supuesto de que la CPU es siempre más barata que una GPU de alquiler no se sostuvo con el cálculo corregido: CPU dedicada económica (Hetzner) sale a ~€0.052 por cada 1000 páginas, frente a ~$0.022 por 1000 páginas de una GPU de alquiler barata (RTX 3090, RunPod/Vast.ai) — cifra de terceros SIN verificar con datos propios, el mismo tipo de cifra que ya resultó ser 8-9x optimista para CPU en este mismo proyecto, así que no se puede dar por buena sin medirla. Además, las ofertas de GPU más baratas encontradas son de hosts comunitarios sin verificar — mal perfil de privacidad para documentos legales reales de clientes, frente a la garantía que sí da hoy la CPU local. Manuel marcó explícitamente este tema (coste real de CPU vs. GPU de alquiler, con su componente de privacidad) como algo que hay que tratar EN PROFUNDIDAD antes del despliegue comercial — no es una decisión ya cerrada, falta una prueba real en GPU con páginas reales antes de decidir cualquier lado.</w:t>
      </w:r>
    </w:p>
    <w:p>
      <w:pPr>
        <w:pStyle w:val="Heading3"/>
      </w:pPr>
      <w:r>
        <w:t>IA.2d. Arquitectura de tomos: procesamiento incremental, tolerancia a fallos y progreso visible para el usuario</w:t>
      </w:r>
    </w:p>
    <w:p>
      <w:r>
        <w:t>Depende de: IA.2c (pipeline de OCR híbrido mobile/server ya optimizado por página) e IA.1 (FragmentoDocumento ya existe).</w:t>
      </w:r>
    </w:p>
    <w:p>
      <w:r>
        <w:t>Por qué: Clio y LexOn (investigación de Manuel) tardan entre 5 y 20 minutos en 500 páginas según cola y dificultad, pero tienen problemas serios con documentos más grandes — probablemente porque tratan el documento como una única unidad de trabajo y meten un modelo de IA pesado en el camino crítico de cada página. Revisando el código real: OcrClient.cs manda hoy el documento completo en una sola llamada HTTP y DocumentoSubidoConsumer no persiste nada hasta que esa llamada entera vuelve — un documento de 2000 páginas que falla al 90% no deja ningún fragmento guardado, y nadie puede buscar en la página 1 hasta que la página 2000 haya terminado. Trocear en tomos elimina el límite de tamaño como tal: la competencia se degrada o falla con documentos grandes, aquí solo cambia cuánto se tarda en tener TODO listo, no cuándo se puede empezar a trabajar con lo ya procesado — es un argumento de venta tan válido como el objetivo de tiempo de IA.2c. La tolerancia a fallos por tomo es casi gratis con esta arquitectura: al ser cada tomo su propio mensaje, basta con activar el retry/cola de error que MassTransit (v8, ya en el stack) trae de serie, en vez de construir reintentos a mano; el coste solo aparece cuando algo falla, no en el camino feliz. La entrevista simulada a Carmen (socia generalista, perfil de cliente más habitual del producto) confirmó dos cosas: necesita poder buscar dentro de un expediente aunque el documento aún se esté procesando (posible en cuanto los fragmentos se persisten por tomo), y necesita que una página con OCR dudoso se lo diga en vez de darle una falsa confianza — ya cubierto por confianza_ocr, pero hasta ahora sin exponer en el resultado de búsqueda.</w:t>
      </w:r>
    </w:p>
    <w:p>
      <w:r>
        <w:t>Alcance: (1) Trocear cada DocumentoAdjunto que supere un umbral configurable (p. ej. 100 páginas) en tomos de tamaño fijo (p. ej. 75 páginas, configurable) al recibir DocumentoSubido, publicando un mensaje por tomo en vez de mandar el documento entero a OcrClient; por debajo del umbral, sigue el camino actual (un tomo implícito). (2) Persistir los FragmentoDocumento de cada tomo en una única transacción, en cuanto ese tomo termina, sin esperar a los demás. (3) Tolerancia a fallos con coste marginal: retry/backoff de MassTransit para un tomo que falla por completo; dentro del microservicio de OCR, envolver el procesamiento de cada página (que ya itera página a página por la lógica mobile→server de IA.2c) en try/except, de forma que una página fallida no tire abajo el tomo entero — se devuelve aparte y se registra en PaginaOcrIncidencia, mientras las páginas que sí salieron bien se persisten igualmente. (4) Progreso visible: GET /api/documentos/{id}/progreso con el estado de cada tomo; en la Fase 6, una barra segmentada por tomo (no un único "procesado hasta la página X", porque con tomos en paralelo el avance no es necesariamente contiguo) más un contador simple tipo "6 de 8 bloques procesados". Sondeo cada 2-3 segundos desde el componente Blazor mientras el documento esté Procesando es suficiente para el MVP y no añade infraestructura; empujar la actualización por la conexión SignalR que Blazor Server ya mantiene por usuario queda como mejora futura, no como requisito de esta tarea. (5) Log de incidencias y reintento: panel con las páginas de PaginaOcrIncidencia no resueltas y un botón de reintento por página, que vuelve a publicar un job de OCR acotado solo a esa página, no al tomo ni al documento completo. (6) Búsqueda tolerante a errores de OCR: no exige cambio de esquema en FragmentoDocumento más allá de índices (el filtro por expediente ya está cubierto por la jerarquía existente). Habilitar la extensión pg_trgm de Postgres (gratuita, ya se usa Postgres con pgvector) e indexar texto_fragmento con un índice GIN de trigramas, para que una palabra mal reconocida por el OCR (p. ej. 'contrsto' por 'contrato') siga encontrando el fragmento por similitud de caracteres — es el hueco que ya se había apuntado en proyecto_legaltech_contexto.docx ('búsqueda full-text potente') pero nunca se concretó en un mecanismo real. Añadir además búsqueda de texto completo nativa de Postgres (tsvector con configuración 'spanish', índice GIN) para variantes morfológicas de una palabra bien escrita (contrato/contratos/contractual), que no es el mismo problema que la tolerancia a errores y no lo resuelve pg_trgm por sí solo. La búsqueda de texto libre de la interfaz combina ambas (trigramas + full-text nativo) con los embeddings de pgvector que ya existen para el chat de IA.5 (útiles para preguntas por significado, no para term matching literal), sin añadir ningún servicio nuevo a la pila. Si el filtro por tipo_documento y fecha resulta lento en la práctica, añadir un índice compuesto en DocumentoAdjunto(tipo_documento, fecha_subida) antes de considerar desnormalizar esas columnas en FragmentoDocumento.</w:t>
      </w:r>
    </w:p>
    <w:p>
      <w:r>
        <w:t>Criterio de terminado: subir un documento de prueba de más de 500 páginas deja visible en la interfaz el avance por bloques mientras el resto de la aplicación (navegar a otro expediente, subir otro documento) sigue respondiendo con normalidad. Provocar un fallo deliberado a mitad de un tomo (cortando la conexión al microservicio de OCR) hace que solo ese tomo se reintente, sin perder los fragmentos ya persistidos de los demás tomos del mismo documento. Provocar un fallo deliberado en una página concreta dentro de un tomo que por lo demás termina bien deja esa página listada en el panel de incidencias; pulsar reintentar la reprocesa sola y la retira de la lista al tener éxito. Estas dos pruebas de fallo inyectado pueden hacerse sobre un documento sintético controlado, porque hace falta poder decidir con precisión dónde se corta — pero la prueba base (progreso visible, resto de la aplicación operativo, búsqueda en caliente) se repite además sobre el mismo expediente real de aproximadamente 500 páginas ya usado en IA.2c, no solo sobre el sintético: un documento fabricado no reproduce que los tomos de un caso real no siempre tardan lo mismo entre sí (páginas más degradadas en algunos tramos que en otros), que es precisamente lo que hace que el avance no sea contiguo. Buscar un término presente en un tomo ya completado de un documento que todavía tiene otros tomos en proceso devuelve resultado sin esperar a que el documento entero termine. Buscar un término con 1-2 caracteres alterados respecto al texto real de un fragmento (simulando un error de OCR) encuentra igualmente ese fragmento gracias a pg_trgm, y aparece con menor puntuación de relevancia que una coincidencia exacta, no igualada. Buscar una variante morfológica de una palabra presente en un fragmento (plural, forma verbal distinta) la encuentra vía full-text nativo sin que haga falta escribirla exactamente igual.</w:t>
      </w:r>
    </w:p>
    <w:p>
      <w:r>
        <w:t>Prompt para el agente: Añade las entidades TomoDocumento (DocumentoAdjuntoId, Indice, PaginaInicio, PaginaFin, EstadoProcesamiento, Intentos, MensajeError, FechaProcesado) y PaginaOcrIncidencia (DocumentoAdjuntoId, TomoId, Pagina, MensajeError, FechaUtc, Resuelta) en src/Domain/Entities, con su migración. En el Worker, al consumir DocumentoSubido, si el número de páginas supera un umbral configurable (appsettings, por ejemplo 100), trocea el documento en tomos de tamaño fijo configurable (por ejemplo 75 páginas) y publica un mensaje TomoDocumentoPendiente por cada uno en vez de llamar a OcrClient con el documento completo; por debajo del umbral, mantén el camino actual sin cambios. Crea TomoDocumentoConsumer: procesa un tomo llamando al microservicio de OCR solo con las páginas de su rango, persiste sus FragmentoDocumento en una única transacción y actualiza TomoDocumento.EstadoProcesamiento; configura el retry de MassTransit para este consumer (unos pocos reintentos con backoff y luego cola de error) en vez de manejar reintentos a mano. En el microservicio de OCR (Python), dentro del bucle que ya procesa página a página (lógica mobile→server de IA.2c), envuelve cada página en try/except: si falla, añádela a una lista 'paginas_fallidas' en el JSON de respuesta en vez de lanzar una excepción que tire abajo toda la petición; el Worker persiste los fragmentos de las páginas que sí llegaron y crea una fila en PaginaOcrIncidencia por cada página fallida. Actualiza el cálculo de DocumentoAdjunto.EstadoProcesamiento para que sea un resumen derivado de sus TomoDocumento (completado solo cuando todos lo están). Añade GET /api/documentos/{id}/progreso (tomos con su estado) y POST /api/documentos/{id}/paginas/{pagina}/reintentar (vuelve a publicar un job de OCR acotado a esa página, leyendo el documento ya almacenado en SeaweedFS/MinIO). En la Fase 6 (Blazor Server), añade un componente de progreso con sondeo cada 2-3 segundos mientras el documento esté Procesando, con barra segmentada por tomo, y un panel de incidencias con botón de reintento por página. Prueba subiendo un documento de más de 500 páginas troceado en varios tomos, provocando fallos deliberados tanto a nivel de tomo completo como de página suelta, y confirmando que la aplicación sigue respondiendo a otras peticiones durante todo el proceso. Reutiliza el expediente real de aproximadamente 500 páginas ya obtenido para la prueba de IA.2c en vez de conseguir uno distinto — la prueba base de esta tarea (progreso visible y aplicación operativa) debe correr contra ese mismo documento real, además de contra el documento sintético con el que se inyectan los fallos controlados. Para la búsqueda: ejecuta CREATE EXTENSION IF NOT EXISTS pg_trgm y crea un índice GIN sobre FragmentoDocumento.TextoFragmento con gin_trgm_ops; añade también un índice GIN funcional sobre to_tsvector('spanish', texto_fragmento) para full-text nativo. Añade GET /api/expedientes/{id}/buscar?q= que combine ambos (similarity() de pg_trgm con un umbral razonable, p. ej. 0.3, más ts_rank de full-text) y devuelva, por cada fragmento, su documento, página, confianza_ocr y qué mecanismo produjo la coincidencia (trigrama, full-text, o ambos) — así la interfaz puede avisar cuando el resultado viene de una coincidencia aproximada, no exacta. Prueba buscando una palabra real de un fragmento con 1-2 letras cambiadas a mano y confirma que el fragmento correcto aparece igualmente en los resultados.</w:t>
      </w:r>
    </w:p>
    <w:p>
      <w:pPr>
        <w:pStyle w:val="Heading3"/>
      </w:pPr>
      <w:r>
        <w:t>IA.2e. Reconocimiento de tablas con PP-StructureV3 — mejora de calidad opcional, no de velocidad</w:t>
      </w:r>
    </w:p>
    <w:p>
      <w:r>
        <w:t>Depende de: IA.2 (pipeline de OCR ya funcionando). No depende de IA.2c ni IA.2d — es ortogonal al objetivo de tiempo, no una optimización de velocidad.</w:t>
      </w:r>
    </w:p>
    <w:p>
      <w:r>
        <w:t>Por qué: al investigar PP-StructureV3 buscando una posible mejora de velocidad, se confirmó que es justo lo contrario — no es una alternativa más rápida a PP-OCRv5, es un pipeline más grande que usa PP-OCRv5 como una de sus piezas internas (su propia documentación lo describe como preprocesado + OCRv5 + análisis de maquetación + reconocimiento de elementos del documento + postprocesado a Markdown/JSON) y por tanto hace estrictamente más trabajo por página, no menos — un benchmark encontrado en CPU (Intel Xeon 8350C) da unos 3,74 segundos por página para el pipeline completo, coherente con hacer más, no menos. Descartado como optimización de IA.2c/IA.2d. Sí queda un valor real distinto: el reconocimiento de tablas de StructureV3 podría mejorar la calidad en documentos legales que contienen tablas de verdad (cuadros de amortización, tablas de bienes en un convenio regulador, desgloses de facturas), que hoy se leen con el OCR normal como texto lineal desordenado — fila y columna mezcladas — lo que perjudica tanto la búsqueda como las respuestas del chat (IA.5) sobre ese contenido concreto.</w:t>
      </w:r>
    </w:p>
    <w:p>
      <w:r>
        <w:t>Alcance: no como paso obligatorio para todos los documentos — eso contradiría el objetivo de ≤30 min para 500 páginas ya fijado en IA.2c, porque StructureV3 es más lento por página. En su lugar, un paso opcional y dirigido: reprocesar con el submódulo de reconocimiento de tablas de StructureV3 (no el pipeline completo) solo las páginas ya marcadas como candidatas a contener una tabla — por una heurística ligera (densidad de líneas/columnas detectadas) o aprovechando la clasificación de tipo_documento de IA.2b (factura, convenio regulador) — igual que IA.2c ya reprocesa con la variante server solo la minoría de páginas de confianza baja, en vez de aplicar el paso caro a todo el documento. El contenido de una tabla reconocida se guarda de forma distinguible del texto plano de FragmentoDocumento (por ejemplo, un campo que indique que el fragmento viene de una tabla, con su estructura en filas/columnas), para que IA.5 pueda razonar sobre la tabla en vez de sobre texto desordenado.</w:t>
      </w:r>
    </w:p>
    <w:p>
      <w:r>
        <w:t>Criterio de terminado: un documento de prueba con al menos una tabla real (un cuadro de amortización o un desglose de factura) produce una representación con estructura de filas/columnas reconocible, en vez del texto lineal desordenado que produce hoy el OCR normal. El tiempo total de un documento típico sin tablas no aumenta de forma perceptible, porque el paso solo se activa en las páginas candidatas, no en todas.</w:t>
      </w:r>
    </w:p>
    <w:p>
      <w:r>
        <w:t>Ampliado el 2026-08-24: red de seguridad opcional para cuando el reconocimiento de tablas de StructureV3 no dé confianza suficiente en una página candidata, o mientras esa pieza no esté aún implementada — escalar esa página concreta (no el documento completo) a un extractor de pago especializado, evaluado junto con el resto de la estrategia de OCR: el Invoice Parser de Google Document AI (1 $ / 1000 páginas, prácticamente el precio del OCR plano, por ser un procesador preentrenado específico de facturas) o el Analyze Expense de AWS Textract (10 $ / 1000 páginas) para facturas y minutas; el Analyze Document – Tables de Textract (15 $ / 1000 páginas) o el Form Parser de Document AI (30 $ / 1000 páginas) para tablas genéricas (cuadros de amortización, convenios reguladores). Igual que en IA.2c/IA.2d, el coste solo se paga en las páginas candidatas, no en el documento completo, así que el coste medio por expediente se mantiene bajo aunque el precio por página de estos extractores especializados sea 10-30 veces el del OCR de texto plano.</w:t>
      </w:r>
    </w:p>
    <w:p>
      <w:r>
        <w:t>Prompt para el agente: Investiga si el submódulo de reconocimiento de tablas de PP-StructureV3 se puede usar de forma aislada (sin el resto del pipeline de maquetación/fórmulas) dentro del microservicio de OCR ya existente, o si hace falta añadirlo como una llamada aparte. Añade una heurística ligera (o reutiliza tipo_documento de IA.2b) para marcar qué páginas son candidatas a contener una tabla, y reprocesa solo esas con el reconocimiento de tablas tras el paso normal de IA.2c. Decide y documenta cómo se guarda una tabla reconocida (estructura en FragmentoDocumento o una entidad nueva) de forma que se distinga claramente del texto plano. Prueba con un documento de ejemplo con una tabla real y confirma que el tiempo total de un documento sin tablas no cambia de forma perceptible. Si StructureV3 no reconoce bien una tabla candidata, o mientras esa integración no esté lista, añade la opción de escalar esa página a un extractor de pago especializado (Invoice Parser de Document AI para facturas, Analyze Document – Tables de Textract para tablas genéricas) en vez de dejarla como texto lineal sin estructura.</w:t>
      </w:r>
    </w:p>
    <w:p>
      <w:pPr>
        <w:pStyle w:val="Heading3"/>
      </w:pPr>
      <w:r>
        <w:t>IA.2f. OCR acelerado por GPU — palanca de escalado futura, no del MVP</w:t>
      </w:r>
    </w:p>
    <w:p>
      <w:r>
        <w:t>Depende de: IA.2c/IA.2d (pipeline de OCR sin GPU ya funcionando y trocecado en tomos). No sustituye a esa decisión, la complementa como opción de despliegue para cuando el volumen lo pida.</w:t>
      </w:r>
    </w:p>
    <w:p>
      <w:r>
        <w:t>Por qué: Manuel encontró una nota externa sobre PaddleOCR con GPU (RTX 3090/4090, A10G, o instancias de alquiler tipo RunPod, Vast.ai, Lambda Labs o GigaGPU) que cita saltos de rendimiento sustanciales frente a CPU — del orden de decenas o cientos de páginas por minuto en GPU frente a unas pocas en CPU, con latencia por página por debajo de 0,5 segundos. Esto no contradice la decisión de IA.2c (PP-OCRv5 sin GPU, objetivo ≤30 min/500 páginas): ese objetivo ya se fijó como competitivo frente a Clio/LexOn y sigue siendo válido para el volumen del piloto/MVP — no hay que tocarlo ahora. La GPU es una palanca de escalado distinta, que solo compensa su coste cuando el volumen agregado de páginas de todos los despachos activos sature el escalado horizontal en CPU de los Workers (ya soportado de forma nativa por el troceo en tomos de IA.2d más los reintentos de MassTransit). Además, como el procesamiento de OCR es asíncrono y en segundo plano con barra de progreso (IA.2d), la ventaja de latencia por página que destaca la nota pesa menos aquí que en un caso de uso en tiempo real — a esa escala importaría más el rendimiento total y el coste por página que la velocidad de una página suelta.</w:t>
      </w:r>
    </w:p>
    <w:p>
      <w:r>
        <w:t>Alcance: no implica ningún cambio en el código .NET ni en la arquitectura multi-tenant — el microservicio de OCR ya es un servicio Python/FastAPI independiente llamado por REST (arquitectura polyglot explícita), así que activar GPU es un cambio de despliegue de ese microservicio en concreto, no un cambio de diseño: instalar paddlepaddle-gpu en vez de paddlepaddle, y desplegar ese contenedor en una instancia con GPU en vez de en el servidor único de P.1 — exactamente el paso que P.1 ya deja anticipado y sin implementar (“separar el microservicio de OCR a su propio servidor cuando el volumen lo pida”). Antes de copiar cualquier código de la nota externa, confirmar contra la documentación de la versión de PaddleOCR/PP-OCRv5 realmente fijada en registro_licencias_dependencias.docx cómo se activa el dispositivo GPU en esa versión concreta — el parámetro use_gpu=True que trae la nota corresponde a una API antigua de PaddleOCR y puede no aplicar tal cual a la versión pinneada.</w:t>
      </w:r>
    </w:p>
    <w:p>
      <w:r>
        <w:t>Criterio de terminado (para cuando se active esta tarea, no ahora): existe una medición real del throughput agregado de OCR en producción — no un benchmark de terceros — que muestra que el escalado horizontal en CPU de los Workers ya no basta o ya no es más barato que una GPU alquilada; el microservicio de OCR corre en una instancia con GPU sin cambios en el contrato REST que expone al Worker de .NET; y se ha medido con documentos reales del propio producto (misma disciplina que IA.2c) el throughput y el coste por página resultante antes de fijarlo como definitivo.</w:t>
      </w:r>
    </w:p>
    <w:p>
      <w:pPr>
        <w:pStyle w:val="Heading3"/>
        <w:spacing w:after="80" w:before="200"/>
      </w:pPr>
      <w:r>
        <w:t xml:space="preserve">IA.3. Extracción de entidades (personas, empresas, fechas, importes) — con spaCy, sin LLM por fragmento</w:t>
      </w:r>
    </w:p>
    <w:p>
      <w:pPr>
        <w:spacing w:after="80"/>
      </w:pPr>
      <w:r>
        <w:rPr>
          <w:b/>
          <w:bCs/>
        </w:rPr>
        <w:t xml:space="preserve">Depende de: </w:t>
      </w:r>
      <w:r>
        <w:t xml:space="preserve">IA.2 (fragmentos ya generados).</w:t>
      </w:r>
    </w:p>
    <w:p>
      <w:pPr>
        <w:spacing w:after="80"/>
      </w:pPr>
      <w:r>
        <w:rPr>
          <w:b/>
          <w:bCs/>
        </w:rPr>
        <w:t xml:space="preserve">Por qué: </w:t>
      </w:r>
      <w:r>
        <w:t xml:space="preserve">esta tarea se ejecuta una vez por cada fragmento de cada documento (1000-1500 fragmentos por legajo típico), así que es aquí, no en IA.4 ni en IA.5, donde reaparecería el mismo problema que ya vimos en el OCR (self-hosted lento vs. API de pago cara) si se resolviera con un modelo de lenguaje. Se investigó (2026-08-08) cómo lo resuelven productos legaltech ya validados (Harvey, CoCounsel/Westlaw): ambos usan un LLM con RAG para el chat/Q&amp;A (ver IA.5), no para extracción masiva de entidades estructuradas — ahí es donde un NLP clásico, más barato y sin llamada de red, encaja mejor. spaCy (MIT, ya recomendado en IA.2b para clasificar tipo de documento) tiene modelos de reconocimiento de entidades en español entrenados para esto exactamente: personas, organizaciones y fechas: extraerlos con un modelo local no cuesta nada por fragmento y no depende de la latencia de una API externa.</w:t>
      </w:r>
    </w:p>
    <w:p>
      <w:pPr>
        <w:spacing w:after="80"/>
      </w:pPr>
      <w:r>
        <w:rPr>
          <w:b/>
          <w:bCs/>
        </w:rPr>
        <w:t xml:space="preserve">Alcance: </w:t>
      </w:r>
      <w:r>
        <w:t xml:space="preserve">sobre el texto de cada fragmento ya generado en IA.2, usar spaCy con un modelo de español de calidad media/alta (es_core_news_lg, o es_dep_news_trf si el rendimiento en CPU del servidor lo permite — esta tarea corre en segundo plano, no en el camino síncrono del chat, así que puede permitirse un modelo algo más lento que el mínimo) para extraer personas, organizaciones y fechas; los importes en euros se detectan de forma fiable con una expresión regular sobre patrones numéricos + símbolo de moneda, sin necesitar NLP para ese tipo. Guardar cada resultado como EntidadExtraida en estado pendiente_revision, con una confianza derivada del propio modelo de spaCy (o un valor fijo alto para los importes detectados por regex, al ser determinísticos).</w:t>
      </w:r>
    </w:p>
    <w:p>
      <w:pPr>
        <w:spacing w:after="80"/>
      </w:pPr>
      <w:r>
        <w:rPr>
          <w:b/>
          <w:bCs/>
        </w:rPr>
        <w:t xml:space="preserve">Criterio de terminado: </w:t>
      </w:r>
      <w:r>
        <w:t xml:space="preserve">al terminar de procesar un documento de prueba con nombres, fechas e importes reconocibles, aparecen filas de EntidadExtraida con el tipo correcto; un endpoint permite marcarlas como confirmada o descartada. Aviso honesto para no sorprenderse en la prueba: la precisión del NER de spaCy en español, según lo investigado, puede quedarse por debajo del 80% en textos que no sean español peninsular estándar (manuscrito transcrito por OCR, jerga jurídica, nombres poco comunes) — esto es aceptable precisamente porque el flujo ya está diseñado para que el abogado confirme o descarte cada entidad (tarea 6.7), no para que se apliquen solas; no se busca perfección aquí, se busca ahorrar tecleo.</w:t>
      </w:r>
    </w:p>
    <w:p>
      <w:pPr>
        <w:pBdr>
          <w:left w:val="single" w:color="999999" w:sz="12" w:space="8"/>
        </w:pBdr>
        <w:spacing w:after="240" w:before="60"/>
        <w:ind w:left="431"/>
      </w:pPr>
      <w:r>
        <w:rPr>
          <w:b/>
          <w:bCs/>
          <w:i/>
          <w:iCs/>
          <w:color w:val="444444"/>
        </w:rPr>
        <w:t xml:space="preserve">Prompt para el agente: </w:t>
      </w:r>
      <w:r>
        <w:rPr>
          <w:i/>
          <w:iCs/>
          <w:color w:val="444444"/>
        </w:rPr>
        <w:t xml:space="preserve">Al final del consumer de IA.2 (o en un consumer propio que escuche cuando el documento pasa a Completado), instala y ejecuta spaCy con el modelo es_core_news_lg (o es_dep_news_trf si el CPU del servidor lo permite sin ralentizar la cola de procesamiento) sobre el texto de cada fragmento, extrayendo entidades de tipo PER (persona) y ORG (empresa) del NER de spaCy, y fechas con su reconocedor de fechas o una combinación de reglas si el modelo no las cubre bien en español. Detecta importes en euros con una expresión regular (patrones como '1.234,56 €', '1234.56 EUR', etc.), sin necesidad de NLP para este tipo. Guarda cada resultado como EntidadExtraida (Tipo, ValorTexto, ValorNormalizado, Confianza — la puntuación del propio modelo de spaCy para PER/ORG/fecha, o un valor fijo como 0.95 para importes por regex al ser determinísticos —, FragmentoId de origen, Estado = PendienteRevision). No llames a ningún modelo de lenguaje de pago en esta tarea. Añade dos endpoints: PATCH /api/entidades/{id}/confirmar y PATCH /api/entidades/{id}/descartar. Prueba con un documento de ejemplo (puedes reutilizar uno de los casos de fase0_dominio_ux.docx) y confirma que las entidades extraídas son razonables y tienen su cita de origen; no descartes la tarea por errores puntuales de spaCy en nombres poco comunes, ya que para eso existe la revisión manual.</w:t>
      </w:r>
    </w:p>
    <w:p>
      <w:pPr>
        <w:pStyle w:val="Heading3"/>
        <w:spacing w:after="80" w:before="200"/>
      </w:pPr>
      <w:r>
        <w:t xml:space="preserve">IA.4. Cronología automática del expediente — descripción extractiva con spaCy, sin LLM</w:t>
      </w:r>
    </w:p>
    <w:p>
      <w:pPr>
        <w:spacing w:after="80"/>
      </w:pPr>
      <w:r>
        <w:rPr>
          <w:b/>
          <w:bCs/>
        </w:rPr>
        <w:t xml:space="preserve">Depende de: </w:t>
      </w:r>
      <w:r>
        <w:t xml:space="preserve">IA.3 (entidades de tipo fecha ya extraídas).</w:t>
      </w:r>
    </w:p>
    <w:p>
      <w:pPr>
        <w:spacing w:after="80"/>
      </w:pPr>
      <w:r>
        <w:rPr>
          <w:b/>
          <w:bCs/>
        </w:rPr>
        <w:t xml:space="preserve">Por qué: </w:t>
      </w:r>
      <w:r>
        <w:t xml:space="preserve">es, según las notas que revisamos, el feature con mejor relación entre lo que cuesta construir y lo vistoso/útil que resulta — un abogado entiende meses de documentación en minutos con una simple línea de tiempo. Manuel planteó (2026-08-08) una pregunta acertada: ¿hace falta un modelo de lenguaje para la frase de resumen, o basta con extraer una frase que ya existe en el propio fragmento? La respuesta es que basta, y sale prácticamente gratis: el texto de origen (FragmentoDocumento.texto_fragmento) ya vive en Postgres desde IA.2, y spaCy ya se ejecuta sobre ese mismo texto en IA.3 para el reconocimiento de entidades — reutilizar su segmentador de frases para devolver la frase concreta que contiene la fecha no añade ninguna llamada de red ni coste de API, y elimina la dependencia de un LLM también en esta tarea. Con este cambio, IA.5 (el chat) queda como la única tarea de las tres que de verdad necesita un LLM.</w:t>
      </w:r>
    </w:p>
    <w:p>
      <w:pPr>
        <w:spacing w:after="80"/>
      </w:pPr>
      <w:r>
        <w:rPr>
          <w:b/>
          <w:bCs/>
        </w:rPr>
        <w:t xml:space="preserve">Alcance: </w:t>
      </w:r>
      <w:r>
        <w:t xml:space="preserve">al confirmarse (o alcanzar alta confianza) una EntidadExtraida de tipo fecha, localizar la posición de su valor_texto dentro del texto_fragmento de origen, dividir ese fragmento en frases con el segmentador de spaCy (el mismo modelo ya cargado en IA.3, usando solo el componente de segmentación de frases, más rápido que volver a ejecutar el reconocimiento de entidades completo), y usar como EventoCronologia.descripcion la frase que contiene la fecha — sin llamar a ningún modelo de lenguaje. descripcion sigue siendo una columna de texto normal en Postgres, ya prevista en el modelo consolidado; no tiene sentido guardarla en MinIO/S3, que es para los binarios de los documentos, no para cadenas de texto cortas.</w:t>
      </w:r>
    </w:p>
    <w:p>
      <w:pPr>
        <w:spacing w:after="80"/>
      </w:pPr>
      <w:r>
        <w:rPr>
          <w:b/>
          <w:bCs/>
        </w:rPr>
        <w:t xml:space="preserve">Criterio de terminado: </w:t>
      </w:r>
      <w:r>
        <w:t xml:space="preserve">GET /api/expedientes/{id}/cronologia devuelve una lista ordenada por fecha, cada entrada con su descripción (la frase extraída, no una redactada por IA) y el documento/página de origen. Aviso honesto: una frase jurídica real puede salir larga o poco directa (remisiones a artículos, subordinadas), y se acepta ese coste de legibilidad a cambio de no depender de ningún LLM aquí — el enlace a fragmento/página/documento de cada entrada deja ver el contexto completo con un clic si la frase extraída no basta por sí sola.</w:t>
      </w:r>
    </w:p>
    <w:p>
      <w:pPr>
        <w:pBdr>
          <w:left w:val="single" w:color="999999" w:sz="12" w:space="8"/>
        </w:pBdr>
        <w:spacing w:after="240" w:before="60"/>
        <w:ind w:left="431"/>
      </w:pPr>
      <w:r>
        <w:rPr>
          <w:b/>
          <w:bCs/>
          <w:i/>
          <w:iCs/>
          <w:color w:val="444444"/>
        </w:rPr>
        <w:t xml:space="preserve">Prompt para el agente: </w:t>
      </w:r>
      <w:r>
        <w:rPr>
          <w:i/>
          <w:iCs/>
          <w:color w:val="444444"/>
        </w:rPr>
        <w:t xml:space="preserve">Cuando una EntidadExtraida de tipo fecha pase a estado Confirmada (o su Confianza supere el umbral de alta confianza ya usado en el resto del plan), localiza la posición de ValorTexto dentro de TextoFragmento del FragmentoDocumento de origen (una búsqueda de subcadena simple; si aparece más de una vez, usa la primera aparición razonable, no hace falta resolver la ambigüedad de forma perfecta). Ejecuta sobre TextoFragmento el segmentador de frases de spaCy, reutilizando el mismo pipeline de es_core_news_lg cargado en IA.3 pero desactivando los componentes que no hacen falta aquí (NER, lematizador) para que sea más rápido, y localiza la frase que contiene esa posición. Guarda esa frase, recortada a una longitud razonable (por ejemplo 300 caracteres) si es excesivamente larga, como EventoCronologia.Descripcion — una columna de texto normal en Postgres, no un objeto en MinIO/S3. No llames a ningún modelo de lenguaje en esta tarea. Añade el endpoint GET /api/expedientes/{id}/cronologia que devuelva los eventos ordenados cronológicamente, con su fecha, descripción, y el documento/página/párrafo de origen. Prueba con el caso de despido improcedente de fase0_dominio_ux.docx (o uno nuevo) y confirma que la cronología generada tiene sentido cronológico, cita bien su origen, y que la frase extraída identifica razonablemente el evento aunque no sea una redacción tan pulida como la de un LLM.</w:t>
      </w:r>
    </w:p>
    <w:p>
      <w:pPr>
        <w:pStyle w:val="Heading3"/>
        <w:spacing w:after="80" w:before="200"/>
      </w:pPr>
      <w:r>
        <w:t xml:space="preserve">IA.5. Chat sobre el expediente con citas y nivel de confianza</w:t>
      </w:r>
    </w:p>
    <w:p>
      <w:pPr>
        <w:spacing w:after="80"/>
      </w:pPr>
      <w:r>
        <w:rPr>
          <w:b/>
          <w:bCs/>
        </w:rPr>
        <w:t xml:space="preserve">Depende de: </w:t>
      </w:r>
      <w:r>
        <w:t xml:space="preserve">IA.1 (fragmentos con embedding ya disponibles).</w:t>
      </w:r>
    </w:p>
    <w:p>
      <w:pPr>
        <w:spacing w:after="80"/>
      </w:pPr>
      <w:r>
        <w:rPr>
          <w:b/>
          <w:bCs/>
        </w:rPr>
        <w:t xml:space="preserve">Por qué: </w:t>
      </w:r>
      <w:r>
        <w:t xml:space="preserve">es la funcionalidad más potente de las cinco de las notas que revisamos, y la que ya demostramos en esta conversación que un modelo actual puede hacer con fiabilidad razonable si se le exige citar la fuente exacta y reconocer cuándo no sabe la respuesta, en vez de responder de forma abierta sin verificación. Se confirmó (2026-08-08) que este es exactamente el patrón que usan los productos legaltech de referencia del sector — Harvey (94,8% de acierto en preguntas sobre documentos) y CoCounsel/Westlaw (89,6%, con más del 95% de precisión en las citas) — ambos son RAG (recuperar fragmentos relevantes + generar la respuesta con un LLM), no una alternativa sin LLM; no existe hoy un sustituto gratuito real para esta función concreta sin perder la calidad de redacción y de citas que la hace útil. A diferencia de IA.3 e IA.4 (ya resueltas sin LLM, ver arriba), aquí sí hace falta uno: la respuesta tiene que redactarse de verdad a partir de varios fragmentos, no basta con extraer una frase existente.</w:t>
      </w:r>
    </w:p>
    <w:p>
      <w:pPr>
        <w:spacing w:after="80"/>
      </w:pPr>
      <w:r>
        <w:rPr>
          <w:b/>
          <w:bCs/>
        </w:rPr>
        <w:t xml:space="preserve">Alcance: </w:t>
      </w:r>
      <w:r>
        <w:t>endpoint que reciba una pregunta en lenguaje natural sobre un expediente, la convierta en embedding, busque por similitud (CosineDistance) los FragmentoDocumento más relevantes de ESE expediente (respetando tenant y expediente), y llame a una API de pago de un modelo de lenguaje (OpenAI GPT-4o-mini o Claude Haiku 4.5 — fija una de las dos explícitamente en la configuración, no un modelo local/Ollama: aquí la respuesta es síncrona, con el abogado esperando en pantalla, y es la tarea donde la latencia de un modelo local sin GPU se notaría más) con esos fragmentos como contexto, exigiendo que cite documento/página/párrafo y que declare explícitamente cuando la respuesta no está en los fragmentos recuperados. Límite de uso razonable por tenant, no facturación por pregunta: el coste real de la API es tan bajo por consulta (fracciones de céntimo) que no tiene sentido medirlo y cobrarlo — pero sí conviene un tope configurable de preguntas al mes por despacho (valor de partida orientativo, no cerrado; ajustar con datos reales del piloto de P.2), con aviso al acercarse al límite en vez de un corte brusco, para no dejar a un despacho piloto sin chat a mitad de un caso urgente. Botón "Guardar respuesta" junto a cada respuesta del chat (Fase 6, tarea 6.6): genera un .docx con la pregunta, la respuesta y las citas exactas (documento/página/párrafo) en las que se basó, más un aviso visible de que es una respuesta generada por IA en la fecha indicada, a revisar antes de usarla en un escrito — reutilizando Open XML SDK/OfficeIMO, la misma pieza ya elegida en D.3, no una librería nueva. Se guarda como un DocumentoAdjunto más del expediente (mismo IDocumentStorage/SeaweedFS, misma RLS por tenant, mismo AuditLog de C.0, misma política de retención de C.2 — sin mecanismo de almacenamiento aparte), con un tipo_documento propio que lo distinga de un documento subido por el abogado. Deliberadamente NO se fragmenta ni se genera embedding de este documento guardado — no vuelve a entrar en el pipeline de IA.2/IA.1, se queda como documento de lectura, para que el chat nunca pueda citarse a sí mismo como si fuera una fuente más del expediente.</w:t>
      </w:r>
    </w:p>
    <w:p>
      <w:pPr>
        <w:spacing w:after="80"/>
      </w:pPr>
      <w:r>
        <w:rPr>
          <w:b/>
          <w:bCs/>
        </w:rPr>
        <w:t xml:space="preserve">Criterio de terminado: </w:t>
      </w:r>
      <w:r>
        <w:t>las preguntas cuya respuesta está en los documentos se responden citando correctamente la fuente; una pregunta sobre algo que no está en ningún documento del expediente da como respuesta que no se ha encontrado esa información, no una respuesta inventada. Antes de fijar un único proveedor en producción, se ha probado el mismo lote de preguntas reales (no solo dos de ejemplo) sobre el caso de referencia de fase0_dominio_ux.docx con ambos modelos candidatos (GPT-4o-mini y Claude Haiku 4.5), documentando cuántas cita bien la fuente y cuántas responden "no lo sé" cuando corresponde — no se asume que un modelo basta por su reputación general, se confirma con el mismo tipo de prueba que ya se exige para el OCR en IA.2c. El límite de preguntas mensual existe y es configurable sin recompilar, y avisa antes de bloquear. Guardar una respuesta del chat produce un DocumentoAdjunto descargable con la pregunta, la respuesta, las citas y el aviso de origen IA, visible en la lista de documentos del expediente igual que cualquier otro; ese documento guardado NO aparece como fuente citable en preguntas posteriores del chat sobre el mismo expediente.</w:t>
      </w:r>
    </w:p>
    <w:p>
      <w:pPr>
        <w:pBdr>
          <w:left w:val="single" w:color="999999" w:sz="12" w:space="8"/>
        </w:pBdr>
        <w:spacing w:after="240" w:before="60"/>
        <w:ind w:left="431"/>
      </w:pPr>
      <w:r>
        <w:rPr>
          <w:b/>
          <w:bCs/>
          <w:i/>
          <w:iCs/>
          <w:color w:val="444444"/>
        </w:rPr>
        <w:t xml:space="preserve">Prompt para el agente: </w:t>
      </w:r>
      <w:r>
        <w:rPr>
          <w:i/>
          <w:iCs/>
          <w:color w:val="444444"/>
        </w:rPr>
        <w:t>Añade POST /api/expedientes/{id}/chat que reciba una pregunta en texto libre. Genera el embedding de la pregunta con la misma API de embeddings de IA.2, busca por CosineDistance los N fragmentos más similares dentro de FragmentoDocumento filtrados por ese ExpedienteId (el filtro de tenant ya lo aplica el HasQueryFilter/RLS), y pasa esos fragmentos como contexto a una API de pago (OpenAI GPT-4o-mini o Claude Haiku 4.5 — fija una de las dos explícitamente en la configuración) con una instrucción explícita: responder solo con lo que aparece en los fragmentos, citar para cada afirmación el documento/página/párrafo de origen, y decir explícitamente que no encuentra la información si los fragmentos recuperados no la contienen, en vez de completar con conocimiento general del modelo. Prueba con al menos una pregunta respondible y una deliberadamente no respondible con los documentos que tengas cargados, y confirma que el sistema distingue correctamente entre ambos casos. Añade un contador de preguntas del mes por tenant (tabla o columna simple, se resetea cada mes natural) y un límite configurable en appsettings — al superarlo, no cortes en seco: devuelve un aviso claro de que se alcanzó el uso incluido, en vez de un error genérico. Antes de fijar el proveedor en producción, monta un lote de preguntas reales (mínimo 15-20, no solo dos) sobre el caso de referencia de fase0_dominio_ux.docx (Javier López Ferreiro), ejecútalo contra GPT-4o-mini y contra Claude Haiku 4.5, y documenta para cada uno cuántas citan bien la fuente y cuántas reconocen correctamente cuando la respuesta no está en los documentos. Usa ese resultado, no la reputación general del modelo, para decidir cuál se fija en la configuración. Añade POST /api/expedientes/{id}/chat/{mensajeId}/guardar (o recibe pregunta+respuesta+citas directamente si no se persiste el historial de chat) que construya un .docx con esos datos reutilizando el mismo servicio de fusión de plantillas de D.3 (una plantilla sencilla propia para esto: pregunta, respuesta, fuentes citadas, fecha, aviso de origen IA), lo suba vía IDocumentStorage como un DocumentoAdjunto nuevo con TipoDocumento="Nota de IA" (o equivalente), y devuelva su id para descarga inmediata. No generes FragmentoDocumento ni embedding para este documento — no debe pasar por el consumer de IA.2. En la Fase 6 (tarea 6.6), añade el botón "Guardar respuesta" junto a cada mensaje del chat que llame a este endpoint.</w:t>
      </w:r>
    </w:p>
    <w:p>
      <w:pPr>
        <w:pStyle w:val="Heading3"/>
      </w:pPr>
      <w:r>
        <w:t>IA.6. Búsqueda de jurisprudencia en bases de datos externas — con la suscripción propia del despacho</w:t>
      </w:r>
    </w:p>
    <w:p>
      <w:r>
        <w:t>Depende de: IA.5 (reutiliza su mismo patrón de chat con citas). No depende de IA.2c/IA.2d/IA.2e — es una función independiente sobre datos públicos o de terceros, no sobre los documentos propios del expediente.</w:t>
      </w:r>
    </w:p>
    <w:p>
      <w:r>
        <w:t>Por qué: IA.5 contesta "¿qué dice mi expediente?" sobre documentos privados del cliente; esto contesta una pregunta distinta — "¿qué han fallado los tribunales en casos parecidos?" — sobre jurisprudencia pública o de una base de datos de terceros. No sustituye a IA.5 ni reduce su coste, es una función añadida. Investigado (2026-08-15): CENDOJ (Centro de Documentación Judicial, más de 8 millones de resoluciones) es gratuito y público, pero no ofrece API — el acceso masivo o automatizado está limitado por sus condiciones de uso, así que indexarlo dentro del producto rozaría sus términos; Aranzadi y vLex sí ofrecen API pensada para integrarse con software de gestión, pero de pago (Aranzadi desde ~200€/mes según usuarios y funciones, vLex ~399$/usuario) — coste que no tiene sentido que este producto absorba por su cuenta. La vía razonable es que el propio despacho aporte sus credenciales de API a la suscripción que ya paga (muchos despachos ya tienen Aranzadi o vLex contratado independientemente de este software), igual que ya se plantea con la clave de OpenAI de IA.5 — así el despacho paga solo por lo que ya usaba, y el producto solo añade la integración.</w:t>
      </w:r>
    </w:p>
    <w:p>
      <w:r>
        <w:t>Alcance: función opcional por tenant, no un requisito del MVP. Configuración por despacho de credenciales de API a un proveedor de jurisprudencia (Aranzadi o vLex, confirmar con el despacho piloto de P.2 cuál tienen ya contratado), guardadas con el mismo cuidado que el resto de secretos del sistema, usadas solo si el despacho las configura. Si no hay credenciales configuradas: un enlace a la búsqueda del propio CENDOJ con el término precargado, que abre en una pestaña nueva — no una integración ni una copia de su contenido, para no rozar sus condiciones de uso. Con credenciales configuradas: un endpoint que consulte en vivo la API de jurisprudencia del despacho y reutilice el mismo patrón de "chat con citas" ya construido en IA.5 para resumir los resultados y citar la resolución exacta, en vez de construir un mecanismo de resumen/citas distinto. No se generan embeddings ni se guarda el contenido de terceros en la base de datos propia — la consulta es en vivo contra la API externa, cada vez, para no plantear un problema de licencia sobre contenido de un proveedor de pago.</w:t>
      </w:r>
    </w:p>
    <w:p>
      <w:r>
        <w:t>Criterio de terminado: con credenciales reales de Aranzadi o vLex configuradas para un tenant de prueba, buscar un tema relacionado con un expediente abierto devuelve resultados reales de jurisprudencia con su cita. Para un tenant sin credenciales configuradas, la función no aparece como requisito ni bloquea nada del resto de la aplicación — solo se ofrece el enlace a CENDOJ con el término precargado.</w:t>
      </w:r>
    </w:p>
    <w:p>
      <w:r>
        <w:t>Prompt para el agente: Añade una tabla o sección de configuración por tenant para credenciales de API de un proveedor de jurisprudencia (empieza por uno solo, Aranzadi o vLex — confirma con Manuel cuál tiene contratado el despacho piloto antes de construir el conector, en vez de soportar los dos a la vez sin necesidad). Si el tenant tiene credenciales configuradas, añade un endpoint que reciba un término de búsqueda o una pregunta, la envíe a la API del proveedor, y pase los resultados por el mismo patrón de resumen con citas ya construido en el chat de IA.5 (reutiliza el prompt y la lógica de citar fuente exacta, no construyas uno nuevo desde cero). Si el tenant no tiene credenciales, expón en su lugar un enlace directo a la búsqueda pública de CENDOJ con el término ya codificado en la URL. No implementes scraping ni ingesta del contenido de CENDOJ bajo ninguna circunstancia. Prueba ambos caminos: un tenant con credenciales reales y uno sin ellas.</w:t>
      </w:r>
    </w:p>
    <w:p>
      <w:pPr>
        <w:pBdr>
          <w:bottom w:val="single" w:color="CCCCCC" w:sz="6" w:space="4"/>
        </w:pBdr>
        <w:spacing w:after="200" w:before="100"/>
      </w:pPr>
    </w:p>
    <w:p>
      <w:pPr>
        <w:pStyle w:val="Heading1"/>
        <w:spacing w:after="160" w:before="360"/>
      </w:pPr>
      <w:r>
        <w:t xml:space="preserve">Tareas nuevas: exportación para presentación judicial (E.1 – E.2)</w:t>
      </w:r>
    </w:p>
    <w:p>
      <w:pPr>
        <w:spacing w:after="160"/>
      </w:pPr>
      <w:r>
        <w:t xml:space="preserve">Añadido tras evaluar dos productos ya consolidados en el sector (LTPDF/LexTools y DigiGen LexNET de Notarnet): ambos automatizan, con distinto alcance, el último tramo del flujo de un despacho — convertir el expediente en algo que se pueda subir literalmente a LexNET, la plataforma de presentación electrónica de la Administración de Justicia. Es una funcionalidad real y ya demandada, no especulativa, pero con dos partes de riesgo muy distinto: convertir a PDF/A y dividir por tamaño es mecánico y resoluble con herramientas libres; firmar con un certificado válido para que la presentación tenga validez legal es un problema de otra categoría, y no se especifica aquí una solución concreta a propósito — se detalla por qué en E.2.</w:t>
      </w:r>
    </w:p>
    <w:p>
      <w:pPr>
        <w:pStyle w:val="Heading3"/>
        <w:spacing w:after="80" w:before="200"/>
      </w:pPr>
      <w:r>
        <w:t xml:space="preserve">E.1. Conversión a PDF/A y división por tamaño para LexNET</w:t>
      </w:r>
    </w:p>
    <w:p>
      <w:pPr>
        <w:spacing w:after="80"/>
      </w:pPr>
      <w:r>
        <w:rPr>
          <w:b/>
          <w:bCs/>
        </w:rPr>
        <w:t xml:space="preserve">Depende de: </w:t>
      </w:r>
      <w:r>
        <w:t xml:space="preserve">IA.2b (documento ya foliado) y Fase 2 (documento ya en MinIO/S3).</w:t>
      </w:r>
    </w:p>
    <w:p>
      <w:pPr>
        <w:spacing w:after="80"/>
      </w:pPr>
      <w:r>
        <w:rPr>
          <w:b/>
          <w:bCs/>
        </w:rPr>
        <w:t xml:space="preserve">Por qué: </w:t>
      </w:r>
      <w:r>
        <w:t xml:space="preserve">LexNET exige el formato PDF/A y tiene límites de tamaño (a día de hoy, 100 MB por envío iniciador con un límite propio de 15 MB para el documento principal dentro de ese envío; el límite ha ido creciendo con los años — 3, 15, 30 y ahora 100 MB — así que no puede fijarse como una constante en el código). LTPDF resuelve justo esto: dejar que el usuario pida dividir en bloques de un tamaño dado y que el programa genere los tomos exactos para subir sin pasarse del límite.</w:t>
      </w:r>
    </w:p>
    <w:p>
      <w:pPr>
        <w:spacing w:after="80"/>
      </w:pPr>
      <w:r>
        <w:rPr>
          <w:b/>
          <w:bCs/>
        </w:rPr>
        <w:t xml:space="preserve">Alcance: </w:t>
      </w:r>
      <w:r>
        <w:t xml:space="preserve">Endpoint o proceso que tome uno o varios documentos foliados de un expediente, los convierta a PDF/A (usando LibreOffice en modo headless, ya presente en el proyecto para otras conversiones, con el filtro de exportación PDF/A — licencia MPL/LGPL, sin el problema de copyleft de red de PyMuPDF/iText7), y si el resultado supera el límite configurado, lo divida en varios ficheros ("tomos") sin partir una página por la mitad. Los límites de tamaño (documento principal y envío completo) deben leerse de configuración, no estar fijados en el código, precisamente porque LexNET los ha cambiado varias veces.</w:t>
      </w:r>
    </w:p>
    <w:p>
      <w:pPr>
        <w:spacing w:after="80"/>
      </w:pPr>
      <w:r>
        <w:rPr>
          <w:b/>
          <w:bCs/>
        </w:rPr>
        <w:t xml:space="preserve">Criterio de terminado: </w:t>
      </w:r>
      <w:r>
        <w:t xml:space="preserve">convertir un expediente de prueba con varios documentos genera uno o más PDF/A válidos (verificables con un validador de PDF/A como veraPDF); si el conjunto supera el límite configurado, se generan varios tomos, ninguno por encima del límite, y ninguna página queda partida entre dos tomos; cambiar el límite en configuración cambia el punto de corte sin tocar código.</w:t>
      </w:r>
    </w:p>
    <w:p>
      <w:pPr>
        <w:pBdr>
          <w:left w:val="single" w:color="999999" w:sz="12" w:space="8"/>
        </w:pBdr>
        <w:spacing w:after="240" w:before="60"/>
        <w:ind w:left="431"/>
      </w:pPr>
      <w:r>
        <w:rPr>
          <w:b/>
          <w:bCs/>
          <w:i/>
          <w:iCs/>
          <w:color w:val="444444"/>
        </w:rPr>
        <w:t xml:space="preserve">Prompt para el agente: </w:t>
      </w:r>
      <w:r>
        <w:rPr>
          <w:i/>
          <w:iCs/>
          <w:color w:val="444444"/>
        </w:rPr>
        <w:t xml:space="preserve">Añade a appsettings (o a una tabla de configuración) los valores LexNet:LimiteDocumentoPrincipalMb y LexNet:LimiteEnvioMb, con los valores actuales (15 y 100) como valores por defecto pero editables sin recompilar. Crea un servicio de exportación que tome los documentos foliados de un expediente (o los seleccionados por el abogado), los convierta a PDF/A invocando LibreOffice en modo headless con el filtro de exportación PDF/A (soffice --headless --convert-to 'pdf:writer_pdf_Export:{"SelectPdfVersion":{"type":"long","value":1}}' para PDF/A-1b; ajusta la versión si prefieres PDF/A-2b), y calcule el tamaño resultante. Si supera el límite configurado, divide el PDF en varios tomos por página completa (sin partir ninguna) usando PDFsharp o pypdf/pikepdf (mismas librerías ya usadas en IA.2b, mismo criterio de licencias — evita PyMuPDF/iText7 sin licencia comercial), nombrando los tomos de forma clara (por ejemplo Tomo_1_de_3.pdf). Prueba con un expediente de varios documentos que en conjunto superen el límite configurado y confirma que los tomos generados son válidos y ninguno lo excede.</w:t>
      </w:r>
    </w:p>
    <w:p>
      <w:pPr>
        <w:pStyle w:val="Heading3"/>
        <w:spacing w:after="80" w:before="200"/>
      </w:pPr>
      <w:r>
        <w:t xml:space="preserve">E.2. Firma electrónica del PDF/A con certificado del abogado — investigación previa, no implementación directa</w:t>
      </w:r>
    </w:p>
    <w:p>
      <w:pPr>
        <w:spacing w:after="80"/>
      </w:pPr>
      <w:r>
        <w:rPr>
          <w:b/>
          <w:bCs/>
        </w:rPr>
        <w:t xml:space="preserve">Depende de: </w:t>
      </w:r>
      <w:r>
        <w:t xml:space="preserve">E.1 (PDF/A ya generado).</w:t>
      </w:r>
    </w:p>
    <w:p>
      <w:pPr>
        <w:spacing w:after="80"/>
      </w:pPr>
      <w:r>
        <w:rPr>
          <w:b/>
          <w:bCs/>
        </w:rPr>
        <w:t xml:space="preserve">Por qué: </w:t>
      </w:r>
      <w:r>
        <w:t xml:space="preserve">esta pieza es fundamentalmente distinta a todo lo anterior: una firma que da validez legal a un escrito ante un juzgado sigue el estándar PAdES (firma embebida en el propio PDF conforme a ETSI), y un error en el formato de la firma puede invalidar la presentación completa, no solo tener peor calidad. DigiGen LexNET ya resuelve esto en producción firmando con certificado ACA u otro certificado válido, lo que confirma que es un problema resuelto por terceros, no que sea trivial de replicar. Las librerías .NET con soporte de firma PAdES fiable son en su mayoría comerciales (iText7 con licencia comercial, o SDKs de proveedores de firma electrónica españoles); no se ha encontrado a fecha de este documento una alternativa gratuita y madura que no tenga el mismo problema de licencia AGPL ya señalado en IA.2b, así que aquí no se prescribe una librería concreta como en el resto del plan.</w:t>
      </w:r>
    </w:p>
    <w:p>
      <w:pPr>
        <w:spacing w:after="80"/>
      </w:pPr>
      <w:r>
        <w:rPr>
          <w:b/>
          <w:bCs/>
        </w:rPr>
        <w:t xml:space="preserve">Alcance: </w:t>
      </w:r>
      <w:r>
        <w:t xml:space="preserve">Antes de escribir código: investigar (1) si alguno de los proveedores españoles de firma electrónica ofrece una API o SDK con coste asumible para un despacho pequeño en vez de una librería a integrar a mano, y (2) si legalmente hace falta implementar la firma dentro de la propia plataforma o si es aceptable generar el PDF/A (tarea E.1) y dejar que el abogado lo firme con su certificado ACA en el cliente de firma que ya usa hoy, integrando solo la generación del PDF/A y dejando la firma fuera del producto en una primera versión.</w:t>
      </w:r>
    </w:p>
    <w:p>
      <w:pPr>
        <w:spacing w:after="80"/>
      </w:pPr>
      <w:r>
        <w:rPr>
          <w:b/>
          <w:bCs/>
        </w:rPr>
        <w:t xml:space="preserve">Criterio de terminado: </w:t>
      </w:r>
      <w:r>
        <w:t xml:space="preserve">no aplica todavía un criterio de terminado de código — el resultado de esta tarea es una decisión documentada (con coste y proveedor si se opta por uno externo, o la confirmación de que la primera versión no firma dentro de la plataforma) antes de comprometer tiempo de desarrollo en ninguna dirección.</w:t>
      </w:r>
    </w:p>
    <w:p>
      <w:pPr>
        <w:pBdr>
          <w:left w:val="single" w:color="999999" w:sz="12" w:space="8"/>
        </w:pBdr>
        <w:spacing w:after="240" w:before="60"/>
        <w:ind w:left="431"/>
      </w:pPr>
      <w:r>
        <w:rPr>
          <w:b/>
          <w:bCs/>
          <w:i/>
          <w:iCs/>
          <w:color w:val="444444"/>
        </w:rPr>
        <w:t xml:space="preserve">Prompt para el agente: </w:t>
      </w:r>
      <w:r>
        <w:rPr>
          <w:i/>
          <w:iCs/>
          <w:color w:val="444444"/>
        </w:rPr>
        <w:t xml:space="preserve">No escribas código todavía. Investiga primero: (1) qué proveedores españoles de firma electrónica (por ejemplo los que ya trabajan con el sector legal) ofrecen una API de firma PAdES con un coste por documento o suscripción razonable para un despacho pequeño, en vez de una librería a mantener tú; (2) si es viable, para una primera versión del producto, generar solo el PDF/A de la tarea E.1 y que el abogado lo firme fuera de la plataforma con el cliente de firma que ya usa (evitando así construir la parte de mayor riesgo legal/técnico antes de validar que el resto del producto funciona con un despacho piloto). Documenta la decisión y, si se opta por integrar un proveedor externo, el coste estimado por documento o por mes, antes de convertir esto en una tarea de código.</w:t>
      </w:r>
    </w:p>
    <w:p>
      <w:pPr>
        <w:pBdr>
          <w:bottom w:val="single" w:color="CCCCCC" w:sz="6" w:space="4"/>
        </w:pBdr>
        <w:spacing w:after="200" w:before="100"/>
      </w:pPr>
    </w:p>
    <w:p>
      <w:pPr>
        <w:pStyle w:val="Heading1"/>
        <w:spacing w:after="160" w:before="360"/>
      </w:pPr>
      <w:r>
        <w:t xml:space="preserve">Tareas nuevas: despliegue comercial y piloto (P.1 – P.2)</w:t>
      </w:r>
    </w:p>
    <w:p>
      <w:pPr>
        <w:spacing w:after="160"/>
      </w:pPr>
      <w:r>
        <w:t xml:space="preserve">Añadido el 2026-08-08 a petición explícita de Manuel: consejos de despliegue de cara a vender el producto, y la forma más fiable y económica de conseguir probarlo. P.1 es una tarea de infraestructura normal. P.2, igual que E.2, no es una tarea de código para el agente — es una decisión y una gestión comercial que corresponde a Manuel, documentada aquí para que quede como parte del plan y no se pierda entre las tareas técnicas.</w:t>
      </w:r>
    </w:p>
    <w:p>
      <w:pPr>
        <w:pStyle w:val="Heading3"/>
        <w:spacing w:after="80" w:before="200"/>
      </w:pPr>
      <w:r>
        <w:t xml:space="preserve">P.1. Arquitectura de despliegue del MVP: un único servidor, barato y suficiente</w:t>
      </w:r>
    </w:p>
    <w:p>
      <w:pPr>
        <w:spacing w:after="80"/>
      </w:pPr>
      <w:r>
        <w:rPr>
          <w:b/>
          <w:bCs/>
        </w:rPr>
        <w:t xml:space="preserve">Depende de: </w:t>
      </w:r>
      <w:r>
        <w:t xml:space="preserve">Fase 7.1 (Dockerfile) del plan original; puede prepararse en paralelo con las fases de IA, no hace falta esperar a que estén todas terminadas.</w:t>
      </w:r>
    </w:p>
    <w:p>
      <w:pPr>
        <w:spacing w:after="80"/>
      </w:pPr>
      <w:r>
        <w:rPr>
          <w:b/>
          <w:bCs/>
        </w:rPr>
        <w:t xml:space="preserve">Por qué: </w:t>
      </w:r>
      <w:r>
        <w:t xml:space="preserve">vender el producto exige poder decir dónde viven los datos de un despacho y demostrar que no se pierden — pero no exige, en la fase de piloto con unos pocos despachos, una infraestructura compleja o cara. Sobredimensionar el despliegue antes de tener clientes de pago sería gastar tiempo y dinero en un problema que no existe todavía; no tener ni backups automáticos ni HTTPS sí sería un problema real desde el primer despacho piloto, porque maneja documentos con secreto profesional.</w:t>
      </w:r>
    </w:p>
    <w:p>
      <w:pPr>
        <w:spacing w:after="80"/>
      </w:pPr>
      <w:r>
        <w:rPr>
          <w:b/>
          <w:bCs/>
        </w:rPr>
        <w:t xml:space="preserve">Alcance: </w:t>
      </w:r>
      <w:r>
        <w:t>todos los servicios (Api, Worker, Postgres con pgvector, RabbitMQ, MinIO, el microservicio de OCR) corriendo con docker-compose en un único servidor en la nube dentro de la Unión Europea (el RGPD no exige que sea España concretamente, con que sea UE es suficiente — aunque conviene tener localizada una alternativa con centro de datos en España para el despacho que lo pregunte explícitamente), con HTTPS automático, backups automáticos fuera de ese mismo servidor, y un aviso si algo se cae. Fijar un tamaño de disco SSD de partida (por ejemplo 200 GB) en vez de dejarlo implícito, y usar un índice IVFFlat para pgvector en lugar de HNSW: para el volumen de consultas de un despacho pequeño (búsquedas y preguntas al chat puntuales, no de alto tráfico), IVFFlat ocupa sustancialmente menos disco y es más barato de mantener, a cambio de una búsqueda por similitud ligeramente aproximada en vez de exacta — un compromiso razonable para este perfil de uso. El crecimiento real a vigilar no es el texto de los fragmentos (pequeño) sino sus embeddings e índices; la política de retención y purga de C.2 es lo que evita que esto crezca sin límite a medida que expiran expedientes antiguos, no una medida de infraestructura aparte.</w:t>
      </w:r>
    </w:p>
    <w:p>
      <w:pPr>
        <w:spacing w:after="80"/>
      </w:pPr>
      <w:r>
        <w:rPr>
          <w:b/>
          <w:bCs/>
        </w:rPr>
        <w:t xml:space="preserve">Criterio de terminado: </w:t>
      </w:r>
      <w:r>
        <w:t>el dominio del producto responde por HTTPS sin configuración manual de certificados; existe un backup diario de Postgres y de los documentos de MinIO copiado a un almacenamiento distinto del servidor principal, y se ha probado al menos una restauración completa desde ese backup (no basta con que el backup se genere, hay que haber comprobado que se puede recuperar de verdad); un servicio de comprobación avisa si la Api deja de responder. Existe una comprobación periódica simple (consulta programada o script) del tamaño real de la tabla FragmentoDocumento y sus índices (pg_total_relation_size), documentada para poder decidir con datos reales cuándo ampliar disco, en vez de suponerlo de antemano.</w:t>
      </w:r>
    </w:p>
    <w:p>
      <w:pPr>
        <w:pBdr>
          <w:left w:val="single" w:color="999999" w:sz="12" w:space="8"/>
        </w:pBdr>
        <w:spacing w:after="240" w:before="60"/>
        <w:ind w:left="431"/>
      </w:pPr>
      <w:r>
        <w:rPr>
          <w:b/>
          <w:bCs/>
          <w:i/>
          <w:iCs/>
          <w:color w:val="444444"/>
        </w:rPr>
        <w:t xml:space="preserve">Prompt para el agente: </w:t>
      </w:r>
      <w:r>
        <w:rPr>
          <w:i/>
          <w:iCs/>
          <w:color w:val="444444"/>
        </w:rPr>
        <w:t xml:space="preserve">Despliega los servicios con docker-compose en una VPS con recursos suficientes para correr Postgres+pgvector, RabbitMQ, MinIO, la Api, el Worker y el microservicio de OCR a la vez, reservando núcleos de CPU para el OCR sin dejar sin recursos al resto (ver IA.2c); una referencia de tamaño razonable para el piloto es 8 vCPU / 16 GB RAM. Pon delante un proxy inverso con HTTPS automático (Caddy es la opción más simple: gestiona el certificado solo). Programa un job diario que haga pg_dump de Postgres y sincronice el bucket de MinIO hacia un almacenamiento de objetos distinto del servidor (barato y compatible con S3), y documenta/prueba una restauración completa de ese backup en un entorno de prueba, no solo la generación del backup. Añade un chequeo de disponibilidad simple (un servicio externo o autoalojado que compruebe periódicamente que la Api responde) con aviso por email o similar si falla. No optimices todavía para múltiples servidores ni para escalado automático — eso solo tiene sentido cuando haya despachos de pago suficientes para justificarlo, y el plan de crecimiento (separar el microservicio de OCR a su propio servidor cuando el volumen lo pida) puede documentarse sin implementarse aún.</w:t>
      </w:r>
    </w:p>
    <w:p>
      <w:pPr>
        <w:spacing w:after="160"/>
      </w:pPr>
      <w:r>
        <w:rPr>
          <w:b/>
          <w:bCs/>
        </w:rPr>
        <w:t xml:space="preserve">Aclaración de alcance (2026-08-24): </w:t>
      </w:r>
      <w:r>
        <w:t xml:space="preserve">Manuel aclaró explícitamente que la meta del proyecto no es mantener en marcha un único despacho piloto, sino escalar comercialmente al mayor número de despachos posible — el éxito del desarrollo se mide en eso. Esto no cambia el alcance de P.1 en sí: sigue siendo la arquitectura correcta para el MVP y para el piloto de P.2, y sobredimensionar antes de tener clientes de pago seguiría siendo un error. Lo que sí fija es que el servidor único de P.1 es un punto de partida a evolucionar, no el destino final, y conviene dejar documentado desde ahora — sin implementarlo todavía, ver el prompt de arriba — qué habrá que cambiar cuando el número de despachos de pago lo justifique: alta disponibilidad de RabbitMQ y varias réplicas del Worker en paralelo (ya soportado de forma nativa por MassTransit, sin cambios de código); escalado horizontal de la Api con varias instancias detrás de un balanceador dentro de la UE — no una red de edge computing global, porque los despachos son de jurisdicción española y la latencia ya es baja desde un único punto en la UE —, terreno que corresponde a la skill legaltech-saas-kubernetes-deployment cuando se retome la infraestructura; pooling de conexiones a Postgres explícito (tamaño de pool de Npgsql fijado, PgBouncer delante en cuanto haya más de una instancia de la Api contra la misma base de datos); y una caché de capa cero (tipo Redis/Upstash) para que los límites de uso por tenant (por ejemplo el límite mensual de preguntas de IA.5) y el rate limiting se compartan entre instancias de la Api, en vez de un contador en memoria local que deja de ser fiable con más de un nodo. La base de datos multi-tenant (RLS, tenant_id) ya está bien orientada a este crecimiento y no necesita cambios.</w:t>
      </w:r>
    </w:p>
    <w:p>
      <w:pPr>
        <w:pStyle w:val="Heading3"/>
        <w:spacing w:after="80" w:before="200"/>
      </w:pPr>
      <w:r>
        <w:t xml:space="preserve">P.2. Piloto con despachos reales — la validación más fiable y más barata no es más infraestructura</w:t>
      </w:r>
    </w:p>
    <w:p>
      <w:pPr>
        <w:spacing w:after="80"/>
      </w:pPr>
      <w:r>
        <w:rPr>
          <w:b/>
          <w:bCs/>
        </w:rPr>
        <w:t xml:space="preserve">Depende de: </w:t>
      </w:r>
      <w:r>
        <w:t xml:space="preserve">ninguna estrictamente, pero conviene tener ya P.1 (algo desplegado y estable que enseñar) y, si es posible, alguna de las pantallas de la Fase 6.</w:t>
      </w:r>
    </w:p>
    <w:p>
      <w:pPr>
        <w:spacing w:after="80"/>
      </w:pPr>
      <w:r>
        <w:rPr>
          <w:b/>
          <w:bCs/>
        </w:rPr>
        <w:t xml:space="preserve">Por qué: </w:t>
      </w:r>
      <w:r>
        <w:t xml:space="preserve">un despacho real, usando el producto con un caso real (aunque sea uno solo), vale más que cualquier cantidad de pruebas sintéticas o paneles de usuarios genéricos: valida a la vez la UX (¿un abogado de verdad lo usa sin ayuda?), el rendimiento del OCR contra un expediente real (el mismo requisito ya fijado en IA.2c) y si el producto resuelve un problema por el que alguien pagaría — y todo esto sin gastar en servicios de testing de pago, que además darían opiniones de gente que no es abogado y por tanto no sirven para validar esto.</w:t>
      </w:r>
    </w:p>
    <w:p>
      <w:pPr>
        <w:spacing w:after="80"/>
      </w:pPr>
      <w:r>
        <w:rPr>
          <w:b/>
          <w:bCs/>
        </w:rPr>
        <w:t xml:space="preserve">Alcance: </w:t>
      </w:r>
      <w:r>
        <w:t xml:space="preserve">conseguir 1-2 despachos piloto dispuestos a usar el producto gratis o muy descontado durante unos meses a cambio de feedback estructurado y de poder probar el pipeline contra al menos un expediente real suyo (anonimizado si hace falta), formalizando la cesión de esos datos con un contrato de encargado de tratamiento (RGPD art. 28) aunque el piloto sea gratuito — no solo para cumplir la norma, también porque un despacho se toma más en serio un producto que ya trata sus datos con ese nivel de formalidad.</w:t>
      </w:r>
    </w:p>
    <w:p>
      <w:pPr>
        <w:spacing w:after="80"/>
      </w:pPr>
      <w:r>
        <w:rPr>
          <w:b/>
          <w:bCs/>
        </w:rPr>
        <w:t xml:space="preserve">Criterio de terminado: </w:t>
      </w:r>
      <w:r>
        <w:t xml:space="preserve">hay al menos un despacho real usando el producto con al menos un expediente real (no ficticio) cargado, existe feedback documentado de una sesión de uso real (qué entendió sin ayuda, qué le costó, qué echó en falta), y existe un contrato de encargado de tratamiento firmado con ese despacho, aunque el piloto no sea de pago.</w:t>
      </w:r>
    </w:p>
    <w:p>
      <w:pPr>
        <w:pBdr>
          <w:left w:val="single" w:color="999999" w:sz="12" w:space="8"/>
        </w:pBdr>
        <w:spacing w:after="240" w:before="60"/>
        <w:ind w:left="431"/>
      </w:pPr>
      <w:r>
        <w:rPr>
          <w:b/>
          <w:bCs/>
          <w:i/>
          <w:iCs/>
          <w:color w:val="444444"/>
        </w:rPr>
        <w:t xml:space="preserve">Prompt para el agente: </w:t>
      </w:r>
      <w:r>
        <w:rPr>
          <w:i/>
          <w:iCs/>
          <w:color w:val="444444"/>
        </w:rPr>
        <w:t xml:space="preserve">Esta tarea no es para el agente de código, es para Manuel. Sugerencias concretas por orden de coste/fiabilidad: (1) la red personal/profesional propia es la vía más barata y más fiable — un abogado conocido, aunque sea uno solo para empezar, da feedback sincero mucho antes que un desconocido; (2) si no hay contacto directo, el Colegio de Abogados de la provincia suele tener un grupo o interés en legaltech/transformación digital y puede poner en contacto con despachos abiertos a probar herramientas nuevas — la vía de un colegio da más confianza a un despacho que un contacto frío de un desarrollador desconocido; (3) evita pagar por plataformas de testing de usuarios genéricas en esta fase: no son abogados y no van a poder valorar si el flujo de un expediente tiene sentido. Al conseguir un despacho interesado, ofrece un periodo gratuito (por ejemplo 3-6 meses) a cambio explícito de: una sesión de uso observada o grabada (puede reutilizarse el guion de entrevista de la skill despacho-legal-persona, adaptado a una sesión real en vez de simulada), y permiso para procesar al menos un expediente real suyo (anonimizando nombres de terceros si el despacho lo pide) para la prueba de rendimiento de OCR de IA.2c. Antes de tocar ese expediente real, firma con el despacho un contrato de encargado de tratamiento sencillo (puede basarse en el modelo de cumplimiento_rgpd.docx) que deje claro dónde se alojan los datos, cuánto tiempo se conservan durante el piloto y qué pasa con ellos si el piloto termina.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2026-08-09T17:08:02.841Z</dcterms:created>
  <dcterms:modified xsi:type="dcterms:W3CDTF">2026-08-09T17:08:02.842Z</dcterms:modified>
</cp:coreProperties>
</file>

<file path=docProps/custom.xml><?xml version="1.0" encoding="utf-8"?>
<Properties xmlns="http://schemas.openxmlformats.org/officeDocument/2006/custom-properties" xmlns:vt="http://schemas.openxmlformats.org/officeDocument/2006/docPropsVTypes"/>
</file>