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Próximas acciones: de los datos ficticios a un Login y un Panel principal operativos</w:t>
      </w:r>
    </w:p>
    <w:p>
      <w:pPr>
        <w:spacing w:after="240"/>
      </w:pPr>
      <w:r>
        <w:rPr>
          <w:i/>
          <w:iCs/>
          <w:color w:val="555555"/>
        </w:rPr>
        <w:t xml:space="preserve">Legal Case Management — hoja de ruta a partir del análisis real de src.zip, 2026-09-19</w:t>
      </w:r>
    </w:p>
    <w:p>
      <w:pPr>
        <w:spacing w:after="160"/>
      </w:pPr>
      <w:r>
        <w:t xml:space="preserve">Este documento traduce en pasos concretos, en orden, la petición de Manuel del 2026-09-19: analizado src.zip (el backend real tal y como está hoy), empezar por un relleno de datos ficticios y avanzar desde ahí hacia un Login y un Panel principal que hablen de verdad con la API (no solo HTML estático). No sustituye a indice_estado_y_proximos_pasos.docx (el estado completo del proyecto) ni a plan_desarrollo_secuencial.docx (el detalle técnico de cada tarea de la Fase 6, con su prompt de agente) — es un resumen ejecutable de ambos, centrado solo en lo que hace falta para este primer tramo. Se irá actualizando a medida que cada paso se complete.</w:t>
      </w:r>
    </w:p>
    <w:p>
      <w:pPr>
        <w:pStyle w:val="Heading1"/>
        <w:spacing w:after="160" w:before="360"/>
      </w:pPr>
      <w:r>
        <w:t xml:space="preserve">Hecho</w:t>
      </w:r>
    </w:p>
    <w:p>
      <w:pPr>
        <w:spacing w:after="160"/>
      </w:pPr>
      <w:r>
        <w:rPr>
          <w:b/>
          <w:bCs/>
          <w:color w:val="1B3A5C"/>
        </w:rPr>
        <w:t xml:space="preserve">Paso 0. </w:t>
      </w:r>
      <w:r>
        <w:t xml:space="preserve">Datos ficticios sembrados en el esquema real. Se entregó seed_datos_ficticios.sql y ya está guardado junto a los demás scripts SQL del proyecto. Reutiliza los mismos 6 expedientes, clientes, plazos y facturas que ya viste y validaste en mockup_pantallas_compas.html — para que al conectar el Login y el Panel principal reales veas "la misma demo, ahora de verdad", no un despacho distinto inventado de cero.</w:t>
      </w:r>
    </w:p>
    <w:p>
      <w:pPr>
        <w:spacing w:after="160"/>
      </w:pPr>
      <w:r>
        <w:t xml:space="preserve">Cómo ejecutarlo (como </w:t>
      </w:r>
      <w:r>
        <w:rPr>
          <w:i/>
          <w:iCs/>
        </w:rPr>
        <w:t xml:space="preserve">legalcase</w:t>
      </w:r>
      <w:r>
        <w:t xml:space="preserve">, el rol superusuario que corre las migraciones, no como </w:t>
      </w:r>
      <w:r>
        <w:rPr>
          <w:i/>
          <w:iCs/>
        </w:rPr>
        <w:t xml:space="preserve">legalcase_app</w:t>
      </w:r>
      <w:r>
        <w:t xml:space="preserve">):</w:t>
      </w:r>
    </w:p>
    <w:p>
      <w:pPr>
        <w:pStyle w:val="ListParagraph"/>
        <w:numPr>
          <w:ilvl w:val="0"/>
          <w:numId w:val="1"/>
        </w:numPr>
        <w:spacing w:after="120"/>
      </w:pPr>
      <w:r>
        <w:rPr>
          <w:rFonts w:ascii="Consolas" w:cs="Consolas" w:eastAsia="Consolas" w:hAnsi="Consolas"/>
        </w:rPr>
        <w:t xml:space="preserve">psql -h localhost -U legalcase -d legalcase -f seed_datos_ficticios.sql</w:t>
      </w:r>
    </w:p>
    <w:p>
      <w:pPr>
        <w:spacing w:after="160"/>
      </w:pPr>
      <w:r>
        <w:rPr>
          <w:i/>
          <w:iCs/>
          <w:color w:val="555555"/>
        </w:rPr>
        <w:t xml:space="preserve">Deliberadamente fuera de este primer relleno: documentos_adjuntos/fragmentos/entidades_extraidas/eventos_cronologia (necesitan objetos reales en SeaweedFS, no tiene sentido a la vez que Login/Panel principal) y password_hash real (placeholder explícito, no sirve para iniciar sesión de verdad todavía — ver el paso de decisión más abajo).</w:t>
      </w:r>
    </w:p>
    <w:p>
      <w:pPr>
        <w:pStyle w:val="Heading1"/>
        <w:spacing w:after="160" w:before="360"/>
      </w:pPr>
      <w:r>
        <w:t xml:space="preserve">Paso 1 — Levantar el proyecto Blazor Server</w:t>
      </w:r>
    </w:p>
    <w:p>
      <w:pPr>
        <w:spacing w:after="160"/>
      </w:pPr>
      <w:r>
        <w:t xml:space="preserve">Corresponde a las tareas 6.0-6.2 de plan_desarrollo_secuencial.docx, en este orden porque cada una depende de la anterior:</w:t>
      </w:r>
    </w:p>
    <w:p>
      <w:pPr>
        <w:pStyle w:val="ListParagraph"/>
        <w:numPr>
          <w:ilvl w:val="0"/>
          <w:numId w:val="1"/>
        </w:numPr>
        <w:spacing w:after="120"/>
      </w:pPr>
      <w:r>
        <w:rPr>
          <w:b/>
          <w:bCs/>
          <w:color w:val="2E7D32"/>
        </w:rPr>
        <w:t xml:space="preserve">6.0. </w:t>
      </w:r>
      <w:r>
        <w:t xml:space="preserve">Sistema de diseño (MudTheme): color, tipografía, breakpoints y componentes compartidos (BotonCopiar, etc.) — se define una vez para que las pantallas siguientes no improvisen cada una la suya.</w:t>
      </w:r>
    </w:p>
    <w:p>
      <w:pPr>
        <w:pStyle w:val="ListParagraph"/>
        <w:numPr>
          <w:ilvl w:val="0"/>
          <w:numId w:val="1"/>
        </w:numPr>
        <w:spacing w:after="120"/>
      </w:pPr>
      <w:r>
        <w:rPr>
          <w:b/>
          <w:bCs/>
          <w:color w:val="2E7D32"/>
        </w:rPr>
        <w:t xml:space="preserve">6.1. </w:t>
      </w:r>
      <w:r>
        <w:t xml:space="preserve">Scaffold del proyecto Blazor Server (.NET 8) + MudBlazor dentro de la solución existente (por ejemplo src/Web), con el MudTheme de 6.0 ya registrado.</w:t>
      </w:r>
    </w:p>
    <w:p>
      <w:pPr>
        <w:pStyle w:val="ListParagraph"/>
        <w:numPr>
          <w:ilvl w:val="0"/>
          <w:numId w:val="1"/>
        </w:numPr>
        <w:spacing w:after="120"/>
      </w:pPr>
      <w:r>
        <w:rPr>
          <w:b/>
          <w:bCs/>
          <w:color w:val="2E7D32"/>
        </w:rPr>
        <w:t xml:space="preserve">6.2. </w:t>
      </w:r>
      <w:r>
        <w:t xml:space="preserve">Layout general (MudLayout, navegación lateral, cabecera) y la pantalla de sesión — con la decisión ya tomada, ver abajo.</w:t>
      </w:r>
    </w:p>
    <w:p>
      <w:pPr>
        <w:pStyle w:val="Heading1"/>
        <w:spacing w:after="160" w:before="360"/>
      </w:pPr>
      <w:r>
        <w:t xml:space="preserve">Decidido — cómo entra el Login (Opción A)</w:t>
      </w:r>
    </w:p>
    <w:p>
      <w:pPr>
        <w:spacing w:after="160"/>
      </w:pPr>
      <w:r>
        <w:t xml:space="preserve">Manuel decidió el 2026-09-19, entre las dos opciones planteadas: se construye ya el formulario de Login con su aspecto final (email + contraseña, validación, mensaje de error legible), pero por dentro sigue llamando a POST /api/auth/dev-token — el único endpoint de autenticación que existe hoy, confirmado por src.zip, y que ni siquiera comprueba contraseña, solo emite un JWT a partir de un tenantId. El login real (tarea 3.1) se conectará más adelante al mismo TokenProvider sin rehacer el resto de la pantalla, y no bloquea el resto de la Fase 6.</w:t>
      </w:r>
    </w:p>
    <w:p>
      <w:pPr>
        <w:spacing w:after="160"/>
      </w:pPr>
      <w:r>
        <w:rPr>
          <w:i/>
          <w:iCs/>
          <w:color w:val="555555"/>
        </w:rPr>
        <w:t xml:space="preserve">El riesgo asumido con esta decisión, para que quede explícito: mientras dure, cualquiera que conozca un tenantId válido de desarrollo puede "iniciar sesión" como ese despacho sin contraseña real. Razonable para una demo interna o para seguir avanzando en local; no algo que deba llegar a un despacho piloto real sin haber resuelto antes la tarea 3.1 (la opción descartada, no eliminada — sigue disponible si hace falta adelantarla más adelante).</w:t>
      </w:r>
    </w:p>
    <w:p>
      <w:pPr>
        <w:pStyle w:val="Heading1"/>
        <w:spacing w:after="160" w:before="360"/>
      </w:pPr>
      <w:r>
        <w:t xml:space="preserve">Decidido — fidelidad visual con el mockup</w:t>
      </w:r>
    </w:p>
    <w:p>
      <w:pPr>
        <w:spacing w:after="160"/>
      </w:pPr>
      <w:r>
        <w:t xml:space="preserve">Manuel pidió también, el mismo día, atar los prompts de 6.2 y 6.3 al HTML real del mockup en vez de a los wireframes de baja fidelidad de fase0_dominio_ux.docx. Hecho: plan_desarrollo_secuencial.docx ya incluye en ambas tareas una nota "Referencia" que apunta literalmente a mockup_pantallas_compas.html (secciones screen-login y screen-dashboard) y una instrucción explícita en el prompt de agente para traducir esa disposición, textos e iconos a Razor+MudBlazor en vez de diseñar de cero — mismo patrón ya usado para la pantalla de Documentos (D.3b).</w:t>
      </w:r>
    </w:p>
    <w:p>
      <w:pPr>
        <w:pStyle w:val="Heading1"/>
        <w:spacing w:after="160" w:before="360"/>
      </w:pPr>
      <w:r>
        <w:t xml:space="preserve">Decidido — MudBlazor confirmado, con tipografía personalizada</w:t>
      </w:r>
    </w:p>
    <w:p>
      <w:pPr>
        <w:spacing w:after="160"/>
      </w:pPr>
      <w:r>
        <w:t xml:space="preserve">Para resolver la duda de si el aspecto por defecto de MudBlazor (Material) se alejaría demasiado del diseño plano validado en mockup_pantallas_compas.html, se construyó un segundo mockup completo con el lenguaje visual real de MudBlazor (mockup_pantallas_compas_mudblazor.html) para comparar ambos lado a lado. Tras revisarlo, Manuel decidió el 2026-09-19 quedarse con MudBlazor para las tareas 6.1-6.9, por facilidad de mantenimiento frente a la alternativa de CSS a medida barajada antes — pidiendo antes tres ajustes concretos, ya hechos sobre ese segundo mockup: chips de estado en tono suave en vez de color sólido, bordes de campo más redondeados y un checkbox visible en cada fila del listado de OCR (antes solo existía el de "seleccionar todos", sin forma de saber que cada fila era seleccionable por separado).</w:t>
      </w:r>
    </w:p>
    <w:p>
      <w:pPr>
        <w:spacing w:after="160"/>
      </w:pPr>
      <w:r>
        <w:t xml:space="preserve">Sobre esa base, Manuel decidió además personalizar deliberadamente la tipografía del MudTheme (tarea 6.0) para acercarse más al mockup original, en vez de quedarse con el Roboto por defecto de MudBlazor: Fraunces (serif) para títulos de pantalla, las cifras grandes de las tarjetas de estadística, la marca «Compás» y los títulos del login; Public Sans para el resto de la interfaz. Ambas fuentes auto-alojadas como ficheros propios (no cargadas desde el CDN de Google Fonts en cada visita, que enviaría la IP de cada visitante a Google — un problema real de RGPD en la UE, y contradictorio con el propio texto de la pantalla de acceso que promete "datos alojados en la UE"). plan_desarrollo_secuencial.docx (tarea 6.0) ya recoge esta decisión con instrucciones precisas para el agente, incluyendo el matiz de que hay que fijar la fuente variante por variante (H1-H6, Body1, Body2, Botón…) porque no siempre se propaga sola desde el nivel por defecto del tema.</w:t>
      </w:r>
    </w:p>
    <w:p>
      <w:pPr>
        <w:spacing w:after="160"/>
      </w:pPr>
      <w:r>
        <w:rPr>
          <w:i/>
          <w:iCs/>
          <w:color w:val="555555"/>
        </w:rPr>
        <w:t xml:space="preserve">Por qué esto no complica el mantenimiento: el cambio de tipografía se fija una sola vez, de forma centralizada, en el tema — no se repite pantalla por pantalla. Cualquier pantalla nueva construida con los componentes estándar de Mud hereda la tipografía automáticamente. Es una decisión distinta, y de mucho menor riesgo, que el enfoque híbrido de CSS a medida que se descartó.</w:t>
      </w:r>
    </w:p>
    <w:p>
      <w:pPr>
        <w:pStyle w:val="Heading1"/>
        <w:spacing w:after="160" w:before="360"/>
      </w:pPr>
      <w:r>
        <w:t xml:space="preserve">Paso 2 — Panel principal con datos reales (tarea 6.3)</w:t>
      </w:r>
    </w:p>
    <w:p>
      <w:pPr>
        <w:spacing w:after="160"/>
      </w:pPr>
      <w:r>
        <w:t xml:space="preserve">Con el Login dejando un token válido en el TokenProvider, el Panel principal deja de ser el HTML estático del mockup y pasa a leer de la API real: los Plazos del tenant autenticado ordenados por fecha_limite (los 3 ya sembrados por el seed, con fechas relativas a hoy para que sigan pareciendo "próximos") y el listado de Expedientes activos con materia y estado (los 6 del seed). Es la primera pantalla donde Manuel verá el efecto directo del relleno de datos ficticios. Las 4 tarjetas de estadísticas, "Actividad reciente" y "Cola de OCR" del mockup no tienen todavía un origen de datos real (dependen del pipeline de OCR/IA) — se dejan en 0 o con un aviso, nunca con los números fijos del mockup.</w:t>
      </w:r>
    </w:p>
    <w:p>
      <w:pPr>
        <w:pStyle w:val="Heading1"/>
        <w:spacing w:after="160" w:before="360"/>
      </w:pPr>
      <w:r>
        <w:t xml:space="preserve">Qué queda fuera de este primer tramo</w:t>
      </w:r>
    </w:p>
    <w:p>
      <w:pPr>
        <w:spacing w:after="160"/>
      </w:pPr>
      <w:r>
        <w:t xml:space="preserve">Documentos/OCR/Foliado, Cronología, Chat con citas y Revisión de entidades (tareas 6.5-6.7) esperan a que su backend correspondiente (IA.2b-IA.5) esté servido por datos reales, no solo por el seed — necesitan objetos reales en SeaweedFS y el pipeline de IA corriendo, no tiene sentido adelantarlos junto con Login/Panel principal. La comparativa spaCy vs. modelo de Hugging Face para IA.3 (Cronología) sigue aparcada tal y como Manuel pidió el 2026-09-08.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2026-09-19T06:56:03.082Z</dcterms:created>
  <dcterms:modified xsi:type="dcterms:W3CDTF">2026-09-19T06:56:03.090Z</dcterms:modified>
</cp:coreProperties>
</file>

<file path=docProps/custom.xml><?xml version="1.0" encoding="utf-8"?>
<Properties xmlns="http://schemas.openxmlformats.org/officeDocument/2006/custom-properties" xmlns:vt="http://schemas.openxmlformats.org/officeDocument/2006/docPropsVTypes"/>
</file>