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CACFB" w14:textId="77777777" w:rsidR="00055D2D" w:rsidRDefault="00000000">
      <w:pPr>
        <w:pStyle w:val="Ttulo"/>
        <w:spacing w:after="100"/>
      </w:pPr>
      <w:r>
        <w:t>Software de Automatización para Despachos de Abogados</w:t>
      </w:r>
    </w:p>
    <w:p w14:paraId="2CF512DE" w14:textId="77777777" w:rsidR="00055D2D" w:rsidRDefault="00000000">
      <w:pPr>
        <w:spacing w:after="400"/>
      </w:pPr>
      <w:r>
        <w:rPr>
          <w:i/>
          <w:iCs/>
          <w:color w:val="555555"/>
        </w:rPr>
        <w:t>Documento de contexto del proyecto — julio 2026</w:t>
      </w:r>
    </w:p>
    <w:p w14:paraId="50E1A7E3" w14:textId="77777777" w:rsidR="00055D2D" w:rsidRDefault="00000000">
      <w:pPr>
        <w:spacing w:after="160"/>
      </w:pPr>
      <w:r>
        <w:t>Este documento resume el estado, las decisiones y el razonamiento detrás de un proyecto de software de gestión de expedientes y automatización para despachos de abogados, desarrollado por Manuel en horario fuera de su trabajo principal. Está pensado como material de contexto para retomar la conversación con continuidad, sin necesidad de repetir el razonamiento ya cerrado.</w:t>
      </w:r>
    </w:p>
    <w:p w14:paraId="7BF2961D" w14:textId="77777777" w:rsidR="00055D2D" w:rsidRDefault="00055D2D">
      <w:pPr>
        <w:pBdr>
          <w:bottom w:val="single" w:sz="6" w:space="1" w:color="AAAAAA"/>
        </w:pBdr>
        <w:spacing w:after="300"/>
      </w:pPr>
    </w:p>
    <w:p w14:paraId="2475D0E5" w14:textId="77777777" w:rsidR="00055D2D" w:rsidRDefault="00000000">
      <w:pPr>
        <w:pStyle w:val="Ttulo1"/>
        <w:spacing w:before="400" w:after="200"/>
      </w:pPr>
      <w:r>
        <w:t>1. Visión del producto</w:t>
      </w:r>
    </w:p>
    <w:p w14:paraId="56DBAC7E" w14:textId="77777777" w:rsidR="00055D2D" w:rsidRDefault="00000000">
      <w:pPr>
        <w:spacing w:after="160"/>
      </w:pPr>
      <w:r>
        <w:t xml:space="preserve">Sistema de gestión de expedientes legales (case </w:t>
      </w:r>
      <w:proofErr w:type="spellStart"/>
      <w:r>
        <w:t>management</w:t>
      </w:r>
      <w:proofErr w:type="spellEnd"/>
      <w:r>
        <w:t>) con vocación de convertirse en un producto comercializable. El requisito central es que el mismo sistema sirva tanto a despachos pequeños (unos pocos abogados) como a despachos muy grandes (del tamaño de Garrigues), sin que el diseño tenga que rehacerse al cambiar de escala. Robustez, seguridad y aislamiento de datos entre clientes (</w:t>
      </w:r>
      <w:proofErr w:type="spellStart"/>
      <w:r>
        <w:t>tenants</w:t>
      </w:r>
      <w:proofErr w:type="spellEnd"/>
      <w:r>
        <w:t>) son requisitos de diseño desde el primer día, no añadidos posteriores.</w:t>
      </w:r>
    </w:p>
    <w:p w14:paraId="44754CAB" w14:textId="77777777" w:rsidR="00055D2D" w:rsidRDefault="00000000">
      <w:pPr>
        <w:pStyle w:val="Ttulo1"/>
        <w:spacing w:before="400" w:after="200"/>
      </w:pPr>
      <w:r>
        <w:t>2. Mercado y estrategia competitiva</w:t>
      </w:r>
    </w:p>
    <w:p w14:paraId="630B0F5D" w14:textId="77777777" w:rsidR="00055D2D" w:rsidRDefault="00000000">
      <w:pPr>
        <w:spacing w:after="160"/>
      </w:pPr>
      <w:r>
        <w:t>Investigación de mercado (julio 2026) confirma que el sector de software jurídico en España ya está relativamente maduro: el 67% de los despachos con más de tres abogados usa ya algún software de gestión, frente al 41% en 2023. Actores establecidos incluyen:</w:t>
      </w:r>
    </w:p>
    <w:p w14:paraId="3A595B6C" w14:textId="77777777" w:rsidR="00055D2D" w:rsidRDefault="00000000">
      <w:pPr>
        <w:pStyle w:val="Prrafodelista"/>
        <w:numPr>
          <w:ilvl w:val="0"/>
          <w:numId w:val="2"/>
        </w:numPr>
        <w:spacing w:after="100"/>
      </w:pPr>
      <w:proofErr w:type="spellStart"/>
      <w:r>
        <w:t>Kleos</w:t>
      </w:r>
      <w:proofErr w:type="spellEnd"/>
      <w:r>
        <w:t xml:space="preserve"> (Wolters </w:t>
      </w:r>
      <w:proofErr w:type="spellStart"/>
      <w:r>
        <w:t>Kluwer</w:t>
      </w:r>
      <w:proofErr w:type="spellEnd"/>
      <w:r>
        <w:t xml:space="preserve">) — solución </w:t>
      </w:r>
      <w:proofErr w:type="spellStart"/>
      <w:r>
        <w:t>cloud</w:t>
      </w:r>
      <w:proofErr w:type="spellEnd"/>
      <w:r>
        <w:t xml:space="preserve"> con fuerte integración Microsoft 365.</w:t>
      </w:r>
    </w:p>
    <w:p w14:paraId="111502A6" w14:textId="77777777" w:rsidR="00055D2D" w:rsidRDefault="00000000">
      <w:pPr>
        <w:pStyle w:val="Prrafodelista"/>
        <w:numPr>
          <w:ilvl w:val="0"/>
          <w:numId w:val="2"/>
        </w:numPr>
        <w:spacing w:after="100"/>
      </w:pPr>
      <w:proofErr w:type="spellStart"/>
      <w:r>
        <w:t>Kmaleon</w:t>
      </w:r>
      <w:proofErr w:type="spellEnd"/>
      <w:r>
        <w:t xml:space="preserve"> — ERP jurídico robusto y personalizable, para despachos medianos/grandes.</w:t>
      </w:r>
    </w:p>
    <w:p w14:paraId="6E13478F" w14:textId="77777777" w:rsidR="00055D2D" w:rsidRDefault="00000000">
      <w:pPr>
        <w:pStyle w:val="Prrafodelista"/>
        <w:numPr>
          <w:ilvl w:val="0"/>
          <w:numId w:val="2"/>
        </w:numPr>
        <w:spacing w:after="100"/>
      </w:pPr>
      <w:proofErr w:type="spellStart"/>
      <w:r>
        <w:t>LexON</w:t>
      </w:r>
      <w:proofErr w:type="spellEnd"/>
      <w:r>
        <w:t xml:space="preserve"> — orientado a IA jurídica, dirigido a despachos que facturan más de 250.000 €/año.</w:t>
      </w:r>
    </w:p>
    <w:p w14:paraId="74AD2E0F" w14:textId="77777777" w:rsidR="00055D2D" w:rsidRDefault="00000000">
      <w:pPr>
        <w:pStyle w:val="Prrafodelista"/>
        <w:numPr>
          <w:ilvl w:val="0"/>
          <w:numId w:val="2"/>
        </w:numPr>
        <w:spacing w:after="100"/>
      </w:pPr>
      <w:r>
        <w:t>Tirant Gestión (motor SOFIA 3.0) — integrado con la base jurisprudencial de Tirant Online.</w:t>
      </w:r>
    </w:p>
    <w:p w14:paraId="32CCF20E" w14:textId="77777777" w:rsidR="00055D2D" w:rsidRDefault="00000000">
      <w:pPr>
        <w:pStyle w:val="Prrafodelista"/>
        <w:numPr>
          <w:ilvl w:val="0"/>
          <w:numId w:val="2"/>
        </w:numPr>
        <w:spacing w:after="100"/>
      </w:pPr>
      <w:proofErr w:type="spellStart"/>
      <w:r>
        <w:t>Lexzur</w:t>
      </w:r>
      <w:proofErr w:type="spellEnd"/>
      <w:r>
        <w:t xml:space="preserve"> y Aranzadi Fusión — gestión de casos, documentos, CRM y facturación integrados.</w:t>
      </w:r>
    </w:p>
    <w:p w14:paraId="7B6EDF9E" w14:textId="77777777" w:rsidR="00055D2D" w:rsidRDefault="00000000">
      <w:pPr>
        <w:pStyle w:val="Prrafodelista"/>
        <w:numPr>
          <w:ilvl w:val="0"/>
          <w:numId w:val="2"/>
        </w:numPr>
        <w:spacing w:after="100"/>
      </w:pPr>
      <w:proofErr w:type="spellStart"/>
      <w:r>
        <w:t>Clio</w:t>
      </w:r>
      <w:proofErr w:type="spellEnd"/>
      <w:r>
        <w:t xml:space="preserve"> — líder internacional, pero no adaptado al derecho español.</w:t>
      </w:r>
    </w:p>
    <w:p w14:paraId="6785BD1D" w14:textId="77777777" w:rsidR="00055D2D" w:rsidRDefault="00000000">
      <w:pPr>
        <w:spacing w:after="160"/>
      </w:pPr>
      <w:r>
        <w:t>Conclusión estratégica: no tiene sentido competir por ser “el primero” (ese mercado ya no está vacío), ni tampoco replicar el alcance completo de un ERP jurídico grande con recursos de desarrollo nocturno/fin de semana. La estrategia acordada es:</w:t>
      </w:r>
    </w:p>
    <w:p w14:paraId="10B4E02C" w14:textId="77777777" w:rsidR="00055D2D" w:rsidRDefault="00000000">
      <w:pPr>
        <w:pStyle w:val="Prrafodelista"/>
        <w:numPr>
          <w:ilvl w:val="0"/>
          <w:numId w:val="2"/>
        </w:numPr>
        <w:spacing w:after="100"/>
      </w:pPr>
      <w:r>
        <w:t>Apuntar a un nicho desatendido — despachos pequeños para los que las soluciones grandes resultan sobredimensionadas o caras.</w:t>
      </w:r>
    </w:p>
    <w:p w14:paraId="0608BB46" w14:textId="77777777" w:rsidR="00055D2D" w:rsidRDefault="00000000">
      <w:pPr>
        <w:pStyle w:val="Prrafodelista"/>
        <w:numPr>
          <w:ilvl w:val="0"/>
          <w:numId w:val="2"/>
        </w:numPr>
        <w:spacing w:after="100"/>
      </w:pPr>
      <w:r>
        <w:t>Validar con un despacho piloto real cuanto antes, en vez de esperar a tener construido el “plan completo”.</w:t>
      </w:r>
    </w:p>
    <w:p w14:paraId="18052441" w14:textId="77777777" w:rsidR="00055D2D" w:rsidRDefault="00000000">
      <w:pPr>
        <w:pStyle w:val="Prrafodelista"/>
        <w:numPr>
          <w:ilvl w:val="0"/>
          <w:numId w:val="2"/>
        </w:numPr>
        <w:spacing w:after="100"/>
      </w:pPr>
      <w:r>
        <w:t xml:space="preserve">Diferenciarse por simplicidad de UX y precio, no por paridad de funcionalidades frente a los </w:t>
      </w:r>
      <w:proofErr w:type="spellStart"/>
      <w:r>
        <w:t>ERPs</w:t>
      </w:r>
      <w:proofErr w:type="spellEnd"/>
      <w:r>
        <w:t xml:space="preserve"> establecidos.</w:t>
      </w:r>
    </w:p>
    <w:p w14:paraId="184C9174" w14:textId="77777777" w:rsidR="00055D2D" w:rsidRDefault="00000000">
      <w:pPr>
        <w:pStyle w:val="Ttulo1"/>
        <w:spacing w:before="400" w:after="200"/>
      </w:pPr>
      <w:r>
        <w:t>3. Arquitectura técnica</w:t>
      </w:r>
    </w:p>
    <w:p w14:paraId="4C74DFB0" w14:textId="77777777" w:rsidR="00055D2D" w:rsidRDefault="00000000">
      <w:pPr>
        <w:pStyle w:val="Ttulo2"/>
        <w:spacing w:before="300" w:after="150"/>
      </w:pPr>
      <w:r>
        <w:t xml:space="preserve">3.1 </w:t>
      </w:r>
      <w:proofErr w:type="spellStart"/>
      <w:r>
        <w:t>Stack</w:t>
      </w:r>
      <w:proofErr w:type="spellEnd"/>
      <w:r>
        <w:t xml:space="preserve"> elegido</w:t>
      </w:r>
    </w:p>
    <w:p w14:paraId="3AB646E4" w14:textId="77777777" w:rsidR="00055D2D" w:rsidRDefault="00000000">
      <w:pPr>
        <w:spacing w:after="160"/>
      </w:pPr>
      <w:r>
        <w:t>C# / .NET 8, ASP.NET Core Web API (</w:t>
      </w:r>
      <w:proofErr w:type="spellStart"/>
      <w:r>
        <w:t>minimal</w:t>
      </w:r>
      <w:proofErr w:type="spellEnd"/>
      <w:r>
        <w:t xml:space="preserve"> </w:t>
      </w:r>
      <w:proofErr w:type="spellStart"/>
      <w:r>
        <w:t>APIs</w:t>
      </w:r>
      <w:proofErr w:type="spellEnd"/>
      <w:r>
        <w:t xml:space="preserve">), </w:t>
      </w:r>
      <w:proofErr w:type="spellStart"/>
      <w:r>
        <w:t>Entity</w:t>
      </w:r>
      <w:proofErr w:type="spellEnd"/>
      <w:r>
        <w:t xml:space="preserve"> Framework Core con </w:t>
      </w:r>
      <w:proofErr w:type="spellStart"/>
      <w:r>
        <w:t>Npgsql</w:t>
      </w:r>
      <w:proofErr w:type="spellEnd"/>
      <w:r>
        <w:t>. Elegido sobre Python/</w:t>
      </w:r>
      <w:proofErr w:type="spellStart"/>
      <w:r>
        <w:t>FastAPI</w:t>
      </w:r>
      <w:proofErr w:type="spellEnd"/>
      <w:r>
        <w:t xml:space="preserve"> porque el desarrollador tiene mucha más experiencia previa en C#, y esa familiaridad reduce tiempo de depuración más de lo que aporta la sintaxis “más sencilla” de Python en un lenguaje nuevo. El </w:t>
      </w:r>
      <w:r>
        <w:lastRenderedPageBreak/>
        <w:t xml:space="preserve">ecosistema .NET además encaja bien con el resto de piezas: EF Core + </w:t>
      </w:r>
      <w:proofErr w:type="spellStart"/>
      <w:r>
        <w:t>Npgsql</w:t>
      </w:r>
      <w:proofErr w:type="spellEnd"/>
      <w:r>
        <w:t xml:space="preserve"> para </w:t>
      </w:r>
      <w:proofErr w:type="spellStart"/>
      <w:r>
        <w:t>Postgres</w:t>
      </w:r>
      <w:proofErr w:type="spellEnd"/>
      <w:r>
        <w:t xml:space="preserve">, y </w:t>
      </w:r>
      <w:proofErr w:type="spellStart"/>
      <w:r>
        <w:t>MassTransit</w:t>
      </w:r>
      <w:proofErr w:type="spellEnd"/>
      <w:r>
        <w:t xml:space="preserve"> como capa de abstracción de mensajería (ver 3.4).</w:t>
      </w:r>
    </w:p>
    <w:p w14:paraId="7DCA7E81" w14:textId="77777777" w:rsidR="00055D2D" w:rsidRDefault="00000000">
      <w:pPr>
        <w:pStyle w:val="Ttulo2"/>
        <w:spacing w:before="300" w:after="150"/>
      </w:pPr>
      <w:r>
        <w:t>3.2 Base de datos: PostgreSQL</w:t>
      </w:r>
    </w:p>
    <w:p w14:paraId="5C64075C" w14:textId="77777777" w:rsidR="00055D2D" w:rsidRDefault="00000000">
      <w:pPr>
        <w:spacing w:after="160"/>
      </w:pPr>
      <w:r>
        <w:t xml:space="preserve">Se descartó la idea inicial de que </w:t>
      </w:r>
      <w:proofErr w:type="spellStart"/>
      <w:r>
        <w:t>Postgres</w:t>
      </w:r>
      <w:proofErr w:type="spellEnd"/>
      <w:r>
        <w:t xml:space="preserve"> “no aguantaría” el volumen. </w:t>
      </w:r>
      <w:proofErr w:type="spellStart"/>
      <w:r>
        <w:t>Postgres</w:t>
      </w:r>
      <w:proofErr w:type="spellEnd"/>
      <w:r>
        <w:t xml:space="preserve"> es fiable a gran escala (usado en producción por empresas con volúmenes enormes) y ofrece un camino de escalado progresivo sin cambiar de motor:</w:t>
      </w:r>
    </w:p>
    <w:p w14:paraId="047B2EDD" w14:textId="77777777" w:rsidR="00055D2D" w:rsidRDefault="00000000">
      <w:pPr>
        <w:pStyle w:val="Prrafodelista"/>
        <w:numPr>
          <w:ilvl w:val="0"/>
          <w:numId w:val="2"/>
        </w:numPr>
        <w:spacing w:after="100"/>
      </w:pPr>
      <w:r>
        <w:t xml:space="preserve">Particionado de tablas (por fecha, despacho, etc.), réplicas de lectura, </w:t>
      </w:r>
      <w:proofErr w:type="spellStart"/>
      <w:r>
        <w:t>connection</w:t>
      </w:r>
      <w:proofErr w:type="spellEnd"/>
      <w:r>
        <w:t xml:space="preserve"> </w:t>
      </w:r>
      <w:proofErr w:type="spellStart"/>
      <w:r>
        <w:t>pooling</w:t>
      </w:r>
      <w:proofErr w:type="spellEnd"/>
      <w:r>
        <w:t xml:space="preserve"> con </w:t>
      </w:r>
      <w:proofErr w:type="spellStart"/>
      <w:r>
        <w:t>pgbouncer</w:t>
      </w:r>
      <w:proofErr w:type="spellEnd"/>
      <w:r>
        <w:t>.</w:t>
      </w:r>
    </w:p>
    <w:p w14:paraId="04C190FB" w14:textId="77777777" w:rsidR="00055D2D" w:rsidRDefault="00000000">
      <w:pPr>
        <w:pStyle w:val="Prrafodelista"/>
        <w:numPr>
          <w:ilvl w:val="0"/>
          <w:numId w:val="2"/>
        </w:numPr>
        <w:spacing w:after="100"/>
      </w:pPr>
      <w:r>
        <w:t xml:space="preserve">Si un </w:t>
      </w:r>
      <w:proofErr w:type="spellStart"/>
      <w:r>
        <w:t>tenant</w:t>
      </w:r>
      <w:proofErr w:type="spellEnd"/>
      <w:r>
        <w:t xml:space="preserve"> concreto crece mucho: </w:t>
      </w:r>
      <w:proofErr w:type="spellStart"/>
      <w:r>
        <w:t>Citus</w:t>
      </w:r>
      <w:proofErr w:type="spellEnd"/>
      <w:r>
        <w:t xml:space="preserve"> (</w:t>
      </w:r>
      <w:proofErr w:type="spellStart"/>
      <w:r>
        <w:t>sharding</w:t>
      </w:r>
      <w:proofErr w:type="spellEnd"/>
      <w:r>
        <w:t xml:space="preserve"> horizontal sobre </w:t>
      </w:r>
      <w:proofErr w:type="spellStart"/>
      <w:r>
        <w:t>Postgres</w:t>
      </w:r>
      <w:proofErr w:type="spellEnd"/>
      <w:r>
        <w:t xml:space="preserve">, mantenido por Microsoft) o migración de ese </w:t>
      </w:r>
      <w:proofErr w:type="spellStart"/>
      <w:r>
        <w:t>tenant</w:t>
      </w:r>
      <w:proofErr w:type="spellEnd"/>
      <w:r>
        <w:t xml:space="preserve"> a </w:t>
      </w:r>
      <w:proofErr w:type="spellStart"/>
      <w:r>
        <w:t>CockroachDB</w:t>
      </w:r>
      <w:proofErr w:type="spellEnd"/>
      <w:r>
        <w:t xml:space="preserve"> (compatible con el protocolo </w:t>
      </w:r>
      <w:proofErr w:type="spellStart"/>
      <w:r>
        <w:t>Postgres</w:t>
      </w:r>
      <w:proofErr w:type="spellEnd"/>
      <w:r>
        <w:t>, distribuido nativamente).</w:t>
      </w:r>
    </w:p>
    <w:p w14:paraId="10E3A59C" w14:textId="77777777" w:rsidR="00055D2D" w:rsidRDefault="00000000">
      <w:pPr>
        <w:pStyle w:val="Prrafodelista"/>
        <w:numPr>
          <w:ilvl w:val="0"/>
          <w:numId w:val="2"/>
        </w:numPr>
        <w:spacing w:after="100"/>
      </w:pPr>
      <w:r>
        <w:t>Los documentos pesados (</w:t>
      </w:r>
      <w:proofErr w:type="spellStart"/>
      <w:r>
        <w:t>PDFs</w:t>
      </w:r>
      <w:proofErr w:type="spellEnd"/>
      <w:r>
        <w:t>, adjuntos) no viven en la base de datos — van a almacenamiento de objetos (S3/</w:t>
      </w:r>
      <w:proofErr w:type="spellStart"/>
      <w:r>
        <w:t>MinIO</w:t>
      </w:r>
      <w:proofErr w:type="spellEnd"/>
      <w:r>
        <w:t xml:space="preserve">), con solo metadatos en </w:t>
      </w:r>
      <w:proofErr w:type="spellStart"/>
      <w:r>
        <w:t>Postgres</w:t>
      </w:r>
      <w:proofErr w:type="spellEnd"/>
      <w:r>
        <w:t>. Esto elimina buena parte de la preocupación por volumen.</w:t>
      </w:r>
    </w:p>
    <w:p w14:paraId="0854FC89" w14:textId="77777777" w:rsidR="00055D2D" w:rsidRDefault="00000000">
      <w:pPr>
        <w:pStyle w:val="Prrafodelista"/>
        <w:numPr>
          <w:ilvl w:val="0"/>
          <w:numId w:val="2"/>
        </w:numPr>
        <w:spacing w:after="100"/>
      </w:pPr>
      <w:r>
        <w:t>Búsqueda full-</w:t>
      </w:r>
      <w:proofErr w:type="spellStart"/>
      <w:r>
        <w:t>text</w:t>
      </w:r>
      <w:proofErr w:type="spellEnd"/>
      <w:r>
        <w:t xml:space="preserve"> potente sobre el contenido de expedientes: se puede complementar con </w:t>
      </w:r>
      <w:proofErr w:type="spellStart"/>
      <w:r>
        <w:t>Elasticsearch</w:t>
      </w:r>
      <w:proofErr w:type="spellEnd"/>
      <w:r>
        <w:t>/</w:t>
      </w:r>
      <w:proofErr w:type="spellStart"/>
      <w:r>
        <w:t>OpenSearch</w:t>
      </w:r>
      <w:proofErr w:type="spellEnd"/>
      <w:r>
        <w:t xml:space="preserve">, activable por </w:t>
      </w:r>
      <w:proofErr w:type="spellStart"/>
      <w:r>
        <w:t>tenant</w:t>
      </w:r>
      <w:proofErr w:type="spellEnd"/>
      <w:r>
        <w:t xml:space="preserve"> según necesidad, sin sustituir a </w:t>
      </w:r>
      <w:proofErr w:type="spellStart"/>
      <w:r>
        <w:t>Postgres</w:t>
      </w:r>
      <w:proofErr w:type="spellEnd"/>
      <w:r>
        <w:t xml:space="preserve"> como fuente de verdad transaccional.</w:t>
      </w:r>
    </w:p>
    <w:p w14:paraId="3F68C359" w14:textId="77777777" w:rsidR="00055D2D" w:rsidRDefault="00000000">
      <w:pPr>
        <w:pStyle w:val="Ttulo2"/>
        <w:spacing w:before="300" w:after="150"/>
      </w:pPr>
      <w:r>
        <w:t xml:space="preserve">3.3 </w:t>
      </w:r>
      <w:proofErr w:type="spellStart"/>
      <w:r>
        <w:t>Multi-tenancy</w:t>
      </w:r>
      <w:proofErr w:type="spellEnd"/>
      <w:r>
        <w:t xml:space="preserve"> híbrida</w:t>
      </w:r>
    </w:p>
    <w:p w14:paraId="311B1449" w14:textId="77777777" w:rsidR="00055D2D" w:rsidRDefault="00000000">
      <w:pPr>
        <w:spacing w:after="160"/>
      </w:pPr>
      <w:r>
        <w:t>Patrón estándar de SaaS (</w:t>
      </w:r>
      <w:proofErr w:type="spellStart"/>
      <w:r>
        <w:t>pooled</w:t>
      </w:r>
      <w:proofErr w:type="spellEnd"/>
      <w:r>
        <w:t xml:space="preserve"> vs. </w:t>
      </w:r>
      <w:proofErr w:type="spellStart"/>
      <w:r>
        <w:t>siloed</w:t>
      </w:r>
      <w:proofErr w:type="spellEnd"/>
      <w:r>
        <w:t>), elegido específicamente para resolver el requisito de “despacho pequeño y despacho tipo Garrigues con el mismo sistema”:</w:t>
      </w:r>
    </w:p>
    <w:p w14:paraId="76E5FE05" w14:textId="77777777" w:rsidR="00055D2D" w:rsidRDefault="00000000">
      <w:pPr>
        <w:pStyle w:val="Prrafodelista"/>
        <w:numPr>
          <w:ilvl w:val="0"/>
          <w:numId w:val="2"/>
        </w:numPr>
        <w:spacing w:after="100"/>
      </w:pPr>
      <w:r>
        <w:t xml:space="preserve">Modelo </w:t>
      </w:r>
      <w:proofErr w:type="spellStart"/>
      <w:r>
        <w:t>pooled</w:t>
      </w:r>
      <w:proofErr w:type="spellEnd"/>
      <w:r>
        <w:t xml:space="preserve">: despachos pequeños comparten el mismo clúster </w:t>
      </w:r>
      <w:proofErr w:type="spellStart"/>
      <w:r>
        <w:t>Postgres</w:t>
      </w:r>
      <w:proofErr w:type="spellEnd"/>
      <w:r>
        <w:t xml:space="preserve">. Aislamiento lógico mediante </w:t>
      </w:r>
      <w:proofErr w:type="spellStart"/>
      <w:r>
        <w:t>TenantId</w:t>
      </w:r>
      <w:proofErr w:type="spellEnd"/>
      <w:r>
        <w:t xml:space="preserve"> en cada fila + </w:t>
      </w:r>
      <w:proofErr w:type="spellStart"/>
      <w:r>
        <w:t>Row-Level</w:t>
      </w:r>
      <w:proofErr w:type="spellEnd"/>
      <w:r>
        <w:t xml:space="preserve"> Security a nivel de </w:t>
      </w:r>
      <w:proofErr w:type="spellStart"/>
      <w:r>
        <w:t>Postgres</w:t>
      </w:r>
      <w:proofErr w:type="spellEnd"/>
      <w:r>
        <w:t>, reforzado con un filtro global de EF Core a nivel de aplicación (defensa en profundidad).</w:t>
      </w:r>
    </w:p>
    <w:p w14:paraId="704F0D49" w14:textId="77777777" w:rsidR="00055D2D" w:rsidRDefault="00000000">
      <w:pPr>
        <w:pStyle w:val="Prrafodelista"/>
        <w:numPr>
          <w:ilvl w:val="0"/>
          <w:numId w:val="2"/>
        </w:numPr>
        <w:spacing w:after="100"/>
      </w:pPr>
      <w:r>
        <w:t xml:space="preserve">Modelo </w:t>
      </w:r>
      <w:proofErr w:type="spellStart"/>
      <w:r>
        <w:t>siloed</w:t>
      </w:r>
      <w:proofErr w:type="spellEnd"/>
      <w:r>
        <w:t>: clientes grandes (tipo Garrigues) reciben un clúster o instancia dedicada. El aislamiento pasa a ser de infraestructura.</w:t>
      </w:r>
    </w:p>
    <w:p w14:paraId="23BD92F2" w14:textId="77777777" w:rsidR="00055D2D" w:rsidRDefault="00000000">
      <w:pPr>
        <w:pStyle w:val="Prrafodelista"/>
        <w:numPr>
          <w:ilvl w:val="0"/>
          <w:numId w:val="2"/>
        </w:numPr>
        <w:spacing w:after="100"/>
      </w:pPr>
      <w:r>
        <w:t xml:space="preserve">Todas las tablas se diseñan desde el día uno con </w:t>
      </w:r>
      <w:proofErr w:type="spellStart"/>
      <w:r>
        <w:t>TenantId</w:t>
      </w:r>
      <w:proofErr w:type="spellEnd"/>
      <w:r>
        <w:t xml:space="preserve"> como parte de la clave y las consultas siempre filtradas por </w:t>
      </w:r>
      <w:proofErr w:type="spellStart"/>
      <w:r>
        <w:t>tenant</w:t>
      </w:r>
      <w:proofErr w:type="spellEnd"/>
      <w:r>
        <w:t xml:space="preserve">, de forma que escalar un </w:t>
      </w:r>
      <w:proofErr w:type="spellStart"/>
      <w:r>
        <w:t>tenant</w:t>
      </w:r>
      <w:proofErr w:type="spellEnd"/>
      <w:r>
        <w:t xml:space="preserve"> grande (activar </w:t>
      </w:r>
      <w:proofErr w:type="spellStart"/>
      <w:r>
        <w:t>Citus</w:t>
      </w:r>
      <w:proofErr w:type="spellEnd"/>
      <w:r>
        <w:t>, o moverlo a instancia dedicada) no requiere rediseñar el modelo de datos.</w:t>
      </w:r>
    </w:p>
    <w:p w14:paraId="3ABB1745" w14:textId="77777777" w:rsidR="00055D2D" w:rsidRDefault="00000000">
      <w:pPr>
        <w:pStyle w:val="Ttulo2"/>
        <w:spacing w:before="300" w:after="150"/>
      </w:pPr>
      <w:r>
        <w:t xml:space="preserve">3.4 Mensajería: </w:t>
      </w:r>
      <w:proofErr w:type="spellStart"/>
      <w:r>
        <w:t>RabbitMQ</w:t>
      </w:r>
      <w:proofErr w:type="spellEnd"/>
      <w:r>
        <w:t xml:space="preserve"> por defecto, Kafka bajo demanda</w:t>
      </w:r>
    </w:p>
    <w:p w14:paraId="3678853D" w14:textId="77777777" w:rsidR="00055D2D" w:rsidRDefault="00000000">
      <w:pPr>
        <w:spacing w:after="160"/>
      </w:pPr>
      <w:proofErr w:type="spellStart"/>
      <w:r>
        <w:t>RabbitMQ</w:t>
      </w:r>
      <w:proofErr w:type="spellEnd"/>
      <w:r>
        <w:t xml:space="preserve"> (</w:t>
      </w:r>
      <w:proofErr w:type="spellStart"/>
      <w:r>
        <w:t>broker</w:t>
      </w:r>
      <w:proofErr w:type="spellEnd"/>
      <w:r>
        <w:t xml:space="preserve"> de colas clásico) como opción por defecto para desacoplar tareas asíncronas (notificaciones, generación de documentos) — más simple de operar que Kafka. Para </w:t>
      </w:r>
      <w:proofErr w:type="spellStart"/>
      <w:r>
        <w:t>tenants</w:t>
      </w:r>
      <w:proofErr w:type="spellEnd"/>
      <w:r>
        <w:t xml:space="preserve"> grandes con necesidad de </w:t>
      </w:r>
      <w:proofErr w:type="spellStart"/>
      <w:r>
        <w:t>streaming</w:t>
      </w:r>
      <w:proofErr w:type="spellEnd"/>
      <w:r>
        <w:t xml:space="preserve"> de eventos de alto volumen o trazabilidad/auditoría estricta (encaja de forma natural con un sistema legal, donde el registro inmutable de cada acción sobre un expediente es un requisito habitual), se contempla Kafka como opción adicional, no como sustituto. La clave de diseño es que el código hable contra una interfaz de “</w:t>
      </w:r>
      <w:proofErr w:type="spellStart"/>
      <w:r>
        <w:t>message</w:t>
      </w:r>
      <w:proofErr w:type="spellEnd"/>
      <w:r>
        <w:t xml:space="preserve"> bus” (vía </w:t>
      </w:r>
      <w:proofErr w:type="spellStart"/>
      <w:r>
        <w:t>MassTransit</w:t>
      </w:r>
      <w:proofErr w:type="spellEnd"/>
      <w:r>
        <w:t xml:space="preserve">, librería .NET que soporta ambos </w:t>
      </w:r>
      <w:proofErr w:type="spellStart"/>
      <w:r>
        <w:t>brokers</w:t>
      </w:r>
      <w:proofErr w:type="spellEnd"/>
      <w:r>
        <w:t xml:space="preserve"> con el mismo código) y no directamente contra la API de </w:t>
      </w:r>
      <w:proofErr w:type="spellStart"/>
      <w:r>
        <w:t>RabbitMQ</w:t>
      </w:r>
      <w:proofErr w:type="spellEnd"/>
      <w:r>
        <w:t xml:space="preserve">, para que el cambio sea una decisión de despliegue por </w:t>
      </w:r>
      <w:proofErr w:type="spellStart"/>
      <w:r>
        <w:t>tenant</w:t>
      </w:r>
      <w:proofErr w:type="spellEnd"/>
      <w:r>
        <w:t>, no una reescritura.</w:t>
      </w:r>
    </w:p>
    <w:p w14:paraId="489C4077" w14:textId="77777777" w:rsidR="00055D2D" w:rsidRDefault="00000000">
      <w:pPr>
        <w:pStyle w:val="Ttulo2"/>
        <w:spacing w:before="300" w:after="150"/>
      </w:pPr>
      <w:r>
        <w:t>3.5 Documentos y búsqueda</w:t>
      </w:r>
    </w:p>
    <w:p w14:paraId="2D61DDC3" w14:textId="77777777" w:rsidR="00055D2D" w:rsidRDefault="00000000">
      <w:pPr>
        <w:spacing w:after="160"/>
      </w:pPr>
      <w:r>
        <w:t>Almacenamiento de objetos (S3/</w:t>
      </w:r>
      <w:proofErr w:type="spellStart"/>
      <w:r>
        <w:t>MinIO</w:t>
      </w:r>
      <w:proofErr w:type="spellEnd"/>
      <w:r>
        <w:t>) para adjuntos, desacoplado de la base de datos. Búsqueda full-</w:t>
      </w:r>
      <w:proofErr w:type="spellStart"/>
      <w:r>
        <w:t>text</w:t>
      </w:r>
      <w:proofErr w:type="spellEnd"/>
      <w:r>
        <w:t xml:space="preserve"> nativa de </w:t>
      </w:r>
      <w:proofErr w:type="spellStart"/>
      <w:r>
        <w:t>Postgres</w:t>
      </w:r>
      <w:proofErr w:type="spellEnd"/>
      <w:r>
        <w:t xml:space="preserve"> para despachos pequeños; </w:t>
      </w:r>
      <w:proofErr w:type="spellStart"/>
      <w:r>
        <w:t>Elasticsearch</w:t>
      </w:r>
      <w:proofErr w:type="spellEnd"/>
      <w:r>
        <w:t>/</w:t>
      </w:r>
      <w:proofErr w:type="spellStart"/>
      <w:r>
        <w:t>OpenSearch</w:t>
      </w:r>
      <w:proofErr w:type="spellEnd"/>
      <w:r>
        <w:t xml:space="preserve"> como capa opcional activable para </w:t>
      </w:r>
      <w:proofErr w:type="spellStart"/>
      <w:r>
        <w:t>tenants</w:t>
      </w:r>
      <w:proofErr w:type="spellEnd"/>
      <w:r>
        <w:t xml:space="preserve"> con volumen alto de expedientes.</w:t>
      </w:r>
    </w:p>
    <w:p w14:paraId="1E855516" w14:textId="77777777" w:rsidR="00055D2D" w:rsidRDefault="00000000">
      <w:pPr>
        <w:pStyle w:val="Ttulo1"/>
        <w:spacing w:before="400" w:after="200"/>
      </w:pPr>
      <w:r>
        <w:t>4. Seguridad y aislamiento de datos</w:t>
      </w:r>
    </w:p>
    <w:p w14:paraId="7C1DFF43" w14:textId="77777777" w:rsidR="00055D2D" w:rsidRDefault="00000000">
      <w:pPr>
        <w:spacing w:after="160"/>
      </w:pPr>
      <w:r>
        <w:t>Punto crítico dado el secreto profesional y el RGPD aplicable a expedientes legales:</w:t>
      </w:r>
    </w:p>
    <w:p w14:paraId="25D6981D" w14:textId="77777777" w:rsidR="00055D2D" w:rsidRDefault="00000000">
      <w:pPr>
        <w:pStyle w:val="Prrafodelista"/>
        <w:numPr>
          <w:ilvl w:val="0"/>
          <w:numId w:val="2"/>
        </w:numPr>
        <w:spacing w:after="100"/>
      </w:pPr>
      <w:proofErr w:type="spellStart"/>
      <w:r>
        <w:lastRenderedPageBreak/>
        <w:t>Row-Level</w:t>
      </w:r>
      <w:proofErr w:type="spellEnd"/>
      <w:r>
        <w:t xml:space="preserve"> Security de </w:t>
      </w:r>
      <w:proofErr w:type="spellStart"/>
      <w:r>
        <w:t>Postgres</w:t>
      </w:r>
      <w:proofErr w:type="spellEnd"/>
      <w:r>
        <w:t xml:space="preserve"> obligatorio en el modelo </w:t>
      </w:r>
      <w:proofErr w:type="spellStart"/>
      <w:r>
        <w:t>pooled</w:t>
      </w:r>
      <w:proofErr w:type="spellEnd"/>
      <w:r>
        <w:t xml:space="preserve"> — el aislamiento no puede depender solo de que el código de aplicación nunca tenga un bug.</w:t>
      </w:r>
    </w:p>
    <w:p w14:paraId="3496643B" w14:textId="77777777" w:rsidR="00055D2D" w:rsidRDefault="00000000">
      <w:pPr>
        <w:pStyle w:val="Prrafodelista"/>
        <w:numPr>
          <w:ilvl w:val="0"/>
          <w:numId w:val="2"/>
        </w:numPr>
        <w:spacing w:after="100"/>
      </w:pPr>
      <w:r>
        <w:t xml:space="preserve">Filtro global de EF Core como primera capa de defensa en profundidad, ya implementado en el </w:t>
      </w:r>
      <w:proofErr w:type="spellStart"/>
      <w:r>
        <w:t>scaffold</w:t>
      </w:r>
      <w:proofErr w:type="spellEnd"/>
      <w:r>
        <w:t xml:space="preserve"> actual (ver sección 6).</w:t>
      </w:r>
    </w:p>
    <w:p w14:paraId="08900128" w14:textId="77777777" w:rsidR="00055D2D" w:rsidRDefault="00000000">
      <w:pPr>
        <w:pStyle w:val="Prrafodelista"/>
        <w:numPr>
          <w:ilvl w:val="0"/>
          <w:numId w:val="2"/>
        </w:numPr>
        <w:spacing w:after="100"/>
      </w:pPr>
      <w:r>
        <w:t xml:space="preserve">Cifrado en reposo por </w:t>
      </w:r>
      <w:proofErr w:type="spellStart"/>
      <w:r>
        <w:t>tenant</w:t>
      </w:r>
      <w:proofErr w:type="spellEnd"/>
      <w:r>
        <w:t xml:space="preserve"> o por clúster, especialmente relevante para despachos grandes con exigencias regulatorias propias.</w:t>
      </w:r>
    </w:p>
    <w:p w14:paraId="17890738" w14:textId="77777777" w:rsidR="00055D2D" w:rsidRDefault="00000000">
      <w:pPr>
        <w:pStyle w:val="Prrafodelista"/>
        <w:numPr>
          <w:ilvl w:val="0"/>
          <w:numId w:val="2"/>
        </w:numPr>
        <w:spacing w:after="100"/>
      </w:pPr>
      <w:r>
        <w:t xml:space="preserve">Auditoría/trazabilidad de accesos — quién accedió a qué expediente y cuándo — con Kafka como candidato natural para el log inmutable en </w:t>
      </w:r>
      <w:proofErr w:type="spellStart"/>
      <w:r>
        <w:t>tenants</w:t>
      </w:r>
      <w:proofErr w:type="spellEnd"/>
      <w:r>
        <w:t xml:space="preserve"> grandes.</w:t>
      </w:r>
    </w:p>
    <w:p w14:paraId="7EE69ED8" w14:textId="77777777" w:rsidR="00055D2D" w:rsidRDefault="00000000">
      <w:pPr>
        <w:pStyle w:val="Prrafodelista"/>
        <w:numPr>
          <w:ilvl w:val="0"/>
          <w:numId w:val="2"/>
        </w:numPr>
        <w:spacing w:after="100"/>
      </w:pPr>
      <w:r>
        <w:t xml:space="preserve">Certificaciones a evaluar de cara a ventas </w:t>
      </w:r>
      <w:proofErr w:type="spellStart"/>
      <w:r>
        <w:t>enterprise</w:t>
      </w:r>
      <w:proofErr w:type="spellEnd"/>
      <w:r>
        <w:t>: ISO 27001, ENS (Esquema Nacional de Seguridad, España).</w:t>
      </w:r>
    </w:p>
    <w:p w14:paraId="7068CAD0" w14:textId="77777777" w:rsidR="00055D2D" w:rsidRDefault="00000000">
      <w:pPr>
        <w:pStyle w:val="Ttulo1"/>
        <w:spacing w:before="400" w:after="200"/>
      </w:pPr>
      <w:r>
        <w:t>5. Entorno de desarrollo</w:t>
      </w:r>
    </w:p>
    <w:p w14:paraId="7F39819F" w14:textId="77777777" w:rsidR="00055D2D" w:rsidRDefault="00000000">
      <w:pPr>
        <w:spacing w:after="160"/>
      </w:pPr>
      <w:r>
        <w:t>Se descartó VirtualBox por ser más pesado y menos integrado. Entorno recomendado y adoptado:</w:t>
      </w:r>
    </w:p>
    <w:p w14:paraId="5C2EBEE6" w14:textId="77777777" w:rsidR="00055D2D" w:rsidRDefault="00000000">
      <w:pPr>
        <w:pStyle w:val="Prrafodelista"/>
        <w:numPr>
          <w:ilvl w:val="0"/>
          <w:numId w:val="2"/>
        </w:numPr>
        <w:spacing w:after="100"/>
      </w:pPr>
      <w:r>
        <w:t xml:space="preserve">WSL2 (Windows </w:t>
      </w:r>
      <w:proofErr w:type="spellStart"/>
      <w:r>
        <w:t>Subsystem</w:t>
      </w:r>
      <w:proofErr w:type="spellEnd"/>
      <w:r>
        <w:t xml:space="preserve"> </w:t>
      </w:r>
      <w:proofErr w:type="spellStart"/>
      <w:r>
        <w:t>for</w:t>
      </w:r>
      <w:proofErr w:type="spellEnd"/>
      <w:r>
        <w:t xml:space="preserve"> Linux) + Docker Desktop, ambos gratuitos — </w:t>
      </w:r>
      <w:proofErr w:type="spellStart"/>
      <w:r>
        <w:t>kernel</w:t>
      </w:r>
      <w:proofErr w:type="spellEnd"/>
      <w:r>
        <w:t xml:space="preserve"> Linux ligero integrado en Windows, sin la sobrecarga de una VM tradicional.</w:t>
      </w:r>
    </w:p>
    <w:p w14:paraId="085E6D6D" w14:textId="77777777" w:rsidR="00055D2D" w:rsidRDefault="00000000">
      <w:pPr>
        <w:pStyle w:val="Prrafodelista"/>
        <w:numPr>
          <w:ilvl w:val="0"/>
          <w:numId w:val="2"/>
        </w:numPr>
        <w:spacing w:after="100"/>
      </w:pPr>
      <w:r>
        <w:t xml:space="preserve">VS </w:t>
      </w:r>
      <w:proofErr w:type="spellStart"/>
      <w:r>
        <w:t>Code</w:t>
      </w:r>
      <w:proofErr w:type="spellEnd"/>
      <w:r>
        <w:t xml:space="preserve"> con la extensión Remote - WSL para editar y ejecutar dentro del entorno Linux desde Windows con normalidad.</w:t>
      </w:r>
    </w:p>
    <w:p w14:paraId="2998A958" w14:textId="77777777" w:rsidR="00055D2D" w:rsidRDefault="00000000">
      <w:pPr>
        <w:pStyle w:val="Prrafodelista"/>
        <w:numPr>
          <w:ilvl w:val="0"/>
          <w:numId w:val="2"/>
        </w:numPr>
        <w:spacing w:after="100"/>
      </w:pPr>
      <w:r>
        <w:t xml:space="preserve">Extensiones imprescindibles: Remote - WSL, C# Dev Kit, Docker. Recomendadas: REST Client, YAML, </w:t>
      </w:r>
      <w:proofErr w:type="spellStart"/>
      <w:r>
        <w:t>GitLens</w:t>
      </w:r>
      <w:proofErr w:type="spellEnd"/>
      <w:r>
        <w:t>, Error Lens, cliente de PostgreSQL. Todas gratuitas, ya declaradas en .</w:t>
      </w:r>
      <w:proofErr w:type="spellStart"/>
      <w:r>
        <w:t>vscode</w:t>
      </w:r>
      <w:proofErr w:type="spellEnd"/>
      <w:r>
        <w:t>/</w:t>
      </w:r>
      <w:proofErr w:type="spellStart"/>
      <w:r>
        <w:t>extensions.json</w:t>
      </w:r>
      <w:proofErr w:type="spellEnd"/>
      <w:r>
        <w:t xml:space="preserve"> del repositorio.</w:t>
      </w:r>
    </w:p>
    <w:p w14:paraId="60A55807" w14:textId="77777777" w:rsidR="00055D2D" w:rsidRDefault="00000000">
      <w:pPr>
        <w:pStyle w:val="Prrafodelista"/>
        <w:numPr>
          <w:ilvl w:val="0"/>
          <w:numId w:val="2"/>
        </w:numPr>
        <w:spacing w:after="100"/>
      </w:pPr>
      <w:r>
        <w:t>El sistema operativo de los despachos clientes (Windows/Mac) es irrelevante para el desarrollo, al ser un producto web — solo necesitan un navegador.</w:t>
      </w:r>
    </w:p>
    <w:p w14:paraId="422EF430" w14:textId="77777777" w:rsidR="00055D2D" w:rsidRDefault="00000000">
      <w:pPr>
        <w:pStyle w:val="Ttulo1"/>
        <w:spacing w:before="400" w:after="200"/>
      </w:pPr>
      <w:r>
        <w:t>6. Estado actual del desarrollo (</w:t>
      </w:r>
      <w:proofErr w:type="spellStart"/>
      <w:r>
        <w:t>scaffold</w:t>
      </w:r>
      <w:proofErr w:type="spellEnd"/>
      <w:r>
        <w:t xml:space="preserve"> ya creado)</w:t>
      </w:r>
    </w:p>
    <w:p w14:paraId="1E5AA1A4" w14:textId="77777777" w:rsidR="00055D2D" w:rsidRDefault="00000000">
      <w:pPr>
        <w:spacing w:after="160"/>
      </w:pPr>
      <w:r>
        <w:t>Ya existe un primer esqueleto funcional del proyecto, carpeta “legal-case-</w:t>
      </w:r>
      <w:proofErr w:type="spellStart"/>
      <w:r>
        <w:t>management</w:t>
      </w:r>
      <w:proofErr w:type="spellEnd"/>
      <w:r>
        <w:t>”, con la siguiente estructura:</w:t>
      </w:r>
    </w:p>
    <w:p w14:paraId="15F7E001" w14:textId="77777777" w:rsidR="00055D2D" w:rsidRDefault="00000000">
      <w:pPr>
        <w:pStyle w:val="Prrafodelista"/>
        <w:numPr>
          <w:ilvl w:val="0"/>
          <w:numId w:val="2"/>
        </w:numPr>
        <w:spacing w:after="100"/>
      </w:pPr>
      <w:r>
        <w:t xml:space="preserve">Solución .NET con tres proyectos: </w:t>
      </w:r>
      <w:proofErr w:type="spellStart"/>
      <w:r>
        <w:t>Domain</w:t>
      </w:r>
      <w:proofErr w:type="spellEnd"/>
      <w:r>
        <w:t xml:space="preserve"> (entidades puras), </w:t>
      </w:r>
      <w:proofErr w:type="spellStart"/>
      <w:r>
        <w:t>Infrastructure</w:t>
      </w:r>
      <w:proofErr w:type="spellEnd"/>
      <w:r>
        <w:t xml:space="preserve"> (EF Core + </w:t>
      </w:r>
      <w:proofErr w:type="spellStart"/>
      <w:r>
        <w:t>Npgsql</w:t>
      </w:r>
      <w:proofErr w:type="spellEnd"/>
      <w:r>
        <w:t xml:space="preserve">, persistencia), Api (ASP.NET Core Web API con </w:t>
      </w:r>
      <w:proofErr w:type="spellStart"/>
      <w:r>
        <w:t>Swagger</w:t>
      </w:r>
      <w:proofErr w:type="spellEnd"/>
      <w:r>
        <w:t>).</w:t>
      </w:r>
    </w:p>
    <w:p w14:paraId="61594E84" w14:textId="77777777" w:rsidR="00055D2D" w:rsidRDefault="00000000">
      <w:pPr>
        <w:pStyle w:val="Prrafodelista"/>
        <w:numPr>
          <w:ilvl w:val="0"/>
          <w:numId w:val="2"/>
        </w:numPr>
        <w:spacing w:after="100"/>
      </w:pPr>
      <w:r>
        <w:t xml:space="preserve">Entidades de dominio: </w:t>
      </w:r>
      <w:proofErr w:type="spellStart"/>
      <w:r>
        <w:t>Tenant</w:t>
      </w:r>
      <w:proofErr w:type="spellEnd"/>
      <w:r>
        <w:t xml:space="preserve"> y Expediente (con estado: Abierto, </w:t>
      </w:r>
      <w:proofErr w:type="spellStart"/>
      <w:r>
        <w:t>EnTramite</w:t>
      </w:r>
      <w:proofErr w:type="spellEnd"/>
      <w:r>
        <w:t xml:space="preserve">, Cerrado, Archivado). Interfaz </w:t>
      </w:r>
      <w:proofErr w:type="spellStart"/>
      <w:r>
        <w:t>ITenantEntity</w:t>
      </w:r>
      <w:proofErr w:type="spellEnd"/>
      <w:r>
        <w:t xml:space="preserve"> para marcar qué entidades pertenecen a un despacho.</w:t>
      </w:r>
    </w:p>
    <w:p w14:paraId="3A261B16" w14:textId="77777777" w:rsidR="00055D2D" w:rsidRDefault="00000000">
      <w:pPr>
        <w:pStyle w:val="Prrafodelista"/>
        <w:numPr>
          <w:ilvl w:val="0"/>
          <w:numId w:val="2"/>
        </w:numPr>
        <w:spacing w:after="100"/>
      </w:pPr>
      <w:proofErr w:type="spellStart"/>
      <w:r>
        <w:t>AppDbContext</w:t>
      </w:r>
      <w:proofErr w:type="spellEnd"/>
      <w:r>
        <w:t xml:space="preserve"> con filtro global de EF Core que acota automáticamente toda consulta al </w:t>
      </w:r>
      <w:proofErr w:type="spellStart"/>
      <w:r>
        <w:t>tenant</w:t>
      </w:r>
      <w:proofErr w:type="spellEnd"/>
      <w:r>
        <w:t xml:space="preserve"> actual (</w:t>
      </w:r>
      <w:proofErr w:type="spellStart"/>
      <w:r>
        <w:t>HasQueryFilter</w:t>
      </w:r>
      <w:proofErr w:type="spellEnd"/>
      <w:r>
        <w:t>) — primera capa de aislamiento ya implementada.</w:t>
      </w:r>
    </w:p>
    <w:p w14:paraId="62E9DB81" w14:textId="77777777" w:rsidR="00055D2D" w:rsidRDefault="00000000">
      <w:pPr>
        <w:pStyle w:val="Prrafodelista"/>
        <w:numPr>
          <w:ilvl w:val="0"/>
          <w:numId w:val="2"/>
        </w:numPr>
        <w:spacing w:after="100"/>
      </w:pPr>
      <w:proofErr w:type="spellStart"/>
      <w:r>
        <w:t>HeaderTenantProvider</w:t>
      </w:r>
      <w:proofErr w:type="spellEnd"/>
      <w:r>
        <w:t xml:space="preserve">: implementación </w:t>
      </w:r>
      <w:proofErr w:type="spellStart"/>
      <w:r>
        <w:t>placeholder</w:t>
      </w:r>
      <w:proofErr w:type="spellEnd"/>
      <w:r>
        <w:t xml:space="preserve"> que lee el </w:t>
      </w:r>
      <w:proofErr w:type="spellStart"/>
      <w:r>
        <w:t>tenant</w:t>
      </w:r>
      <w:proofErr w:type="spellEnd"/>
      <w:r>
        <w:t xml:space="preserve"> de un </w:t>
      </w:r>
      <w:proofErr w:type="spellStart"/>
      <w:r>
        <w:t>header</w:t>
      </w:r>
      <w:proofErr w:type="spellEnd"/>
      <w:r>
        <w:t xml:space="preserve"> HTTP, marcada explícitamente como “solo desarrollo” — pendiente de sustituir por autenticación JWT real con </w:t>
      </w:r>
      <w:proofErr w:type="spellStart"/>
      <w:r>
        <w:t>claim</w:t>
      </w:r>
      <w:proofErr w:type="spellEnd"/>
      <w:r>
        <w:t xml:space="preserve"> de </w:t>
      </w:r>
      <w:proofErr w:type="spellStart"/>
      <w:r>
        <w:t>tenant</w:t>
      </w:r>
      <w:proofErr w:type="spellEnd"/>
      <w:r>
        <w:t>.</w:t>
      </w:r>
    </w:p>
    <w:p w14:paraId="4096CCC3" w14:textId="77777777" w:rsidR="00055D2D" w:rsidRDefault="00000000">
      <w:pPr>
        <w:pStyle w:val="Prrafodelista"/>
        <w:numPr>
          <w:ilvl w:val="0"/>
          <w:numId w:val="2"/>
        </w:numPr>
        <w:spacing w:after="100"/>
      </w:pPr>
      <w:proofErr w:type="spellStart"/>
      <w:r>
        <w:t>docker-compose.yml</w:t>
      </w:r>
      <w:proofErr w:type="spellEnd"/>
      <w:r>
        <w:t xml:space="preserve"> con </w:t>
      </w:r>
      <w:proofErr w:type="spellStart"/>
      <w:r>
        <w:t>Postgres</w:t>
      </w:r>
      <w:proofErr w:type="spellEnd"/>
      <w:r>
        <w:t xml:space="preserve"> 16 y </w:t>
      </w:r>
      <w:proofErr w:type="spellStart"/>
      <w:r>
        <w:t>RabbitMQ</w:t>
      </w:r>
      <w:proofErr w:type="spellEnd"/>
      <w:r>
        <w:t xml:space="preserve"> (con panel de administración), listos para levantar en local.</w:t>
      </w:r>
    </w:p>
    <w:p w14:paraId="743A3A11" w14:textId="77777777" w:rsidR="00055D2D" w:rsidRDefault="00000000">
      <w:pPr>
        <w:pStyle w:val="Prrafodelista"/>
        <w:numPr>
          <w:ilvl w:val="0"/>
          <w:numId w:val="2"/>
        </w:numPr>
        <w:spacing w:after="100"/>
      </w:pPr>
      <w:proofErr w:type="spellStart"/>
      <w:r>
        <w:t>Endpoints</w:t>
      </w:r>
      <w:proofErr w:type="spellEnd"/>
      <w:r>
        <w:t xml:space="preserve"> mínimos funcionando: GET y POST sobre /api/expedientes, con </w:t>
      </w:r>
      <w:proofErr w:type="spellStart"/>
      <w:r>
        <w:t>Swagger</w:t>
      </w:r>
      <w:proofErr w:type="spellEnd"/>
      <w:r>
        <w:t xml:space="preserve"> habilitado en desarrollo.</w:t>
      </w:r>
    </w:p>
    <w:p w14:paraId="78D28739" w14:textId="77777777" w:rsidR="00055D2D" w:rsidRDefault="00000000">
      <w:pPr>
        <w:pStyle w:val="Prrafodelista"/>
        <w:numPr>
          <w:ilvl w:val="0"/>
          <w:numId w:val="2"/>
        </w:numPr>
        <w:spacing w:after="100"/>
      </w:pPr>
      <w:r>
        <w:t xml:space="preserve">README.md documentando pasos de arranque, cómo probar el aislamiento </w:t>
      </w:r>
      <w:proofErr w:type="spellStart"/>
      <w:r>
        <w:t>multi-tenant</w:t>
      </w:r>
      <w:proofErr w:type="spellEnd"/>
      <w:r>
        <w:t xml:space="preserve"> con </w:t>
      </w:r>
      <w:proofErr w:type="spellStart"/>
      <w:r>
        <w:t>curl</w:t>
      </w:r>
      <w:proofErr w:type="spellEnd"/>
      <w:r>
        <w:t>, y las decisiones de arquitectura con su razonamiento.</w:t>
      </w:r>
    </w:p>
    <w:p w14:paraId="3F9A8906" w14:textId="77777777" w:rsidR="00055D2D" w:rsidRDefault="00000000">
      <w:pPr>
        <w:spacing w:after="160"/>
      </w:pPr>
      <w:r>
        <w:t xml:space="preserve">Nota técnica: el entorno de generación de este </w:t>
      </w:r>
      <w:proofErr w:type="spellStart"/>
      <w:r>
        <w:t>scaffold</w:t>
      </w:r>
      <w:proofErr w:type="spellEnd"/>
      <w:r>
        <w:t xml:space="preserve"> no dispone de SDK de .NET instalado (sin acceso de red al instalador), por lo que el código fue revisado línea a línea manualmente pero no compilado en ese entorno. Debe verificarse con </w:t>
      </w:r>
      <w:proofErr w:type="spellStart"/>
      <w:r>
        <w:t>dotnet</w:t>
      </w:r>
      <w:proofErr w:type="spellEnd"/>
      <w:r>
        <w:t xml:space="preserve"> </w:t>
      </w:r>
      <w:proofErr w:type="spellStart"/>
      <w:r>
        <w:t>restore</w:t>
      </w:r>
      <w:proofErr w:type="spellEnd"/>
      <w:r>
        <w:t xml:space="preserve"> / </w:t>
      </w:r>
      <w:proofErr w:type="spellStart"/>
      <w:r>
        <w:t>dotnet</w:t>
      </w:r>
      <w:proofErr w:type="spellEnd"/>
      <w:r>
        <w:t xml:space="preserve"> </w:t>
      </w:r>
      <w:proofErr w:type="spellStart"/>
      <w:r>
        <w:t>build</w:t>
      </w:r>
      <w:proofErr w:type="spellEnd"/>
      <w:r>
        <w:t xml:space="preserve"> en el entorno real de desarrollo (WSL2) antes de continuar construyendo encima.</w:t>
      </w:r>
    </w:p>
    <w:p w14:paraId="268773A3" w14:textId="77777777" w:rsidR="00055D2D" w:rsidRDefault="00000000">
      <w:pPr>
        <w:pStyle w:val="Ttulo1"/>
        <w:spacing w:before="400" w:after="200"/>
      </w:pPr>
      <w:r>
        <w:t>7. Estimación de tiempos</w:t>
      </w:r>
    </w:p>
    <w:p w14:paraId="356C007E" w14:textId="77777777" w:rsidR="00055D2D" w:rsidRDefault="00000000">
      <w:pPr>
        <w:spacing w:after="160"/>
      </w:pPr>
      <w:r>
        <w:lastRenderedPageBreak/>
        <w:t>Contexto: desarrollo en solitario, fuera del horario laboral, estimado en 10-15 horas semanales.</w:t>
      </w:r>
    </w:p>
    <w:p w14:paraId="0B5BB82B" w14:textId="77777777" w:rsidR="00055D2D" w:rsidRDefault="00000000">
      <w:pPr>
        <w:pStyle w:val="Prrafodelista"/>
        <w:numPr>
          <w:ilvl w:val="0"/>
          <w:numId w:val="2"/>
        </w:numPr>
        <w:spacing w:after="100"/>
      </w:pPr>
      <w:r>
        <w:t xml:space="preserve">MVP funcional (demostrable a un despacho piloto): 6-9 meses. Incluye arquitectura base </w:t>
      </w:r>
      <w:proofErr w:type="spellStart"/>
      <w:r>
        <w:t>multi-tenant</w:t>
      </w:r>
      <w:proofErr w:type="spellEnd"/>
      <w:r>
        <w:t xml:space="preserve">, núcleo de dominio (expedientes, documentos, flujos básicos), almacenamiento de documentos, mensajería </w:t>
      </w:r>
      <w:proofErr w:type="spellStart"/>
      <w:r>
        <w:t>async</w:t>
      </w:r>
      <w:proofErr w:type="spellEnd"/>
      <w:r>
        <w:t xml:space="preserve">, seguridad/auditoría, </w:t>
      </w:r>
      <w:proofErr w:type="spellStart"/>
      <w:r>
        <w:t>frontend</w:t>
      </w:r>
      <w:proofErr w:type="spellEnd"/>
      <w:r>
        <w:t xml:space="preserve"> usable, </w:t>
      </w:r>
      <w:proofErr w:type="spellStart"/>
      <w:r>
        <w:t>testing</w:t>
      </w:r>
      <w:proofErr w:type="spellEnd"/>
      <w:r>
        <w:t xml:space="preserve"> y despliegue.</w:t>
      </w:r>
    </w:p>
    <w:p w14:paraId="58B50DA8" w14:textId="77777777" w:rsidR="00055D2D" w:rsidRDefault="00000000">
      <w:pPr>
        <w:pStyle w:val="Prrafodelista"/>
        <w:numPr>
          <w:ilvl w:val="0"/>
          <w:numId w:val="2"/>
        </w:numPr>
        <w:spacing w:after="100"/>
      </w:pPr>
      <w:r>
        <w:t>De MVP a producto comercializable completo (</w:t>
      </w:r>
      <w:proofErr w:type="spellStart"/>
      <w:r>
        <w:t>onboarding</w:t>
      </w:r>
      <w:proofErr w:type="spellEnd"/>
      <w:r>
        <w:t xml:space="preserve"> </w:t>
      </w:r>
      <w:proofErr w:type="spellStart"/>
      <w:r>
        <w:t>self</w:t>
      </w:r>
      <w:proofErr w:type="spellEnd"/>
      <w:r>
        <w:t xml:space="preserve">-serve, facturación, panel de administración </w:t>
      </w:r>
      <w:proofErr w:type="spellStart"/>
      <w:r>
        <w:t>multi-tenant</w:t>
      </w:r>
      <w:proofErr w:type="spellEnd"/>
      <w:r>
        <w:t>, certificaciones): 6-9 meses adicionales.</w:t>
      </w:r>
    </w:p>
    <w:p w14:paraId="34D9BD2D" w14:textId="77777777" w:rsidR="00055D2D" w:rsidRDefault="00000000">
      <w:pPr>
        <w:pStyle w:val="Prrafodelista"/>
        <w:numPr>
          <w:ilvl w:val="0"/>
          <w:numId w:val="2"/>
        </w:numPr>
        <w:spacing w:after="100"/>
      </w:pPr>
      <w:proofErr w:type="gramStart"/>
      <w:r>
        <w:t>Total</w:t>
      </w:r>
      <w:proofErr w:type="gramEnd"/>
      <w:r>
        <w:t xml:space="preserve"> orientativo: 12-18 meses a ese ritmo, con margen de reducción si en algún punto se suma más dedicación o alguien más al proyecto.</w:t>
      </w:r>
    </w:p>
    <w:p w14:paraId="203B2457" w14:textId="77777777" w:rsidR="00055D2D" w:rsidRDefault="00000000">
      <w:pPr>
        <w:pStyle w:val="Ttulo1"/>
        <w:spacing w:before="400" w:after="200"/>
      </w:pPr>
      <w:r>
        <w:t>8. Próximos pasos inmediatos</w:t>
      </w:r>
    </w:p>
    <w:p w14:paraId="17EDF1E7" w14:textId="77777777" w:rsidR="00055D2D" w:rsidRDefault="00000000">
      <w:pPr>
        <w:pStyle w:val="Prrafodelista"/>
        <w:numPr>
          <w:ilvl w:val="0"/>
          <w:numId w:val="2"/>
        </w:numPr>
        <w:spacing w:after="100"/>
      </w:pPr>
      <w:r>
        <w:t xml:space="preserve">Sustituir </w:t>
      </w:r>
      <w:proofErr w:type="spellStart"/>
      <w:r>
        <w:t>HeaderTenantProvider</w:t>
      </w:r>
      <w:proofErr w:type="spellEnd"/>
      <w:r>
        <w:t xml:space="preserve"> por autenticación JWT real con </w:t>
      </w:r>
      <w:proofErr w:type="spellStart"/>
      <w:r>
        <w:t>claim</w:t>
      </w:r>
      <w:proofErr w:type="spellEnd"/>
      <w:r>
        <w:t xml:space="preserve"> de </w:t>
      </w:r>
      <w:proofErr w:type="spellStart"/>
      <w:r>
        <w:t>tenant</w:t>
      </w:r>
      <w:proofErr w:type="spellEnd"/>
      <w:r>
        <w:t>.</w:t>
      </w:r>
    </w:p>
    <w:p w14:paraId="1E65EBA9" w14:textId="77777777" w:rsidR="00055D2D" w:rsidRDefault="00000000">
      <w:pPr>
        <w:pStyle w:val="Prrafodelista"/>
        <w:numPr>
          <w:ilvl w:val="0"/>
          <w:numId w:val="2"/>
        </w:numPr>
        <w:spacing w:after="100"/>
      </w:pPr>
      <w:r>
        <w:t xml:space="preserve">Implementar </w:t>
      </w:r>
      <w:proofErr w:type="spellStart"/>
      <w:r>
        <w:t>Row-Level</w:t>
      </w:r>
      <w:proofErr w:type="spellEnd"/>
      <w:r>
        <w:t xml:space="preserve"> Security a nivel de </w:t>
      </w:r>
      <w:proofErr w:type="spellStart"/>
      <w:r>
        <w:t>Postgres</w:t>
      </w:r>
      <w:proofErr w:type="spellEnd"/>
      <w:r>
        <w:t xml:space="preserve"> como segunda capa de aislamiento (complementando el filtro de EF Core).</w:t>
      </w:r>
    </w:p>
    <w:p w14:paraId="470E6379" w14:textId="77777777" w:rsidR="00055D2D" w:rsidRDefault="00000000">
      <w:pPr>
        <w:pStyle w:val="Prrafodelista"/>
        <w:numPr>
          <w:ilvl w:val="0"/>
          <w:numId w:val="2"/>
        </w:numPr>
        <w:spacing w:after="100"/>
      </w:pPr>
      <w:r>
        <w:t xml:space="preserve">Evaluar e integrar </w:t>
      </w:r>
      <w:proofErr w:type="spellStart"/>
      <w:r>
        <w:t>MassTransit</w:t>
      </w:r>
      <w:proofErr w:type="spellEnd"/>
      <w:r>
        <w:t xml:space="preserve"> como capa de abstracción de mensajería sobre </w:t>
      </w:r>
      <w:proofErr w:type="spellStart"/>
      <w:r>
        <w:t>RabbitMQ</w:t>
      </w:r>
      <w:proofErr w:type="spellEnd"/>
      <w:r>
        <w:t>.</w:t>
      </w:r>
    </w:p>
    <w:p w14:paraId="0E0AF1D3" w14:textId="77777777" w:rsidR="00055D2D" w:rsidRDefault="00000000">
      <w:pPr>
        <w:pStyle w:val="Prrafodelista"/>
        <w:numPr>
          <w:ilvl w:val="0"/>
          <w:numId w:val="2"/>
        </w:numPr>
        <w:spacing w:after="100"/>
      </w:pPr>
      <w:r>
        <w:t>Definir con más precisión el nicho inicial (tipo de despacho, tamaño, práctica jurídica) y buscar un despacho piloto real para validar cuanto antes.</w:t>
      </w:r>
    </w:p>
    <w:p w14:paraId="54EBEF76" w14:textId="77777777" w:rsidR="00055D2D" w:rsidRDefault="00000000">
      <w:pPr>
        <w:pStyle w:val="Prrafodelista"/>
        <w:numPr>
          <w:ilvl w:val="0"/>
          <w:numId w:val="2"/>
        </w:numPr>
        <w:spacing w:after="100"/>
      </w:pPr>
      <w:r>
        <w:t>Diseñar el modelo de almacenamiento de documentos (S3/</w:t>
      </w:r>
      <w:proofErr w:type="spellStart"/>
      <w:r>
        <w:t>MinIO</w:t>
      </w:r>
      <w:proofErr w:type="spellEnd"/>
      <w:r>
        <w:t>) y su integración con Expediente.</w:t>
      </w:r>
    </w:p>
    <w:p w14:paraId="7A4E6A77" w14:textId="77777777" w:rsidR="00055D2D" w:rsidRDefault="00055D2D">
      <w:pPr>
        <w:pBdr>
          <w:bottom w:val="single" w:sz="6" w:space="1" w:color="AAAAAA"/>
        </w:pBdr>
        <w:spacing w:after="300"/>
      </w:pPr>
    </w:p>
    <w:p w14:paraId="2D5746F3" w14:textId="77777777" w:rsidR="00055D2D" w:rsidRDefault="00000000">
      <w:r>
        <w:rPr>
          <w:i/>
          <w:iCs/>
          <w:color w:val="777777"/>
        </w:rPr>
        <w:t>Fin del documento de contexto.</w:t>
      </w:r>
    </w:p>
    <w:sectPr w:rsidR="00055D2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D22ED9"/>
    <w:multiLevelType w:val="hybridMultilevel"/>
    <w:tmpl w:val="D28843EC"/>
    <w:lvl w:ilvl="0" w:tplc="41EC5A52">
      <w:start w:val="1"/>
      <w:numFmt w:val="bullet"/>
      <w:lvlText w:val="●"/>
      <w:lvlJc w:val="left"/>
      <w:pPr>
        <w:ind w:left="720" w:hanging="360"/>
      </w:pPr>
    </w:lvl>
    <w:lvl w:ilvl="1" w:tplc="75C466EA">
      <w:start w:val="1"/>
      <w:numFmt w:val="bullet"/>
      <w:lvlText w:val="○"/>
      <w:lvlJc w:val="left"/>
      <w:pPr>
        <w:ind w:left="1440" w:hanging="360"/>
      </w:pPr>
    </w:lvl>
    <w:lvl w:ilvl="2" w:tplc="A0124A60">
      <w:start w:val="1"/>
      <w:numFmt w:val="bullet"/>
      <w:lvlText w:val="■"/>
      <w:lvlJc w:val="left"/>
      <w:pPr>
        <w:ind w:left="2160" w:hanging="360"/>
      </w:pPr>
    </w:lvl>
    <w:lvl w:ilvl="3" w:tplc="A7C60648">
      <w:start w:val="1"/>
      <w:numFmt w:val="bullet"/>
      <w:lvlText w:val="●"/>
      <w:lvlJc w:val="left"/>
      <w:pPr>
        <w:ind w:left="2880" w:hanging="360"/>
      </w:pPr>
    </w:lvl>
    <w:lvl w:ilvl="4" w:tplc="3A00A06C">
      <w:start w:val="1"/>
      <w:numFmt w:val="bullet"/>
      <w:lvlText w:val="○"/>
      <w:lvlJc w:val="left"/>
      <w:pPr>
        <w:ind w:left="3600" w:hanging="360"/>
      </w:pPr>
    </w:lvl>
    <w:lvl w:ilvl="5" w:tplc="EB5EFA4A">
      <w:start w:val="1"/>
      <w:numFmt w:val="bullet"/>
      <w:lvlText w:val="■"/>
      <w:lvlJc w:val="left"/>
      <w:pPr>
        <w:ind w:left="4320" w:hanging="360"/>
      </w:pPr>
    </w:lvl>
    <w:lvl w:ilvl="6" w:tplc="98A69018">
      <w:start w:val="1"/>
      <w:numFmt w:val="bullet"/>
      <w:lvlText w:val="●"/>
      <w:lvlJc w:val="left"/>
      <w:pPr>
        <w:ind w:left="5040" w:hanging="360"/>
      </w:pPr>
    </w:lvl>
    <w:lvl w:ilvl="7" w:tplc="7BACED34">
      <w:start w:val="1"/>
      <w:numFmt w:val="bullet"/>
      <w:lvlText w:val="●"/>
      <w:lvlJc w:val="left"/>
      <w:pPr>
        <w:ind w:left="5760" w:hanging="360"/>
      </w:pPr>
    </w:lvl>
    <w:lvl w:ilvl="8" w:tplc="A4A4B2C4">
      <w:start w:val="1"/>
      <w:numFmt w:val="bullet"/>
      <w:lvlText w:val="●"/>
      <w:lvlJc w:val="left"/>
      <w:pPr>
        <w:ind w:left="6480" w:hanging="360"/>
      </w:pPr>
    </w:lvl>
  </w:abstractNum>
  <w:abstractNum w:abstractNumId="1" w15:restartNumberingAfterBreak="0">
    <w:nsid w:val="5C322D29"/>
    <w:multiLevelType w:val="hybridMultilevel"/>
    <w:tmpl w:val="8F343F9A"/>
    <w:lvl w:ilvl="0" w:tplc="667E9058">
      <w:start w:val="1"/>
      <w:numFmt w:val="bullet"/>
      <w:lvlText w:val="•"/>
      <w:lvlJc w:val="left"/>
      <w:pPr>
        <w:ind w:left="720" w:hanging="360"/>
      </w:pPr>
    </w:lvl>
    <w:lvl w:ilvl="1" w:tplc="F7366B2A">
      <w:start w:val="1"/>
      <w:numFmt w:val="bullet"/>
      <w:lvlText w:val="◦"/>
      <w:lvlJc w:val="left"/>
      <w:pPr>
        <w:ind w:left="1080" w:hanging="360"/>
      </w:pPr>
    </w:lvl>
    <w:lvl w:ilvl="2" w:tplc="94168DA0">
      <w:numFmt w:val="decimal"/>
      <w:lvlText w:val=""/>
      <w:lvlJc w:val="left"/>
    </w:lvl>
    <w:lvl w:ilvl="3" w:tplc="D7965512">
      <w:numFmt w:val="decimal"/>
      <w:lvlText w:val=""/>
      <w:lvlJc w:val="left"/>
    </w:lvl>
    <w:lvl w:ilvl="4" w:tplc="1ED2DFC6">
      <w:numFmt w:val="decimal"/>
      <w:lvlText w:val=""/>
      <w:lvlJc w:val="left"/>
    </w:lvl>
    <w:lvl w:ilvl="5" w:tplc="29506A7A">
      <w:numFmt w:val="decimal"/>
      <w:lvlText w:val=""/>
      <w:lvlJc w:val="left"/>
    </w:lvl>
    <w:lvl w:ilvl="6" w:tplc="3EBE7830">
      <w:numFmt w:val="decimal"/>
      <w:lvlText w:val=""/>
      <w:lvlJc w:val="left"/>
    </w:lvl>
    <w:lvl w:ilvl="7" w:tplc="5CB63A8A">
      <w:numFmt w:val="decimal"/>
      <w:lvlText w:val=""/>
      <w:lvlJc w:val="left"/>
    </w:lvl>
    <w:lvl w:ilvl="8" w:tplc="29505D4C">
      <w:numFmt w:val="decimal"/>
      <w:lvlText w:val=""/>
      <w:lvlJc w:val="left"/>
    </w:lvl>
  </w:abstractNum>
  <w:num w:numId="1" w16cid:durableId="871727025">
    <w:abstractNumId w:val="0"/>
    <w:lvlOverride w:ilvl="0">
      <w:startOverride w:val="1"/>
    </w:lvlOverride>
  </w:num>
  <w:num w:numId="2" w16cid:durableId="4537182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D2D"/>
    <w:rsid w:val="00055D2D"/>
    <w:rsid w:val="005C44F7"/>
    <w:rsid w:val="00863C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F260D"/>
  <w15:docId w15:val="{AE0F2BEF-269D-4AEF-8D26-BA7A4FC1A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1564</Words>
  <Characters>8605</Characters>
  <Application>Microsoft Office Word</Application>
  <DocSecurity>0</DocSecurity>
  <Lines>71</Lines>
  <Paragraphs>20</Paragraphs>
  <ScaleCrop>false</ScaleCrop>
  <Company/>
  <LinksUpToDate>false</LinksUpToDate>
  <CharactersWithSpaces>10149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MONTOYA</cp:lastModifiedBy>
  <cp:revision>2</cp:revision>
  <dcterms:created xsi:type="dcterms:W3CDTF">2026-07-24T17:12:00Z</dcterms:created>
  <dcterms:modified xsi:type="dcterms:W3CDTF">2026-07-24T17:12:00Z</dcterms:modified>
</cp:coreProperties>
</file>