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-bold.ttf" ContentType="application/x-font-ttf"/>
  <Override PartName="/word/fonts/Inter-boldItalic.ttf" ContentType="application/x-font-ttf"/>
  <Override PartName="/word/fonts/Inter-italic.ttf" ContentType="application/x-font-ttf"/>
  <Override PartName="/word/fonts/Inter-regular.ttf" ContentType="application/x-font-ttf"/>
  <Override PartName="/word/fonts/InterMedium-bold.ttf" ContentType="application/x-font-ttf"/>
  <Override PartName="/word/fonts/InterMedium-boldItalic.ttf" ContentType="application/x-font-ttf"/>
  <Override PartName="/word/fonts/InterMedium-italic.ttf" ContentType="application/x-font-ttf"/>
  <Override PartName="/word/fonts/InterMedium-regular.ttf" ContentType="application/x-font-ttf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>
      <w:pPr>
        <w:pStyle w:val="Title"/>
        <w:jc w:val="center"/>
      </w:pPr>
      <w:r>
        <w:t>Manual del Sistema para Proyecto de Software — MonsterBurguer POS</w:t>
      </w:r>
    </w:p>
    <w:p>
      <w:pPr/>
      <w:r>
        <w:rPr>
          <w:b/>
        </w:rPr>
        <w:t>Universidad de Cartagena</w:t>
      </w:r>
    </w:p>
    <w:p>
      <w:pPr/>
      <w:r>
        <w:rPr>
          <w:b/>
        </w:rPr>
        <w:t>Facultad de Ingeniería</w:t>
      </w:r>
    </w:p>
    <w:p>
      <w:pPr/>
      <w:r>
        <w:rPr>
          <w:b/>
        </w:rPr>
        <w:t>Programa de Ingeniería de Sistemas</w:t>
      </w:r>
    </w:p>
    <w:p>
      <w:pPr/>
      <w:r>
        <w:rPr>
          <w:b/>
        </w:rPr>
        <w:t>Asignatura:</w:t>
      </w:r>
      <w:r>
        <w:t xml:space="preserve"> Ingeniería de Software</w:t>
      </w:r>
    </w:p>
    <w:p>
      <w:pPr/>
      <w:r>
        <w:rPr>
          <w:b/>
        </w:rPr>
        <w:t>Docente:</w:t>
      </w:r>
      <w:r>
        <w:t xml:space="preserve"> Ing. Martín Monroy Ríos, MSc, PhD</w:t>
      </w:r>
    </w:p>
    <w:p>
      <w:pPr/>
      <w:r>
        <w:rPr>
          <w:b/>
        </w:rPr>
        <w:t>Estudiante: [COMPLETAR: nombre completo del estudiante] [COMPLETAR: Integrantes adicionales del grupo si aplica]</w:t>
      </w:r>
      <w:r/>
    </w:p>
    <w:p>
      <w:pPr/>
      <w:r>
        <w:rPr>
          <w:b/>
        </w:rPr>
        <w:t>Fecha:</w:t>
      </w:r>
      <w:r>
        <w:t xml:space="preserve"> Octubre de 2026</w:t>
      </w:r>
    </w:p>
    <w:p>
      <w:pPr>
        <w:pStyle w:val="Heading1"/>
      </w:pPr>
      <w:r>
        <w:t>Introducción</w:t>
      </w:r>
    </w:p>
    <w:p>
      <w:pPr/>
      <w:r>
        <w:t xml:space="preserve">Este documento sirve como el </w:t>
      </w:r>
      <w:r>
        <w:rPr>
          <w:b/>
        </w:rPr>
        <w:t>Manual del Sistema</w:t>
      </w:r>
      <w:r>
        <w:t xml:space="preserve"> para el proyecto de software </w:t>
      </w:r>
      <w:r>
        <w:rPr>
          <w:b/>
        </w:rPr>
        <w:t>MonsterBurguer POS</w:t>
      </w:r>
      <w:r>
        <w:t>. Su propósito es detallar formalmente el modelo de negocio, la especificación de requisitos, el modelo de diseño estructurado mediante las Vistas 4+1 de Kruchten y el modelo de implementación física de la solución, proporcionando una referencia técnica completa y exhaustiva para desarrolladores, arquitectos de software, administradores de sistemas y partes interesadas.</w:t>
      </w:r>
    </w:p>
    <w:p>
      <w:pPr/>
      <w:r>
        <w:t xml:space="preserve">Este manual fue preparado por el equipo de desarrollo de ingeniería de software a partir del análisis del documento académico de base </w:t>
      </w:r>
      <w:r>
        <w:rPr>
          <w:i/>
        </w:rPr>
        <w:t>Etapa 1 — Definición del Sistema Restaurante</w:t>
      </w:r>
      <w:r>
        <w:t xml:space="preserve"> y de la base de código real implementada en el repositorio. La versión actual del documento se encuentra versionada y almacenada en el repositorio del proyecto.</w:t>
      </w:r>
    </w:p>
    <w:p>
      <w:r>
        <w:br w:type="page"/>
      </w:r>
    </w:p>
    <w:p>
      <w:pPr>
        <w:pStyle w:val="Heading1"/>
      </w:pPr>
      <w:r>
        <w:t>1. Modelo de Negocio</w:t>
      </w:r>
    </w:p>
    <w:p>
      <w:pPr/>
      <w:r>
        <w:t>Esta sección describe el contexto organizacional y operativo del restaurante, detallando las técnicas de recolección de información empleadas, los procesos de negocio generales y específicos modelados mediante diagramas de actividades UML, los casos de uso del mundo real, el modelo conceptual de dominio y el glosario de términos del negocio.</w:t>
      </w:r>
    </w:p>
    <w:p>
      <w:pPr/>
      <w:r>
        <w:t>La recolección de información se llevó a cabo utilizando las siguientes técnicas: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</w:tblPr>
      <w:tblGrid>
        <w:gridCol w:w="3324"/>
        <w:gridCol w:w="3324"/>
        <w:gridCol w:w="3324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Técnica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Descripción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Resultados Obtenidos</w:t>
            </w:r>
          </w:p>
        </w:tc>
      </w:tr>
      <w:tr>
        <w:tc>
          <w:tcPr>
            <w:tcW w:type="dxa" w:w="288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Análisis Documental y Conceptual del Sistema</w:t>
            </w:r>
          </w:p>
        </w:tc>
        <w:tc>
          <w:tcPr>
            <w:tcW w:type="dxa" w:w="288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Revisión profunda del documento académico </w:t>
            </w:r>
            <w:r>
              <w:rPr>
                <w:i/>
                <w:sz w:val="18"/>
              </w:rPr>
              <w:t>Etapa 1 — Definición del Sistema Restaurante</w:t>
            </w:r>
            <w:r>
              <w:rPr>
                <w:sz w:val="18"/>
              </w:rPr>
              <w:t>, estableciendo la delimitación entre el sistema y su entorno, sus siete subsistemas principales y las relaciones de retroalimentación.</w:t>
            </w:r>
          </w:p>
        </w:tc>
        <w:tc>
          <w:tcPr>
            <w:tcW w:type="dxa" w:w="288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Delimitación formal de fronteras del sistema, definición de los siete subsistemas funcionales y comprensión del ciclo de vida del pedido. Documento base: </w:t>
            </w:r>
            <w:r>
              <w:rPr>
                <w:rFonts w:ascii="Consolas" w:hAnsi="Consolas"/>
                <w:sz w:val="18"/>
              </w:rPr>
              <w:t>Etapa1_Definicion_del_Sistema_Restaurante.docx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Ingeniería de Requisitos Ágiles (PRD)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Descomposición de la operación en 7 épicas y 22 historias de usuario estructuradas bajo el formato estándar de la industria, definiendo criterios de aceptación verificables y metas de desempeño operacionales.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Formalización del alcance del MVP y backlog de versiones futuras (v1.1, v1.2 y v2). Documento base: </w:t>
            </w:r>
            <w:r>
              <w:rPr>
                <w:rFonts w:ascii="Consolas" w:hAnsi="Consolas"/>
                <w:sz w:val="18"/>
              </w:rPr>
              <w:t>docs/PRD.md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88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Levantamiento y Verificación de Reglas de Negocio</w:t>
            </w:r>
          </w:p>
        </w:tc>
        <w:tc>
          <w:tcPr>
            <w:tcW w:type="dxa" w:w="288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Catalogación sistemática de 32 reglas operativas (RN-01 a RN-61) agrupadas en 7 dimensiones (Dinero, Pedidos, Cocina, Inventario, Caja, Permisos y Auditoría).</w:t>
            </w:r>
          </w:p>
        </w:tc>
        <w:tc>
          <w:tcPr>
            <w:tcW w:type="dxa" w:w="288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Matriz unívoca de reglas de negocio enlazadas al código fuente de backend y frontend que las ejecuta. Documento base: </w:t>
            </w:r>
            <w:r>
              <w:rPr>
                <w:rFonts w:ascii="Consolas" w:hAnsi="Consolas"/>
                <w:sz w:val="18"/>
              </w:rPr>
              <w:t>docs/BUSINESS_RULES.md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Observación Operativa de Punto de Venta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Estudio de campo sobre el flujo de atención en mostrador y cocina en restaurantes de comidas rápidas [COMPLETAR: Establecimiento observado y fecha de visita].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Especificación de los requisitos de usabilidad táctil, umbrales de alerta de cocina (8 y 12 minutos) y necesidad de recibos POS no fiscales de 80 mm.</w:t>
            </w:r>
          </w:p>
        </w:tc>
      </w:tr>
    </w:tbl>
    <w:p>
      <w:pPr>
        <w:spacing w:before="60" w:after="60"/>
      </w:pPr>
    </w:p>
    <w:p>
      <w:pPr>
        <w:pStyle w:val="Heading2"/>
      </w:pPr>
      <w:r>
        <w:t>1.1 Procesos de Negocio</w:t>
      </w:r>
    </w:p>
    <w:p>
      <w:pPr/>
      <w:r>
        <w:t xml:space="preserve">El proceso de negocio general que el sistema automatiza y articula es la </w:t>
      </w:r>
      <w:r>
        <w:rPr>
          <w:b/>
        </w:rPr>
        <w:t>Gestión Integral de Venta y Servicio Gastronómico en MonsterBurguer</w:t>
      </w:r>
      <w:r>
        <w:t>.</w:t>
      </w:r>
    </w:p>
    <w:p>
      <w:pPr>
        <w:pStyle w:val="Heading3"/>
      </w:pPr>
      <w:r>
        <w:t>Proceso de Negocio General</w:t>
      </w:r>
    </w:p>
    <w:p>
      <w:pPr/>
      <w:r>
        <w:t>El proceso general comprende desde el arribo del cliente al salón o mostrador, la toma de su orden en la terminal de punto de venta, la verificación atómica y descuento de existencias en inventario, la transmisión en tiempo real de la orden a la pantalla KDS de cocina, la preparación y control de tiempos por parte de los cocineros, la recepción del pago en caja con liquidación de cambio y propina, la emisión del comprobante impreso, hasta la consolidación de estadísticas en el panel gerencial.</w:t>
      </w:r>
    </w:p>
    <w:p>
      <w:pPr/>
      <w:r>
        <w:t>El proceso general se representa a continuación:</w:t>
      </w:r>
    </w:p>
    <w:p>
      <w:pPr>
        <w:jc w:val="center"/>
      </w:pPr>
    </w:p>
    <w:p>
      <w:r>
        <w:drawing>
          <wp:inline>
            <wp:extent cx="5303520" cy="69641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dad_proceso_gener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964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Figura 1. Proceso de Negocio General - Venta y Servicio Integral</w:t>
      </w:r>
    </w:p>
    <w:p>
      <w:pPr/>
      <w:r>
        <w:rPr>
          <w:i/>
        </w:rPr>
        <w:t>Figura 1. Diagrama de actividades del proceso de negocio general: ciclo de venta y servicio en MonsterBurguer.</w:t>
      </w:r>
    </w:p>
    <w:p>
      <w:pPr/>
      <w:r>
        <w:t>Los procesos específicos que componen la esencia del problema y que son abordados directamente por la solución de software incluyen:</w:t>
      </w:r>
    </w:p>
    <w:p>
      <w:pPr>
        <w:pStyle w:val="Heading3"/>
      </w:pPr>
      <w:r>
        <w:t>Proceso Específico 1: Toma y Confirmación de Pedido (POS)</w:t>
      </w:r>
    </w:p>
    <w:p>
      <w:pPr/>
      <w:r>
        <w:t>Este proceso describe cómo el cajero atiende al cliente, discrimina el tipo de orden (para salón o para llevar), asigna la mesa validando su disponibilidad, compone el ticket seleccionando productos, cantidades y notas culinarias especiales, y confirma la orden disparando la reserva atómica de inventario.</w:t>
      </w:r>
    </w:p>
    <w:p>
      <w:pPr>
        <w:jc w:val="center"/>
      </w:pPr>
    </w:p>
    <w:p>
      <w:r>
        <w:drawing>
          <wp:inline>
            <wp:extent cx="5303520" cy="70577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dad_tomar_pedid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057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Figura 2. Proceso Específico 1 - Toma y Confirmación de Pedidos</w:t>
      </w:r>
    </w:p>
    <w:p>
      <w:pPr/>
      <w:r>
        <w:rPr>
          <w:i/>
        </w:rPr>
        <w:t>Figura 2. Diagrama de actividades: toma y confirmación de pedidos en el mostrador.</w:t>
      </w:r>
    </w:p>
    <w:p>
      <w:pPr>
        <w:pStyle w:val="Heading3"/>
      </w:pPr>
      <w:r>
        <w:t>Proceso Específico 2: Preparación y Despacho en Cocina (KDS)</w:t>
      </w:r>
    </w:p>
    <w:p>
      <w:pPr/>
      <w:r>
        <w:t>Este proceso describe cómo el equipo de cocina recibe de manera asíncrona y en tiempo real las comandas confirmadas a través del protocolo Server-Sent Events (SSE), inicia la elaboración de las hamburguesas registrando marcas de tiempo auditables, visualiza alertas visuales de tiempo según umbrales de demora (8 y 12 minutos) y marca los pedidos como listos y entregados, notificando a su vez al mostrador.</w:t>
      </w:r>
    </w:p>
    <w:p>
      <w:pPr>
        <w:jc w:val="center"/>
      </w:pPr>
    </w:p>
    <w:p>
      <w:r>
        <w:drawing>
          <wp:inline>
            <wp:extent cx="5303520" cy="60354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dad_preparacion_cocin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035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Figura 3. Proceso Específico 2 - Preparación y Despacho en Cocina</w:t>
      </w:r>
    </w:p>
    <w:p>
      <w:pPr/>
      <w:r>
        <w:rPr>
          <w:i/>
        </w:rPr>
        <w:t>Figura 3. Diagrama de actividades: preparación y gestión de comandas en cocina KDS.</w:t>
      </w:r>
    </w:p>
    <w:p>
      <w:pPr>
        <w:pStyle w:val="Heading3"/>
      </w:pPr>
      <w:r>
        <w:t>Proceso Específico 3: Cobro de Cuenta y Arqueo de Caja</w:t>
      </w:r>
    </w:p>
    <w:p>
      <w:pPr/>
      <w:r>
        <w:t>Este proceso describe cómo el cajero abre su turno de caja registrando la base inicial en efectivo, procesa el pago del pedido mediante efectivo, tarjeta o transferencia bancaria, calcula el cambio exacto y la propina voluntaria en mesas, genera el recibo correlativo POS, registra posibles ingresos o retiros manuales durante la jornada y efectúa el arqueo ciego al cierre de turno contrastando el efectivo contado contra el saldo esperado.</w:t>
      </w:r>
    </w:p>
    <w:p>
      <w:pPr>
        <w:jc w:val="center"/>
      </w:pPr>
    </w:p>
    <w:p>
      <w:r>
        <w:drawing>
          <wp:inline>
            <wp:extent cx="5303520" cy="81773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dad_cobro_cierre_caj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177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Figura 4. Proceso Específico 3 - Cobro de Cuenta y Cierre de Turno de Caja</w:t>
      </w:r>
    </w:p>
    <w:p>
      <w:pPr/>
      <w:r>
        <w:rPr>
          <w:i/>
        </w:rPr>
        <w:t>Figura 4. Diagrama de actividades: cobro de pedidos y arqueo/cierre de caja.</w:t>
      </w:r>
    </w:p>
    <w:p>
      <w:pPr>
        <w:pStyle w:val="Heading2"/>
      </w:pPr>
      <w:r>
        <w:t>1.2 Casos de Uso del Mundo Real</w:t>
      </w:r>
    </w:p>
    <w:p>
      <w:pPr/>
      <w:r>
        <w:t>Los casos de uso del mundo real representan las interacciones esenciales entre los actores humanos del negocio y el sistema informático.</w:t>
      </w:r>
    </w:p>
    <w:p>
      <w:pPr/>
      <w:r>
        <w:t>A continuación, se presentan los diagramas de casos de uso:</w:t>
      </w:r>
    </w:p>
    <w:p>
      <w:pPr>
        <w:jc w:val="center"/>
      </w:pPr>
    </w:p>
    <w:p>
      <w:r>
        <w:drawing>
          <wp:inline>
            <wp:extent cx="5303520" cy="94987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_gener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498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Figura 5. Diagrama General de Casos de Uso</w:t>
      </w:r>
    </w:p>
    <w:p>
      <w:pPr/>
      <w:r>
        <w:rPr>
          <w:i/>
        </w:rPr>
        <w:t>Figura 5. Diagrama general de casos de uso del sistema MonsterBurguer POS.</w:t>
      </w:r>
    </w:p>
    <w:p>
      <w:pPr>
        <w:jc w:val="center"/>
      </w:pPr>
    </w:p>
    <w:p>
      <w:r>
        <w:drawing>
          <wp:inline>
            <wp:extent cx="5303520" cy="52007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_cajer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200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Figura 6. Casos de Uso - Rol Cajero</w:t>
      </w:r>
    </w:p>
    <w:p>
      <w:pPr/>
      <w:r>
        <w:rPr>
          <w:i/>
        </w:rPr>
        <w:t>Figura 6. Diagrama de casos de uso para el rol Cajero.</w:t>
      </w:r>
    </w:p>
    <w:p>
      <w:pPr>
        <w:jc w:val="center"/>
      </w:pPr>
    </w:p>
    <w:p>
      <w:r>
        <w:drawing>
          <wp:inline>
            <wp:extent cx="5303520" cy="27816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_cocin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1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Figura 7. Casos de Uso - Rol Cocinero</w:t>
      </w:r>
    </w:p>
    <w:p>
      <w:pPr/>
      <w:r>
        <w:rPr>
          <w:i/>
        </w:rPr>
        <w:t>Figura 7. Diagrama de casos de uso para el rol Personal de Cocina (KDS).</w:t>
      </w:r>
    </w:p>
    <w:p>
      <w:pPr>
        <w:jc w:val="center"/>
      </w:pPr>
    </w:p>
    <w:p>
      <w:r>
        <w:drawing>
          <wp:inline>
            <wp:extent cx="5303520" cy="493674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_admi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36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Figura 8. Casos de Uso - Rol Administrador</w:t>
      </w:r>
    </w:p>
    <w:p>
      <w:pPr/>
      <w:r>
        <w:rPr>
          <w:i/>
        </w:rPr>
        <w:t>Figura 8. Diagrama de casos de uso para el rol Administrador.</w:t>
      </w:r>
    </w:p>
    <w:p>
      <w:pPr>
        <w:pStyle w:val="Heading3"/>
      </w:pPr>
      <w:r>
        <w:t>Descripción Resumida de Casos de Uso del Mundo Real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728"/>
            <w:shd w:val="clear" w:color="auto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Caso de Uso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Descripción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Actores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Precondiciones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Flujo Principal</w:t>
            </w:r>
          </w:p>
        </w:tc>
      </w:tr>
      <w:tr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CU-01: Iniciar Sesión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Identifica al empleado y otorga acceso a la interfaz según rol asignado (POS, KDS, Admin).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Empleado (Admin, Cajero, Cocina)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Usuario registrado y activo en el sistema.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1. Empleado introduce credenciales. 2. Backend valida hash Argon2id y límite de tasa. 3. Sistema crea sesión opaca y emite cookie HttpOnly. 4. Redirige a ruta por rol.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CU-02: Gestionar Usuarios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Permite crear, modificar datos, cambiar rol y activar/desactivar empleados.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Administrador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Sesión activa de Administrador.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1. Admin visualiza lista de personal. 2. Introduce nombres, usuario, clave (≥8 chars) y rol. 3. Sistema valida unicidad y persiste.</w:t>
            </w:r>
          </w:p>
        </w:tc>
      </w:tr>
      <w:tr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CU-03: Crear Pedido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Inicia un nuevo ticket para mesa o llevar, asignando consecutivo diario y fecha operativa.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Cajero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Sesión activa en POS.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1. Cajero selecciona tipo de atención. 2. Si es mesa, pulsa mesa desocupada del plano. 3. Sistema crea pedido en estado ABIERTO.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CU-04: Agregar Ítems y Nota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Adiciona productos del menú al ticket, modifica cantidades e ingresa notas culinarias.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Cajero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Pedido en estado ABIERTO.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1. Cajero toca producto activo. 2. Sistema copia snapshot de nombre y precio (COP). 3. Cajero ajusta cantidad o nota (máx. 140 chars). 4. Sistema recalcula total.</w:t>
            </w:r>
          </w:p>
        </w:tc>
      </w:tr>
      <w:tr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CU-05: Enviar Pedido a Cocina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Confirma el pedido, descuenta stock de ingredientes con receta y envía comanda a cocina.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Cajero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Pedido ABIERTO con ≥ 1 ítem y stock suficiente.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1. Cajero pulsa Enviar a cocina. 2. Transacción bloquea ingredientes con FOR UPDATE. 3. Descuenta stock y registra kardex. 4. Inserta comanda y emite SSE.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CU-06: Consultar Pedidos Activos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Monitorea el estado de las órdenes del turno y permite recuperarlas para cobro.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Cajero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Pedidos en fecha operativa.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1. Cajero abre pedidos activos. 2. Visualiza tiempos y estados de cocina. 3. Al pasar a LISTA, recibe toast. 4. Selecciona para cobrar.</w:t>
            </w:r>
          </w:p>
        </w:tc>
      </w:tr>
      <w:tr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CU-07: Preparar Comanda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Permite a cocina avanzar el ciclo de producción de órdenes (Pendiente → Preparación → Lista → Entregada).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Cocinero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Sesión activa en KDS.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1. Cocina recibe tarjeta en vivo vía SSE. 2. Pulsa Iniciar (iniciada_at = now). 3. Pulsa Lista (lista_at = now). 4. Pulsa Entregar (entregada_at = now).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CU-08: Abrir Sesión de Caja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Habilita el turno de cobro registrando el fondo base de efectivo en gaveta.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Cajero, Admin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Usuario sin otra sesión abierta.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1. Cajero accede a módulo Caja. 2. Digita monto inicial en efectivo (≥ 0). 3. Sistema crea sesión en estado ABIERTA.</w:t>
            </w:r>
          </w:p>
        </w:tc>
      </w:tr>
      <w:tr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CU-09: Cobrar Pedido y Emitir Recibo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Liquida la cuenta con un medio de pago, calcula propina y cambio, emite recibo y cierra pedido.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Cajero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Sesión de caja ABIERTA y pedido no cobrado.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1. Abre diálogo de cobro. 2. Ingresa propina voluntaria si es mesa. 3. Elige medio de pago y digita recibido. 4. Transacción atómica emite recibo y cierra pedido. 5. Imprime recibo 80 mm.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CU-10: Registrar Movimiento de Caja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Asienta entradas o salidas manuales de efectivo en gaveta con motivo obligatorio.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Cajero, Admin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Sesión de caja ABIERTA.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1. Selecciona nuevo movimiento. 2. Elige INGRESO o RETIRO. 3. Digita monto y motivo (3-140 chars). 4. Sistema valida que no deje saldo negativo y persiste.</w:t>
            </w:r>
          </w:p>
        </w:tc>
      </w:tr>
      <w:tr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CU-11: Cerrar Sesión de Caja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Realiza el arqueo ciego del turno registrando el conteo físico y calculando descuadres.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Cajero, Admin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Sesión de caja ABIERTA.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1. Cajero selecciona Cerrar caja. 2. Cuenta dinero en gaveta y digita efectivo contado. 3. Sistema calcula esperado y diferencia. 4. Pasa a CERRADA e imprime balance.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CU-12: Gestionar Productos y Categorías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Administra la oferta del menú, organizando categorías y productos con precio final.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Administrador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Sesión activa de Administrador.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1. Admin crea categoría con orden. 2. Registra producto con nombre único, descripción y precio COP. 3. Sistema persiste y actualiza POS.</w:t>
            </w:r>
          </w:p>
        </w:tc>
      </w:tr>
      <w:tr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CU-13: Gestionar Recetas y Disponibilidad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Enlaza productos con materias primas requeridas y supervisa platos agotados.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Administrador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Productos e ingredientes registrados.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1. Admin selecciona plato y pulsa Editar Receta. 2. Asigna cantidades enteras en unidad base (G, ML, UND). 3. Sistema recalcula disponibilidad automática.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CU-14: Registrar Entrada de Mercancía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Registra compras de materias primas sumando existencias y desmarcando agotados.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Administrador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Ingredientes dados de alta.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1. Admin selecciona insumo. 2. Digita cantidad recibida en unidad base y costo. 3. Sistema suma a stock_actual, genera kardex ENTRADA y repone menú.</w:t>
            </w:r>
          </w:p>
        </w:tc>
      </w:tr>
      <w:tr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CU-15: Registrar Ajuste o Merma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Asienta mermas por deterioro o correcciones tras conteo físico de inventario con motivo.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Administrador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Ingrediente activo.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1. Admin elige MERMA o AJUSTE. 2. Selecciona insumo, digita cantidad y justificación obligatoria. 3. Sistema actualiza saldo y registra kardex.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CU-16: Consultar Kardex de Inventario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Audita el libro mayor cronológico de movimientos de cada ingrediente del restaurante.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Administrador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Movimientos de inventario existentes.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1. Admin ingresa a pestaña Kardex. 2. Filtra por ingrediente. 3. Inspecciona fechas, tipos, cantidades, saldos resultantes y pedidos causantes.</w:t>
            </w:r>
          </w:p>
        </w:tc>
      </w:tr>
      <w:tr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CU-17: Consultar Dashboard y KPIs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Despliega indicadores de ventas, ticket promedio, tiempos de cocina, horas pico y alertas.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Administrador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Actividad en fecha operativa.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1. Admin accede a /admin. 2. Sistema consulta vistas SQL v_ventas_dia, v_tiempos_cocina, v_stock_alertas. 3. Despliega gráficas y panel de alertas.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CU-18: Consultar Bitácora y Auditoría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Inspecciona la traza de eventos de dominio emitidos por el outbox entre subsistemas.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Administrador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Eventos en evento_sistema.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1. Admin selecciona Bitácora de Interacciones. 2. Visualiza orden causal de eventos. 3. Abre detalle de payload JSON para verificar consistencia.</w:t>
            </w:r>
          </w:p>
        </w:tc>
      </w:tr>
    </w:tbl>
    <w:p>
      <w:pPr>
        <w:spacing w:before="60" w:after="60"/>
      </w:pPr>
    </w:p>
    <w:p>
      <w:pPr>
        <w:pStyle w:val="Heading2"/>
      </w:pPr>
      <w:r>
        <w:t>1.3 Modelo de Dominio</w:t>
      </w:r>
    </w:p>
    <w:p>
      <w:pPr/>
      <w:r>
        <w:t>El modelo de dominio representa los conceptos, relaciones y atributos esenciales del negocio que el sistema modela, abstrayéndose de cualquier librería o framework específico.</w:t>
      </w:r>
    </w:p>
    <w:p>
      <w:pPr>
        <w:jc w:val="center"/>
      </w:pPr>
    </w:p>
    <w:p>
      <w:r>
        <w:drawing>
          <wp:inline>
            <wp:extent cx="5303520" cy="534909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domini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49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Figura 9. Modelo de Dominio Conceptual</w:t>
      </w:r>
    </w:p>
    <w:p>
      <w:pPr/>
      <w:r>
        <w:rPr>
          <w:i/>
        </w:rPr>
        <w:t>Figura 9. Diagrama de clases del modelo conceptual de dominio de MonsterBurguer POS.</w:t>
      </w:r>
    </w:p>
    <w:p>
      <w:pPr>
        <w:pStyle w:val="Heading3"/>
      </w:pPr>
      <w:r>
        <w:t>Entidades Clave del Dominio</w:t>
      </w:r>
    </w:p>
    <w:p>
      <w:pPr>
        <w:ind w:left="360"/>
      </w:pPr>
      <w:r>
        <w:rPr>
          <w:b/>
        </w:rPr>
        <w:t xml:space="preserve">•  </w:t>
      </w:r>
      <w:r>
        <w:rPr>
          <w:b/>
        </w:rPr>
        <w:t>Restaurante:</w:t>
      </w:r>
      <w:r>
        <w:t xml:space="preserve"> Representa la unidad de negocio global, configurando el régimen tributario (</w:t>
      </w:r>
      <w:r>
        <w:rPr>
          <w:rFonts w:ascii="Consolas" w:hAnsi="Consolas"/>
          <w:sz w:val="19"/>
        </w:rPr>
        <w:t>NO_RESPONSABLE</w:t>
      </w:r>
      <w:r>
        <w:t>), la moneda oficial (</w:t>
      </w:r>
      <w:r>
        <w:rPr>
          <w:rFonts w:ascii="Consolas" w:hAnsi="Consolas"/>
          <w:sz w:val="19"/>
        </w:rPr>
        <w:t>COP</w:t>
      </w:r>
      <w:r>
        <w:t>) y los parámetros operativos.</w:t>
      </w:r>
    </w:p>
    <w:p>
      <w:pPr>
        <w:ind w:left="360"/>
      </w:pPr>
      <w:r>
        <w:rPr>
          <w:b/>
        </w:rPr>
        <w:t xml:space="preserve">•  </w:t>
      </w:r>
      <w:r>
        <w:rPr>
          <w:b/>
        </w:rPr>
        <w:t>Usuario:</w:t>
      </w:r>
      <w:r>
        <w:t xml:space="preserve"> Empleado que interactúa con el sistema, caracterizado por su nombre, nombre de usuario único, rol operativo (</w:t>
      </w:r>
      <w:r>
        <w:rPr>
          <w:rFonts w:ascii="Consolas" w:hAnsi="Consolas"/>
          <w:sz w:val="19"/>
        </w:rPr>
        <w:t>ADMIN</w:t>
      </w:r>
      <w:r>
        <w:t xml:space="preserve">, </w:t>
      </w:r>
      <w:r>
        <w:rPr>
          <w:rFonts w:ascii="Consolas" w:hAnsi="Consolas"/>
          <w:sz w:val="19"/>
        </w:rPr>
        <w:t>CAJERO</w:t>
      </w:r>
      <w:r>
        <w:t xml:space="preserve">, </w:t>
      </w:r>
      <w:r>
        <w:rPr>
          <w:rFonts w:ascii="Consolas" w:hAnsi="Consolas"/>
          <w:sz w:val="19"/>
        </w:rPr>
        <w:t>COCINA</w:t>
      </w:r>
      <w:r>
        <w:t>) y estado de activación.</w:t>
      </w:r>
    </w:p>
    <w:p>
      <w:pPr>
        <w:ind w:left="360"/>
      </w:pPr>
      <w:r>
        <w:rPr>
          <w:b/>
        </w:rPr>
        <w:t xml:space="preserve">•  </w:t>
      </w:r>
      <w:r>
        <w:rPr>
          <w:b/>
        </w:rPr>
        <w:t>Mesa:</w:t>
      </w:r>
      <w:r>
        <w:t xml:space="preserve"> Ubicación física dentro del salón comedor con nombre identificador ("Mesa 1") y capacidad de comensales.</w:t>
      </w:r>
    </w:p>
    <w:p>
      <w:pPr>
        <w:ind w:left="360"/>
      </w:pPr>
      <w:r>
        <w:rPr>
          <w:b/>
        </w:rPr>
        <w:t xml:space="preserve">•  </w:t>
      </w:r>
      <w:r>
        <w:rPr>
          <w:b/>
        </w:rPr>
        <w:t>Cliente:</w:t>
      </w:r>
      <w:r>
        <w:t xml:space="preserve"> Persona natural o jurídica que consume en el establecimiento, registrada opcionalmente para efectos de fidelización y contacto.</w:t>
      </w:r>
    </w:p>
    <w:p>
      <w:pPr>
        <w:ind w:left="360"/>
      </w:pPr>
      <w:r>
        <w:rPr>
          <w:b/>
        </w:rPr>
        <w:t xml:space="preserve">•  </w:t>
      </w:r>
      <w:r>
        <w:rPr>
          <w:b/>
        </w:rPr>
        <w:t>Pedido:</w:t>
      </w:r>
      <w:r>
        <w:t xml:space="preserve"> Cabecera del ticket de compra. Articula la fecha operativa de negocio, el número consecutivo del día, el tipo (</w:t>
      </w:r>
      <w:r>
        <w:rPr>
          <w:rFonts w:ascii="Consolas" w:hAnsi="Consolas"/>
          <w:sz w:val="19"/>
        </w:rPr>
        <w:t>MESA</w:t>
      </w:r>
      <w:r>
        <w:t xml:space="preserve"> o </w:t>
      </w:r>
      <w:r>
        <w:rPr>
          <w:rFonts w:ascii="Consolas" w:hAnsi="Consolas"/>
          <w:sz w:val="19"/>
        </w:rPr>
        <w:t>LLEVAR</w:t>
      </w:r>
      <w:r>
        <w:t>), el estado (</w:t>
      </w:r>
      <w:r>
        <w:rPr>
          <w:rFonts w:ascii="Consolas" w:hAnsi="Consolas"/>
          <w:sz w:val="19"/>
        </w:rPr>
        <w:t>ABIERTO</w:t>
      </w:r>
      <w:r>
        <w:t xml:space="preserve">, </w:t>
      </w:r>
      <w:r>
        <w:rPr>
          <w:rFonts w:ascii="Consolas" w:hAnsi="Consolas"/>
          <w:sz w:val="19"/>
        </w:rPr>
        <w:t>CONFIRMADO</w:t>
      </w:r>
      <w:r>
        <w:t xml:space="preserve">, </w:t>
      </w:r>
      <w:r>
        <w:rPr>
          <w:rFonts w:ascii="Consolas" w:hAnsi="Consolas"/>
          <w:sz w:val="19"/>
        </w:rPr>
        <w:t>CERRADO</w:t>
      </w:r>
      <w:r>
        <w:t xml:space="preserve">, </w:t>
      </w:r>
      <w:r>
        <w:rPr>
          <w:rFonts w:ascii="Consolas" w:hAnsi="Consolas"/>
          <w:sz w:val="19"/>
        </w:rPr>
        <w:t>ANULADO</w:t>
      </w:r>
      <w:r>
        <w:t>) y los importes monetarios en enteros COP (total, base gravable e impuesto).</w:t>
      </w:r>
    </w:p>
    <w:p>
      <w:pPr>
        <w:ind w:left="360"/>
      </w:pPr>
      <w:r>
        <w:rPr>
          <w:b/>
        </w:rPr>
        <w:t xml:space="preserve">•  </w:t>
      </w:r>
      <w:r>
        <w:rPr>
          <w:b/>
        </w:rPr>
        <w:t>PedidoItem:</w:t>
      </w:r>
      <w:r>
        <w:t xml:space="preserve"> Detalle de alimentos y bebidas solicitados. Almacena un snapshot inmutable del nombre del producto y su precio unitario al momento de ordenarlo, cantidad y nota culinaria.</w:t>
      </w:r>
    </w:p>
    <w:p>
      <w:pPr>
        <w:ind w:left="360"/>
      </w:pPr>
      <w:r>
        <w:rPr>
          <w:b/>
        </w:rPr>
        <w:t xml:space="preserve">•  </w:t>
      </w:r>
      <w:r>
        <w:rPr>
          <w:b/>
        </w:rPr>
        <w:t>Comanda:</w:t>
      </w:r>
      <w:r>
        <w:t xml:space="preserve"> Orden de trabajo destinada a la cocina (relación 1:1 con el pedido confirmado). Gestiona el número de orden, tipo y el ciclo de preparación (</w:t>
      </w:r>
      <w:r>
        <w:rPr>
          <w:rFonts w:ascii="Consolas" w:hAnsi="Consolas"/>
          <w:sz w:val="19"/>
        </w:rPr>
        <w:t>PENDIENTE</w:t>
      </w:r>
      <w:r>
        <w:t xml:space="preserve">, </w:t>
      </w:r>
      <w:r>
        <w:rPr>
          <w:rFonts w:ascii="Consolas" w:hAnsi="Consolas"/>
          <w:sz w:val="19"/>
        </w:rPr>
        <w:t>EN_PREPARACION</w:t>
      </w:r>
      <w:r>
        <w:t xml:space="preserve">, </w:t>
      </w:r>
      <w:r>
        <w:rPr>
          <w:rFonts w:ascii="Consolas" w:hAnsi="Consolas"/>
          <w:sz w:val="19"/>
        </w:rPr>
        <w:t>LISTA</w:t>
      </w:r>
      <w:r>
        <w:t xml:space="preserve">, </w:t>
      </w:r>
      <w:r>
        <w:rPr>
          <w:rFonts w:ascii="Consolas" w:hAnsi="Consolas"/>
          <w:sz w:val="19"/>
        </w:rPr>
        <w:t>ENTREGADA</w:t>
      </w:r>
      <w:r>
        <w:t xml:space="preserve">, </w:t>
      </w:r>
      <w:r>
        <w:rPr>
          <w:rFonts w:ascii="Consolas" w:hAnsi="Consolas"/>
          <w:sz w:val="19"/>
        </w:rPr>
        <w:t>ANULADA</w:t>
      </w:r>
      <w:r>
        <w:t>) con sus respectivas marcas de tiempo.</w:t>
      </w:r>
    </w:p>
    <w:p>
      <w:pPr>
        <w:ind w:left="360"/>
      </w:pPr>
      <w:r>
        <w:rPr>
          <w:b/>
        </w:rPr>
        <w:t xml:space="preserve">•  </w:t>
      </w:r>
      <w:r>
        <w:rPr>
          <w:b/>
        </w:rPr>
        <w:t>ComandaItem:</w:t>
      </w:r>
      <w:r>
        <w:t xml:space="preserve"> Línea de producción culinaria visible en la pantalla KDS que incluye nombre del plato, cantidad y notas de preparación.</w:t>
      </w:r>
    </w:p>
    <w:p>
      <w:pPr>
        <w:ind w:left="360"/>
      </w:pPr>
      <w:r>
        <w:rPr>
          <w:b/>
        </w:rPr>
        <w:t xml:space="preserve">•  </w:t>
      </w:r>
      <w:r>
        <w:rPr>
          <w:b/>
        </w:rPr>
        <w:t>Categoria:</w:t>
      </w:r>
      <w:r>
        <w:t xml:space="preserve"> Agrupación visual del menú ("Hamburguesas", "Bebidas", "Acompañamientos") con orden numérico para el terminal POS.</w:t>
      </w:r>
    </w:p>
    <w:p>
      <w:pPr>
        <w:ind w:left="360"/>
      </w:pPr>
      <w:r>
        <w:rPr>
          <w:b/>
        </w:rPr>
        <w:t xml:space="preserve">•  </w:t>
      </w:r>
      <w:r>
        <w:rPr>
          <w:b/>
        </w:rPr>
        <w:t>Producto:</w:t>
      </w:r>
      <w:r>
        <w:t xml:space="preserve"> Artículo terminado ofrecido en el menú comercial con precio final en COP, estado de activación y estado de disponibilidad (</w:t>
      </w:r>
      <w:r>
        <w:rPr>
          <w:rFonts w:ascii="Consolas" w:hAnsi="Consolas"/>
          <w:sz w:val="19"/>
        </w:rPr>
        <w:t>agotado</w:t>
      </w:r>
      <w:r>
        <w:t>).</w:t>
      </w:r>
    </w:p>
    <w:p>
      <w:pPr>
        <w:ind w:left="360"/>
      </w:pPr>
      <w:r>
        <w:rPr>
          <w:b/>
        </w:rPr>
        <w:t xml:space="preserve">•  </w:t>
      </w:r>
      <w:r>
        <w:rPr>
          <w:b/>
        </w:rPr>
        <w:t>RecetaItem:</w:t>
      </w:r>
      <w:r>
        <w:t xml:space="preserve"> Tabla asociativa que especifica la fórmula de escandallo: cantidad requerida de un ingrediente específico para confeccionar una unidad de producto.</w:t>
      </w:r>
    </w:p>
    <w:p>
      <w:pPr>
        <w:ind w:left="360"/>
      </w:pPr>
      <w:r>
        <w:rPr>
          <w:b/>
        </w:rPr>
        <w:t xml:space="preserve">•  </w:t>
      </w:r>
      <w:r>
        <w:rPr>
          <w:b/>
        </w:rPr>
        <w:t>Ingrediente:</w:t>
      </w:r>
      <w:r>
        <w:t xml:space="preserve"> Materia prima controlada en inventario, cuantificada en una unidad base entera (</w:t>
      </w:r>
      <w:r>
        <w:rPr>
          <w:rFonts w:ascii="Consolas" w:hAnsi="Consolas"/>
          <w:sz w:val="19"/>
        </w:rPr>
        <w:t>G</w:t>
      </w:r>
      <w:r>
        <w:t xml:space="preserve">, </w:t>
      </w:r>
      <w:r>
        <w:rPr>
          <w:rFonts w:ascii="Consolas" w:hAnsi="Consolas"/>
          <w:sz w:val="19"/>
        </w:rPr>
        <w:t>ML</w:t>
      </w:r>
      <w:r>
        <w:t xml:space="preserve">, </w:t>
      </w:r>
      <w:r>
        <w:rPr>
          <w:rFonts w:ascii="Consolas" w:hAnsi="Consolas"/>
          <w:sz w:val="19"/>
        </w:rPr>
        <w:t>UND</w:t>
      </w:r>
      <w:r>
        <w:t>), con stock actual, stock mínimo para alertas y costo unitario promedio.</w:t>
      </w:r>
    </w:p>
    <w:p>
      <w:pPr>
        <w:ind w:left="360"/>
      </w:pPr>
      <w:r>
        <w:rPr>
          <w:b/>
        </w:rPr>
        <w:t xml:space="preserve">•  </w:t>
      </w:r>
      <w:r>
        <w:rPr>
          <w:b/>
        </w:rPr>
        <w:t>MovimientoInventario:</w:t>
      </w:r>
      <w:r>
        <w:t xml:space="preserve"> Registro inmutable del kardex que almacena cada mutación de existencias (</w:t>
      </w:r>
      <w:r>
        <w:rPr>
          <w:rFonts w:ascii="Consolas" w:hAnsi="Consolas"/>
          <w:sz w:val="19"/>
        </w:rPr>
        <w:t>CONSUMO</w:t>
      </w:r>
      <w:r>
        <w:t xml:space="preserve">, </w:t>
      </w:r>
      <w:r>
        <w:rPr>
          <w:rFonts w:ascii="Consolas" w:hAnsi="Consolas"/>
          <w:sz w:val="19"/>
        </w:rPr>
        <w:t>ENTRADA</w:t>
      </w:r>
      <w:r>
        <w:t xml:space="preserve">, </w:t>
      </w:r>
      <w:r>
        <w:rPr>
          <w:rFonts w:ascii="Consolas" w:hAnsi="Consolas"/>
          <w:sz w:val="19"/>
        </w:rPr>
        <w:t>AJUSTE</w:t>
      </w:r>
      <w:r>
        <w:t xml:space="preserve">, </w:t>
      </w:r>
      <w:r>
        <w:rPr>
          <w:rFonts w:ascii="Consolas" w:hAnsi="Consolas"/>
          <w:sz w:val="19"/>
        </w:rPr>
        <w:t>MERMA</w:t>
      </w:r>
      <w:r>
        <w:t xml:space="preserve">, </w:t>
      </w:r>
      <w:r>
        <w:rPr>
          <w:rFonts w:ascii="Consolas" w:hAnsi="Consolas"/>
          <w:sz w:val="19"/>
        </w:rPr>
        <w:t>REVERSION</w:t>
      </w:r>
      <w:r>
        <w:t>), cantidad con signo, saldo resultante y justificación.</w:t>
      </w:r>
    </w:p>
    <w:p>
      <w:pPr>
        <w:ind w:left="360"/>
      </w:pPr>
      <w:r>
        <w:rPr>
          <w:b/>
        </w:rPr>
        <w:t xml:space="preserve">•  </w:t>
      </w:r>
      <w:r>
        <w:rPr>
          <w:b/>
        </w:rPr>
        <w:t>SesionCaja:</w:t>
      </w:r>
      <w:r>
        <w:t xml:space="preserve"> Turno operativo del cajero. Registra el saldo base de apertura, el efectivo esperado consolidado, el dinero físico contado al cierre, la diferencia resultante (sobrante o faltante) y las horas de apertura y clausura.</w:t>
      </w:r>
    </w:p>
    <w:p>
      <w:pPr>
        <w:ind w:left="360"/>
      </w:pPr>
      <w:r>
        <w:rPr>
          <w:b/>
        </w:rPr>
        <w:t xml:space="preserve">•  </w:t>
      </w:r>
      <w:r>
        <w:rPr>
          <w:b/>
        </w:rPr>
        <w:t>MovimientoCaja:</w:t>
      </w:r>
      <w:r>
        <w:t xml:space="preserve"> Flujo manual de efectivo dentro de una sesión de caja (</w:t>
      </w:r>
      <w:r>
        <w:rPr>
          <w:rFonts w:ascii="Consolas" w:hAnsi="Consolas"/>
          <w:sz w:val="19"/>
        </w:rPr>
        <w:t>INGRESO</w:t>
      </w:r>
      <w:r>
        <w:t xml:space="preserve"> o </w:t>
      </w:r>
      <w:r>
        <w:rPr>
          <w:rFonts w:ascii="Consolas" w:hAnsi="Consolas"/>
          <w:sz w:val="19"/>
        </w:rPr>
        <w:t>RETIRO</w:t>
      </w:r>
      <w:r>
        <w:t>) con justificación obligatoria.</w:t>
      </w:r>
    </w:p>
    <w:p>
      <w:pPr>
        <w:ind w:left="360"/>
      </w:pPr>
      <w:r>
        <w:rPr>
          <w:b/>
        </w:rPr>
        <w:t xml:space="preserve">•  </w:t>
      </w:r>
      <w:r>
        <w:rPr>
          <w:b/>
        </w:rPr>
        <w:t>Recibo:</w:t>
      </w:r>
      <w:r>
        <w:t xml:space="preserve"> Comprobante interno de venta POS emitido tras el cobro. Contiene número correlativo global ascendente (</w:t>
      </w:r>
      <w:r>
        <w:rPr>
          <w:rFonts w:ascii="Consolas" w:hAnsi="Consolas"/>
          <w:sz w:val="19"/>
        </w:rPr>
        <w:t>R-000001</w:t>
      </w:r>
      <w:r>
        <w:t>), desglose financiero, snapshot de régimen tributario y leyenda legal obligatoria de documento no fiscal.</w:t>
      </w:r>
    </w:p>
    <w:p>
      <w:pPr>
        <w:ind w:left="360"/>
      </w:pPr>
      <w:r>
        <w:rPr>
          <w:b/>
        </w:rPr>
        <w:t xml:space="preserve">•  </w:t>
      </w:r>
      <w:r>
        <w:rPr>
          <w:b/>
        </w:rPr>
        <w:t>Pago:</w:t>
      </w:r>
      <w:r>
        <w:t xml:space="preserve"> Medio con el que se liquida el recibo (</w:t>
      </w:r>
      <w:r>
        <w:rPr>
          <w:rFonts w:ascii="Consolas" w:hAnsi="Consolas"/>
          <w:sz w:val="19"/>
        </w:rPr>
        <w:t>EFECTIVO</w:t>
      </w:r>
      <w:r>
        <w:t xml:space="preserve">, </w:t>
      </w:r>
      <w:r>
        <w:rPr>
          <w:rFonts w:ascii="Consolas" w:hAnsi="Consolas"/>
          <w:sz w:val="19"/>
        </w:rPr>
        <w:t>TARJETA</w:t>
      </w:r>
      <w:r>
        <w:t xml:space="preserve">, </w:t>
      </w:r>
      <w:r>
        <w:rPr>
          <w:rFonts w:ascii="Consolas" w:hAnsi="Consolas"/>
          <w:sz w:val="19"/>
        </w:rPr>
        <w:t>TRANSFERENCIA</w:t>
      </w:r>
      <w:r>
        <w:t>), con registro de dinero recibido y vueltas calculadas.</w:t>
      </w:r>
    </w:p>
    <w:p>
      <w:pPr>
        <w:ind w:left="360"/>
      </w:pPr>
      <w:r>
        <w:rPr>
          <w:b/>
        </w:rPr>
        <w:t xml:space="preserve">•  </w:t>
      </w:r>
      <w:r>
        <w:rPr>
          <w:b/>
        </w:rPr>
        <w:t>EventoSistema:</w:t>
      </w:r>
      <w:r>
        <w:t xml:space="preserve"> Registro del outbox transaccional y bitácora de auditoría que preserva la secuencia causal inmutable de todas las mutaciones relevantes ocurridas entre los módulos.</w:t>
      </w:r>
    </w:p>
    <w:p>
      <w:pPr>
        <w:pStyle w:val="Heading2"/>
      </w:pPr>
      <w:r>
        <w:t>1.4 Glosario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</w:tblPr>
      <w:tblGrid>
        <w:gridCol w:w="4986"/>
        <w:gridCol w:w="4986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Término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Definición</w:t>
            </w:r>
          </w:p>
        </w:tc>
      </w:tr>
      <w:tr>
        <w:tc>
          <w:tcPr>
            <w:tcW w:type="dxa" w:w="432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POS (Point of Sale)</w:t>
            </w:r>
          </w:p>
        </w:tc>
        <w:tc>
          <w:tcPr>
            <w:tcW w:type="dxa" w:w="432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Sistema informático de punto de venta utilizado en el mostrador para registrar órdenes de clientes, gestionar tickets y liquidar cobros.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KDS (Kitchen Display System)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Sistema de visualización de cocina en monitor o televisor que reemplaza las comandas tradicionales de papel por tarjetas electrónicas actualizadas en tiempo real.</w:t>
            </w:r>
          </w:p>
        </w:tc>
      </w:tr>
      <w:tr>
        <w:tc>
          <w:tcPr>
            <w:tcW w:type="dxa" w:w="432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Fecha Operativa</w:t>
            </w:r>
          </w:p>
        </w:tc>
        <w:tc>
          <w:tcPr>
            <w:tcW w:type="dxa" w:w="432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Día contable y operacional del restaurante que comprende desde las 05:00 a.m. de un día calendario hasta las 04:59 a.m. del día siguiente (hora legal de Colombia </w:t>
            </w:r>
            <w:r>
              <w:rPr>
                <w:rFonts w:ascii="Consolas" w:hAnsi="Consolas"/>
                <w:sz w:val="18"/>
              </w:rPr>
              <w:t>America/Bogota</w:t>
            </w:r>
            <w:r>
              <w:rPr>
                <w:sz w:val="18"/>
              </w:rPr>
              <w:t>), evitando que el corte de medianoche fracture los turnos de servicio nocturnos (RN-16).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Monolito Modular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Estilo arquitectónico donde todo el sistema reside y se despliega como un único artefacto de software pero está internamente particionado en módulos estrictamente desacoplados, comunicados mediante contratos explícitos.</w:t>
            </w:r>
          </w:p>
        </w:tc>
      </w:tr>
      <w:tr>
        <w:tc>
          <w:tcPr>
            <w:tcW w:type="dxa" w:w="432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Transactional Outbox</w:t>
            </w:r>
          </w:p>
        </w:tc>
        <w:tc>
          <w:tcPr>
            <w:tcW w:type="dxa" w:w="432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Patrón de diseño de software empresarial donde los eventos de dominio se insertan en una tabla relacional (</w:t>
            </w:r>
            <w:r>
              <w:rPr>
                <w:rFonts w:ascii="Consolas" w:hAnsi="Consolas"/>
                <w:sz w:val="18"/>
              </w:rPr>
              <w:t>evento_sistema</w:t>
            </w:r>
            <w:r>
              <w:rPr>
                <w:sz w:val="18"/>
              </w:rPr>
              <w:t>) dentro de la misma transacción ACID de negocio, garantizando que solo se emitan si la mutación fue confirmada exitosamente en disco.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Server-Sent Events (SSE)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Protocolo unidireccional estandarizado sobre HTTP mediante el cual el servidor transmite eventos en tiempo real hacia los navegadores web clientes sin requerir sondeo constante (</w:t>
            </w:r>
            <w:r>
              <w:rPr>
                <w:i/>
                <w:sz w:val="18"/>
              </w:rPr>
              <w:t>polling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432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Kardex</w:t>
            </w:r>
          </w:p>
        </w:tc>
        <w:tc>
          <w:tcPr>
            <w:tcW w:type="dxa" w:w="432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Libro o registro auxiliar inmutable y cronológico de inventario donde se asientan todas las entradas, salidas y saldos físicos de cada materia prima.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Arqueo Ciego de Caja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Procedimiento de control interno donde el cajero debe contar y digitar el dinero físico existente en la gaveta sin conocer previamente la cifra calculada por el sistema, garantizando la honestidad del balance.</w:t>
            </w:r>
          </w:p>
        </w:tc>
      </w:tr>
      <w:tr>
        <w:tc>
          <w:tcPr>
            <w:tcW w:type="dxa" w:w="432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Bloqueo Pesimista (FOR UPDATE)</w:t>
            </w:r>
          </w:p>
        </w:tc>
        <w:tc>
          <w:tcPr>
            <w:tcW w:type="dxa" w:w="432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Mecanismo de base de datos relacional que bloquea filas en lectura para impedir que transacciones concurrentes las modifiquen simultáneamente, previniendo sobreventas o inventario negativo.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Escandallo / Receta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Desglose cuantitativo exacto de los ingredientes necesarios para elaborar una porción o unidad de un producto gastronómico.</w:t>
            </w:r>
          </w:p>
        </w:tc>
      </w:tr>
    </w:tbl>
    <w:p>
      <w:pPr>
        <w:spacing w:before="60" w:after="60"/>
      </w:pPr>
    </w:p>
    <w:p>
      <w:r>
        <w:br w:type="page"/>
      </w:r>
    </w:p>
    <w:p>
      <w:pPr>
        <w:pStyle w:val="Heading1"/>
      </w:pPr>
      <w:r>
        <w:t>2. Requisitos</w:t>
      </w:r>
    </w:p>
    <w:p>
      <w:pPr/>
      <w:r>
        <w:t xml:space="preserve">A continuación se presentan los requisitos funcionales y no funcionales del sistema, priorizados mediante el método </w:t>
      </w:r>
      <w:r>
        <w:rPr>
          <w:b/>
        </w:rPr>
        <w:t>MoSCoW</w:t>
      </w:r>
      <w:r>
        <w:t xml:space="preserve"> (</w:t>
      </w:r>
      <w:r>
        <w:rPr>
          <w:i/>
        </w:rPr>
        <w:t>Must Have</w:t>
      </w:r>
      <w:r>
        <w:t xml:space="preserve">, </w:t>
      </w:r>
      <w:r>
        <w:rPr>
          <w:i/>
        </w:rPr>
        <w:t>Should Have</w:t>
      </w:r>
      <w:r>
        <w:t xml:space="preserve">, </w:t>
      </w:r>
      <w:r>
        <w:rPr>
          <w:i/>
        </w:rPr>
        <w:t>Could Have</w:t>
      </w:r>
      <w:r>
        <w:t xml:space="preserve">, </w:t>
      </w:r>
      <w:r>
        <w:rPr>
          <w:i/>
        </w:rPr>
        <w:t>Won't Have</w:t>
      </w:r>
      <w:r>
        <w:t>) y enlazados a sus correspondientes casos de uso y reglas de negocio.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728"/>
            <w:shd w:val="clear" w:color="auto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ID Requisito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Tipo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Descripción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Prioridad (MoSCoW)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Casos de Uso Asociados</w:t>
            </w:r>
          </w:p>
        </w:tc>
      </w:tr>
      <w:tr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RF-01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Funcional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Autenticar usuarios con credenciales y establecer sesiones opacas seguras en base de datos con redirección por rol.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Must Have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CU-01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RF-02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Funcional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Gestionar cuentas de empleados (crear, editar, activar/desactivar) y asignación de roles RBAC (Admin, Cajero, Cocina).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Must Have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CU-02</w:t>
            </w:r>
          </w:p>
        </w:tc>
      </w:tr>
      <w:tr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RF-03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Funcional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Iniciar pedidos de venta asignando mesa libre o modalidad para llevar, con consecutivo diario y fecha operativa.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Must Have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CU-03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RF-04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Funcional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Armar líneas de ticket copiando snapshot inmutable de precios y nombres, permitiendo notas culinarias por ítem.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Must Have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CU-04</w:t>
            </w:r>
          </w:p>
        </w:tc>
      </w:tr>
      <w:tr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RF-05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Funcional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Confirmar pedidos descontando stock de recetas con bloqueo atómico FOR UPDATE y generando comanda KDS en la misma transacción.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Must Have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CU-05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RF-06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Funcional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Visualizar y recuperar pedidos activos (abiertos y confirmados) con estados de cocina actualizados en tiempo real.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Must Have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CU-06</w:t>
            </w:r>
          </w:p>
        </w:tc>
      </w:tr>
      <w:tr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RF-07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Funcional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Administrar el avance del ciclo de preparación de comandas en KDS (Pendiente, Preparación, Lista, Entregada) con alertas de tiempo.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Must Have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CU-07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RF-08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Funcional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Registrar apertura de sesión de caja con fondo base en efectivo, restringiendo a una sesión activa por cajero.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Must Have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CU-08</w:t>
            </w:r>
          </w:p>
        </w:tc>
      </w:tr>
      <w:tr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RF-09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Funcional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Cobrar pedidos en un único medio de pago, liquidar propina voluntaria en mesas, calcular cambio y emitir recibo no fiscal de 80 mm.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Must Have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CU-09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RF-10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Funcional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Registrar ingresos y retiros manuales de efectivo en gaveta con motivo obligatorio y prevención de saldo negativo.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Must Have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CU-10</w:t>
            </w:r>
          </w:p>
        </w:tc>
      </w:tr>
      <w:tr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RF-11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Funcional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Realizar cierre de caja con arqueo ciego, calculando el efectivo esperado y la diferencia (sobrante o faltante).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Must Have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CU-11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RF-12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Funcional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Gestionar categorías y productos del menú con precio final al consumidor en pesos COP (Ley 1480 de 2011).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Must Have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CU-12</w:t>
            </w:r>
          </w:p>
        </w:tc>
      </w:tr>
      <w:tr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RF-13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Funcional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Configurar recetas de ingredientes en unidades base y reevaluar automáticamente el estado de agotado del producto.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Must Have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CU-13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RF-14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Funcional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Registrar compras y entradas de mercancía sumando stock al kardex y reponiendo productos del menú agotados.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Must Have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CU-14</w:t>
            </w:r>
          </w:p>
        </w:tc>
      </w:tr>
      <w:tr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RF-15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Funcional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Registrar mermas de insumos deteriorados y ajustes físicos de inventario justificando obligatoriamente el motivo.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Must Have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CU-15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RF-16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Funcional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Consultar el libro mayor o kardex de inventario con saldo resultante por movimiento y referencia al pedido causante.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Must Have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CU-16</w:t>
            </w:r>
          </w:p>
        </w:tc>
      </w:tr>
      <w:tr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RF-17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Funcional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Visualizar dashboard administrativo en tiempo real con ventas del día, ticket promedio, tiempos de cocina y alertas de stock.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Must Have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CU-17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RF-18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Funcional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Auditar la bitácora de eventos de dominio generados por el outbox transaccional para verificar la sincronía sistémica.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Must Have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CU-18</w:t>
            </w:r>
          </w:p>
        </w:tc>
      </w:tr>
      <w:tr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RNF-01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No Funcional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Rendimiento de la API: latencia p95 &lt; 200 ms en operaciones de mostrador bajo concurrencia local.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Must Have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Transversal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RNF-02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No Funcional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Latencia de propagación de eventos en tiempo real: confirmación en POS → visualización en KDS en ≤ 2 segundos.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Must Have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CU-05, CU-07</w:t>
            </w:r>
          </w:p>
        </w:tc>
      </w:tr>
      <w:tr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RNF-03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No Funcional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Autonomía en red local: operación ininterrumpida dentro de la LAN sin requerir internet para la operativa diaria.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Must Have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Transversal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RNF-04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No Funcional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Manejo financiero estricto: cero uso de números de punto flotante para dinero; cálculos exclusivos en enteros COP.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Must Have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CU-04, CU-09, CU-11</w:t>
            </w:r>
          </w:p>
        </w:tc>
      </w:tr>
      <w:tr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RNF-05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No Funcional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Seguridad de contraseñas y sesiones: hash Argon2id, tokens aleatorios de 256 bits y protección contra ataques CSRF y fuerza bruta.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Must Have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CU-01, CU-02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RNF-06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No Funcional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Usabilidad y diseño táctil: objetivos táctiles ≥ 48 px, cobro de combo en ≤ 4 toques y legibilidad de KDS a 2 metros.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Must Have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CU-04, CU-07, CU-09</w:t>
            </w:r>
          </w:p>
        </w:tc>
      </w:tr>
      <w:tr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RNF-07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No Funcional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Modularidad y bajo acoplamiento: fronteras verificadas por </w:t>
            </w:r>
            <w:r>
              <w:rPr>
                <w:rFonts w:ascii="Consolas" w:hAnsi="Consolas"/>
                <w:sz w:val="18"/>
              </w:rPr>
              <w:t>dependency-cruiser</w:t>
            </w:r>
            <w:r>
              <w:rPr>
                <w:sz w:val="18"/>
              </w:rPr>
              <w:t xml:space="preserve"> sin importaciones cruzadas de internals.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Must Have</w:t>
            </w:r>
          </w:p>
        </w:tc>
        <w:tc>
          <w:tcPr>
            <w:tcW w:type="dxa" w:w="1728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Transversal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RNF-08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No Funcional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Accesibilidad web: cumplimiento de directrices WCAG 2.2 nivel AA en interfaces POS y Administración.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Should Have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Transversal</w:t>
            </w:r>
          </w:p>
        </w:tc>
      </w:tr>
    </w:tbl>
    <w:p>
      <w:pPr>
        <w:spacing w:before="60" w:after="60"/>
      </w:pPr>
    </w:p>
    <w:p>
      <w:pPr>
        <w:ind w:left="432" w:right="432"/>
      </w:pPr>
      <w:r>
        <w:rPr>
          <w:b/>
          <w:i/>
        </w:rPr>
        <w:t>Nota Metodológica:</w:t>
      </w:r>
      <w:r>
        <w:rPr>
          <w:i/>
        </w:rPr>
        <w:t xml:space="preserve"> La especificación pormenorizada y formal de los requisitos del software, elaborada conforme al estándar internacional </w:t>
      </w:r>
      <w:r>
        <w:rPr>
          <w:b/>
          <w:i/>
        </w:rPr>
        <w:t>ISO/IEC/IEEE 29148</w:t>
      </w:r>
      <w:r>
        <w:rPr>
          <w:i/>
        </w:rPr>
        <w:t xml:space="preserve">, se encuentra desarrollada en el documento anexo correspondiente: </w:t>
      </w:r>
      <w:r>
        <w:rPr>
          <w:rFonts w:ascii="Consolas" w:hAnsi="Consolas"/>
          <w:i/>
          <w:sz w:val="19"/>
        </w:rPr>
        <w:t>Especificacion de Requisitos - MonsterBurguer.docx</w:t>
      </w:r>
      <w:r>
        <w:rPr>
          <w:i/>
        </w:rPr>
        <w:t>.</w:t>
      </w:r>
    </w:p>
    <w:p>
      <w:r>
        <w:br w:type="page"/>
      </w:r>
    </w:p>
    <w:p>
      <w:pPr>
        <w:pStyle w:val="Heading1"/>
      </w:pPr>
      <w:r>
        <w:t>3. Modelo de Diseño</w:t>
      </w:r>
    </w:p>
    <w:p>
      <w:pPr/>
      <w:r>
        <w:t>Esta sección detalla el diseño del sistema a través de las Vistas 4+1 de Kruchten, justificando las decisiones de ingeniería adoptadas y evidenciando la aplicación de patrones arquitectónicos y de diseño orientado a objetos.</w:t>
      </w:r>
    </w:p>
    <w:p>
      <w:pPr>
        <w:pStyle w:val="Heading2"/>
      </w:pPr>
      <w:r>
        <w:t>3.1 Vista de Escenarios</w:t>
      </w:r>
    </w:p>
    <w:p>
      <w:pPr/>
      <w:r>
        <w:t>La Vista de Escenarios une y valida las restantes cuatro vistas desde la perspectiva del usuario final.</w:t>
      </w:r>
    </w:p>
    <w:p>
      <w:pPr>
        <w:pStyle w:val="Heading3"/>
      </w:pPr>
      <w:r>
        <w:t>3.1.1 Casos de Uso de Diseño</w:t>
      </w:r>
    </w:p>
    <w:p>
      <w:pPr/>
      <w:r>
        <w:t>Los casos de uso de diseño refinan los casos de uso esenciales del negocio, describiendo la interacción técnica paso a paso entre el actor, la interfaz de usuario, los controladores de la API, los servicios de dominio y la base de datos relacional.</w:t>
      </w:r>
    </w:p>
    <w:p>
      <w:pPr>
        <w:pStyle w:val="Heading4"/>
      </w:pPr>
      <w:r>
        <w:t>D-CU-05: Confirmar Pedido y Enviar a Cocina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Paso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Actor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Sistema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Detalle</w:t>
            </w:r>
          </w:p>
        </w:tc>
      </w:tr>
      <w:tr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Cajero</w:t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Pulsa el botón "Enviar a cocina" en la pantalla del POS.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Sistema (Web POS)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Valida que el ticket contenga al menos una línea y deshabilita el botón para evitar doble envío.</w:t>
            </w:r>
          </w:p>
        </w:tc>
      </w:tr>
      <w:tr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Sistema (Web POS)</w:t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Despacha petición HTTP </w:t>
            </w:r>
            <w:r>
              <w:rPr>
                <w:rFonts w:ascii="Consolas" w:hAnsi="Consolas"/>
                <w:sz w:val="18"/>
              </w:rPr>
              <w:t>POST /api/v1/pedidos/{id}/confirmar</w:t>
            </w:r>
            <w:r>
              <w:rPr>
                <w:sz w:val="18"/>
              </w:rPr>
              <w:t xml:space="preserve"> incluyendo cookie de sesión.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Sistema (API NestJS)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OrigenGuard</w:t>
            </w:r>
            <w:r>
              <w:rPr>
                <w:sz w:val="18"/>
              </w:rPr>
              <w:t xml:space="preserve"> y </w:t>
            </w:r>
            <w:r>
              <w:rPr>
                <w:rFonts w:ascii="Consolas" w:hAnsi="Consolas"/>
                <w:sz w:val="18"/>
              </w:rPr>
              <w:t>SesionGuard</w:t>
            </w:r>
            <w:r>
              <w:rPr>
                <w:sz w:val="18"/>
              </w:rPr>
              <w:t xml:space="preserve"> validan autenticación y pertenencia de la solicitud.</w:t>
            </w:r>
          </w:p>
        </w:tc>
      </w:tr>
      <w:tr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Sistema (API NestJS)</w:t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PedidosController</w:t>
            </w:r>
            <w:r>
              <w:rPr>
                <w:sz w:val="18"/>
              </w:rPr>
              <w:t xml:space="preserve"> delega la ejecución en </w:t>
            </w:r>
            <w:r>
              <w:rPr>
                <w:rFonts w:ascii="Consolas" w:hAnsi="Consolas"/>
                <w:sz w:val="18"/>
              </w:rPr>
              <w:t>PedidosService.confirmarBloqueado(id, usuarioId)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Sistema (API NestJS)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PedidosService</w:t>
            </w:r>
            <w:r>
              <w:rPr>
                <w:sz w:val="18"/>
              </w:rPr>
              <w:t xml:space="preserve"> abre una transacción ACID (</w:t>
            </w:r>
            <w:r>
              <w:rPr>
                <w:rFonts w:ascii="Consolas" w:hAnsi="Consolas"/>
                <w:sz w:val="18"/>
              </w:rPr>
              <w:t>tx</w:t>
            </w:r>
            <w:r>
              <w:rPr>
                <w:sz w:val="18"/>
              </w:rPr>
              <w:t>) en PostgreSQL.</w:t>
            </w:r>
          </w:p>
        </w:tc>
      </w:tr>
      <w:tr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Sistema (API NestJS)</w:t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Bloquea el pedido en la base de datos mediante </w:t>
            </w:r>
            <w:r>
              <w:rPr>
                <w:rFonts w:ascii="Consolas" w:hAnsi="Consolas"/>
                <w:sz w:val="18"/>
              </w:rPr>
              <w:t>SELECT ... FOR UPDATE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Sistema (API NestJS)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Invoca a </w:t>
            </w:r>
            <w:r>
              <w:rPr>
                <w:rFonts w:ascii="Consolas" w:hAnsi="Consolas"/>
                <w:sz w:val="18"/>
              </w:rPr>
              <w:t>InventarioPublicService.consumir(tx, items, ...)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Sistema (API NestJS)</w:t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InventarioService</w:t>
            </w:r>
            <w:r>
              <w:rPr>
                <w:sz w:val="18"/>
              </w:rPr>
              <w:t xml:space="preserve"> ejecuta </w:t>
            </w:r>
            <w:r>
              <w:rPr>
                <w:rFonts w:ascii="Consolas" w:hAnsi="Consolas"/>
                <w:sz w:val="18"/>
              </w:rPr>
              <w:t>SELECT ... FOR UPDATE</w:t>
            </w:r>
            <w:r>
              <w:rPr>
                <w:sz w:val="18"/>
              </w:rPr>
              <w:t xml:space="preserve"> sobre la tabla </w:t>
            </w:r>
            <w:r>
              <w:rPr>
                <w:rFonts w:ascii="Consolas" w:hAnsi="Consolas"/>
                <w:sz w:val="18"/>
              </w:rPr>
              <w:t>ingrediente</w:t>
            </w:r>
            <w:r>
              <w:rPr>
                <w:sz w:val="18"/>
              </w:rPr>
              <w:t xml:space="preserve"> ordenando por </w:t>
            </w:r>
            <w:r>
              <w:rPr>
                <w:rFonts w:ascii="Consolas" w:hAnsi="Consolas"/>
                <w:sz w:val="18"/>
              </w:rPr>
              <w:t>id ASC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Sistema (API NestJS)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Verifica que </w:t>
            </w:r>
            <w:r>
              <w:rPr>
                <w:rFonts w:ascii="Consolas" w:hAnsi="Consolas"/>
                <w:sz w:val="18"/>
              </w:rPr>
              <w:t>stock_actual &gt;= requerido</w:t>
            </w:r>
            <w:r>
              <w:rPr>
                <w:sz w:val="18"/>
              </w:rPr>
              <w:t xml:space="preserve">. Descuenta las cantidades e inserta filas en </w:t>
            </w:r>
            <w:r>
              <w:rPr>
                <w:rFonts w:ascii="Consolas" w:hAnsi="Consolas"/>
                <w:sz w:val="18"/>
              </w:rPr>
              <w:t>movimiento_inventario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CONSUMO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Sistema (API NestJS)</w:t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Invoca a </w:t>
            </w:r>
            <w:r>
              <w:rPr>
                <w:rFonts w:ascii="Consolas" w:hAnsi="Consolas"/>
                <w:sz w:val="18"/>
              </w:rPr>
              <w:t>CocinaPublicService.crearComanda(tx, datosComanda)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Sistema (API NestJS)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CocinaService</w:t>
            </w:r>
            <w:r>
              <w:rPr>
                <w:sz w:val="18"/>
              </w:rPr>
              <w:t xml:space="preserve"> inserta la comanda en estado </w:t>
            </w:r>
            <w:r>
              <w:rPr>
                <w:rFonts w:ascii="Consolas" w:hAnsi="Consolas"/>
                <w:sz w:val="18"/>
              </w:rPr>
              <w:t>PENDIENTE</w:t>
            </w:r>
            <w:r>
              <w:rPr>
                <w:sz w:val="18"/>
              </w:rPr>
              <w:t xml:space="preserve"> y sus correspondientes </w:t>
            </w:r>
            <w:r>
              <w:rPr>
                <w:rFonts w:ascii="Consolas" w:hAnsi="Consolas"/>
                <w:sz w:val="18"/>
              </w:rPr>
              <w:t>comanda_item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Sistema (API NestJS)</w:t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Actualiza el estado del pedido a </w:t>
            </w:r>
            <w:r>
              <w:rPr>
                <w:rFonts w:ascii="Consolas" w:hAnsi="Consolas"/>
                <w:sz w:val="18"/>
              </w:rPr>
              <w:t>CONFIRMADO</w:t>
            </w:r>
            <w:r>
              <w:rPr>
                <w:sz w:val="18"/>
              </w:rPr>
              <w:t xml:space="preserve"> y registra </w:t>
            </w:r>
            <w:r>
              <w:rPr>
                <w:rFonts w:ascii="Consolas" w:hAnsi="Consolas"/>
                <w:sz w:val="18"/>
              </w:rPr>
              <w:t>confirmado_at = now()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Sistema (API NestJS)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EventBus.publicarEnTx</w:t>
            </w:r>
            <w:r>
              <w:rPr>
                <w:sz w:val="18"/>
              </w:rPr>
              <w:t xml:space="preserve"> inserta la fila del evento </w:t>
            </w:r>
            <w:r>
              <w:rPr>
                <w:rFonts w:ascii="Consolas" w:hAnsi="Consolas"/>
                <w:sz w:val="18"/>
              </w:rPr>
              <w:t>PedidoConfirmado</w:t>
            </w:r>
            <w:r>
              <w:rPr>
                <w:sz w:val="18"/>
              </w:rPr>
              <w:t xml:space="preserve"> en la tabla </w:t>
            </w:r>
            <w:r>
              <w:rPr>
                <w:rFonts w:ascii="Consolas" w:hAnsi="Consolas"/>
                <w:sz w:val="18"/>
              </w:rPr>
              <w:t>evento_sistema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Sistema (API NestJS)</w:t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Ejecuta </w:t>
            </w:r>
            <w:r>
              <w:rPr>
                <w:rFonts w:ascii="Consolas" w:hAnsi="Consolas"/>
                <w:sz w:val="18"/>
              </w:rPr>
              <w:t>COMMIT</w:t>
            </w:r>
            <w:r>
              <w:rPr>
                <w:sz w:val="18"/>
              </w:rPr>
              <w:t xml:space="preserve"> de la transacción. PostgreSQL emite </w:t>
            </w:r>
            <w:r>
              <w:rPr>
                <w:rFonts w:ascii="Consolas" w:hAnsi="Consolas"/>
                <w:sz w:val="18"/>
              </w:rPr>
              <w:t>NOTIFY evento_sistema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Sistema (API NestJS)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OutboxDispatcher</w:t>
            </w:r>
            <w:r>
              <w:rPr>
                <w:sz w:val="18"/>
              </w:rPr>
              <w:t xml:space="preserve"> despierta, toma el evento y ejecuta los </w:t>
            </w:r>
            <w:r>
              <w:rPr>
                <w:i/>
                <w:sz w:val="18"/>
              </w:rPr>
              <w:t>handlers</w:t>
            </w:r>
            <w:r>
              <w:rPr>
                <w:sz w:val="18"/>
              </w:rPr>
              <w:t xml:space="preserve"> post-commit.</w:t>
            </w:r>
          </w:p>
        </w:tc>
      </w:tr>
      <w:tr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Sistema (API NestJS)</w:t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RealtimeService</w:t>
            </w:r>
            <w:r>
              <w:rPr>
                <w:sz w:val="18"/>
              </w:rPr>
              <w:t xml:space="preserve"> despacha el evento SSE </w:t>
            </w:r>
            <w:r>
              <w:rPr>
                <w:rFonts w:ascii="Consolas" w:hAnsi="Consolas"/>
                <w:sz w:val="18"/>
              </w:rPr>
              <w:t>comanda.nueva</w:t>
            </w:r>
            <w:r>
              <w:rPr>
                <w:sz w:val="18"/>
              </w:rPr>
              <w:t xml:space="preserve"> a la pantalla KDS.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Sistema (Web POS)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Recibe respuesta HTTP 200 con número del día y actualiza el ticket a modo lectura.</w:t>
            </w:r>
          </w:p>
        </w:tc>
      </w:tr>
      <w:tr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19</w:t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Cocinero</w:t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Visualiza la nueva tarjeta de orden en la columna "Pendiente" del KDS con alerta sonora.</w:t>
            </w:r>
          </w:p>
        </w:tc>
      </w:tr>
    </w:tbl>
    <w:p>
      <w:pPr>
        <w:spacing w:before="60" w:after="60"/>
      </w:pPr>
    </w:p>
    <w:p>
      <w:pPr>
        <w:pStyle w:val="Heading4"/>
      </w:pPr>
      <w:r>
        <w:t>D-CU-09: Cobrar Pedido y Liquidar Recibo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Paso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Actor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Sistema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Detalle</w:t>
            </w:r>
          </w:p>
        </w:tc>
      </w:tr>
      <w:tr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Cajero</w:t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Presiona el botón "Cobrar" en el ticket del POS.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Sistema (Web POS)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Abre el modal accesible de cobro; si el pedido es de mesa, consulta propina voluntaria sugerida (10 %).</w:t>
            </w:r>
          </w:p>
        </w:tc>
      </w:tr>
      <w:tr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Cajero</w:t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Selecciona medio de pago (Efectivo) y digita el monto recibido en pesos.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Sistema (Web POS)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Calcula el cambio en tiempo real y habilita el botón "Confirmar Cobro".</w:t>
            </w:r>
          </w:p>
        </w:tc>
      </w:tr>
      <w:tr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Cajero</w:t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Presiona "Confirmar Cobro".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Sistema (Web POS)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Envía petición HTTP </w:t>
            </w:r>
            <w:r>
              <w:rPr>
                <w:rFonts w:ascii="Consolas" w:hAnsi="Consolas"/>
                <w:sz w:val="18"/>
              </w:rPr>
              <w:t>POST /api/v1/caja/cobros</w:t>
            </w:r>
            <w:r>
              <w:rPr>
                <w:sz w:val="18"/>
              </w:rPr>
              <w:t xml:space="preserve"> con el payload de liquidación.</w:t>
            </w:r>
          </w:p>
        </w:tc>
      </w:tr>
      <w:tr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Sistema (API NestJS)</w:t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CajaController</w:t>
            </w:r>
            <w:r>
              <w:rPr>
                <w:sz w:val="18"/>
              </w:rPr>
              <w:t xml:space="preserve"> recibe la solicitud y delega en </w:t>
            </w:r>
            <w:r>
              <w:rPr>
                <w:rFonts w:ascii="Consolas" w:hAnsi="Consolas"/>
                <w:sz w:val="18"/>
              </w:rPr>
              <w:t>CajaService.cobrar(usuarioId, cobroDto)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Sistema (API NestJS)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Inicia transacción ACID (</w:t>
            </w:r>
            <w:r>
              <w:rPr>
                <w:rFonts w:ascii="Consolas" w:hAnsi="Consolas"/>
                <w:sz w:val="18"/>
              </w:rPr>
              <w:t>tx</w:t>
            </w:r>
            <w:r>
              <w:rPr>
                <w:sz w:val="18"/>
              </w:rPr>
              <w:t xml:space="preserve">) y valida que el cajero posea una </w:t>
            </w:r>
            <w:r>
              <w:rPr>
                <w:rFonts w:ascii="Consolas" w:hAnsi="Consolas"/>
                <w:sz w:val="18"/>
              </w:rPr>
              <w:t>sesion_caja</w:t>
            </w:r>
            <w:r>
              <w:rPr>
                <w:sz w:val="18"/>
              </w:rPr>
              <w:t xml:space="preserve"> en estado </w:t>
            </w:r>
            <w:r>
              <w:rPr>
                <w:rFonts w:ascii="Consolas" w:hAnsi="Consolas"/>
                <w:sz w:val="18"/>
              </w:rPr>
              <w:t>ABIERTA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Sistema (API NestJS)</w:t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Llama a </w:t>
            </w:r>
            <w:r>
              <w:rPr>
                <w:rFonts w:ascii="Consolas" w:hAnsi="Consolas"/>
                <w:sz w:val="18"/>
              </w:rPr>
              <w:t>PedidosPublicService.prepararCobro(tx, pedidoId)</w:t>
            </w:r>
            <w:r>
              <w:rPr>
                <w:sz w:val="18"/>
              </w:rPr>
              <w:t xml:space="preserve"> para verificar y bloquear el pedido.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Sistema (API NestJS)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Inserta registro en </w:t>
            </w:r>
            <w:r>
              <w:rPr>
                <w:rFonts w:ascii="Consolas" w:hAnsi="Consolas"/>
                <w:sz w:val="18"/>
              </w:rPr>
              <w:t>recibo</w:t>
            </w:r>
            <w:r>
              <w:rPr>
                <w:sz w:val="18"/>
              </w:rPr>
              <w:t xml:space="preserve"> consumiendo el siguiente consecutivo de la secuencia </w:t>
            </w:r>
            <w:r>
              <w:rPr>
                <w:rFonts w:ascii="Consolas" w:hAnsi="Consolas"/>
                <w:sz w:val="18"/>
              </w:rPr>
              <w:t>recibo_numero_seq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Sistema (API NestJS)</w:t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Inserta registro en </w:t>
            </w:r>
            <w:r>
              <w:rPr>
                <w:rFonts w:ascii="Consolas" w:hAnsi="Consolas"/>
                <w:sz w:val="18"/>
              </w:rPr>
              <w:t>pago</w:t>
            </w:r>
            <w:r>
              <w:rPr>
                <w:sz w:val="18"/>
              </w:rPr>
              <w:t xml:space="preserve"> con método, recibido y cambio.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Sistema (API NestJS)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Llama a </w:t>
            </w:r>
            <w:r>
              <w:rPr>
                <w:rFonts w:ascii="Consolas" w:hAnsi="Consolas"/>
                <w:sz w:val="18"/>
              </w:rPr>
              <w:t>PedidosPublicService.cerrar(tx, pedidoId)</w:t>
            </w:r>
            <w:r>
              <w:rPr>
                <w:sz w:val="18"/>
              </w:rPr>
              <w:t xml:space="preserve"> pasando el pedido a </w:t>
            </w:r>
            <w:r>
              <w:rPr>
                <w:rFonts w:ascii="Consolas" w:hAnsi="Consolas"/>
                <w:sz w:val="18"/>
              </w:rPr>
              <w:t>CERRADO</w:t>
            </w:r>
            <w:r>
              <w:rPr>
                <w:sz w:val="18"/>
              </w:rPr>
              <w:t xml:space="preserve"> y liberando la mesa.</w:t>
            </w:r>
          </w:p>
        </w:tc>
      </w:tr>
      <w:tr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Sistema (API NestJS)</w:t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EventBus.publicarEnTx</w:t>
            </w:r>
            <w:r>
              <w:rPr>
                <w:sz w:val="18"/>
              </w:rPr>
              <w:t xml:space="preserve"> persiste el evento </w:t>
            </w:r>
            <w:r>
              <w:rPr>
                <w:rFonts w:ascii="Consolas" w:hAnsi="Consolas"/>
                <w:sz w:val="18"/>
              </w:rPr>
              <w:t>PedidoCobrado</w:t>
            </w:r>
            <w:r>
              <w:rPr>
                <w:sz w:val="18"/>
              </w:rPr>
              <w:t xml:space="preserve"> en el outbox y ejecuta </w:t>
            </w:r>
            <w:r>
              <w:rPr>
                <w:rFonts w:ascii="Consolas" w:hAnsi="Consolas"/>
                <w:sz w:val="18"/>
              </w:rPr>
              <w:t>COMMIT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Sistema (API NestJS)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Retorna respuesta HTTP 201 con ID de recibo, número y cambio.</w:t>
            </w:r>
          </w:p>
        </w:tc>
      </w:tr>
      <w:tr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Sistema (Web POS)</w:t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Muestra pantalla de cambio en grande y dispara diálogo de impresión térmica a 80 mm.</w:t>
            </w:r>
          </w:p>
        </w:tc>
      </w:tr>
    </w:tbl>
    <w:p>
      <w:pPr>
        <w:spacing w:before="60" w:after="60"/>
      </w:pPr>
    </w:p>
    <w:p>
      <w:pPr>
        <w:pStyle w:val="Heading3"/>
      </w:pPr>
      <w:r>
        <w:t>3.1.2 Diseño de Interfaz Gráfica de Usuario</w:t>
      </w:r>
    </w:p>
    <w:p>
      <w:pPr/>
      <w:r>
        <w:t xml:space="preserve">El diseño de la interfaz gráfica fue elaborado aplicando rigurosamente los principios de diseño de experiencia e interfaces de usuario (UI/UX) compilados en </w:t>
      </w:r>
      <w:r>
        <w:rPr>
          <w:rFonts w:ascii="Consolas" w:hAnsi="Consolas"/>
          <w:sz w:val="19"/>
        </w:rPr>
        <w:t>DESIGN.md</w:t>
      </w:r>
      <w:r>
        <w:t>:</w:t>
      </w:r>
    </w:p>
    <w:p>
      <w:pPr>
        <w:ind w:left="360"/>
      </w:pPr>
      <w:r>
        <w:rPr>
          <w:b/>
        </w:rPr>
        <w:t xml:space="preserve">1.  </w:t>
      </w:r>
      <w:r>
        <w:rPr>
          <w:b/>
        </w:rPr>
        <w:t>Velocidad sobre adorno:</w:t>
      </w:r>
      <w:r>
        <w:t xml:space="preserve"> En momentos de alta demanda (hora pico), un cajero debe registrar y cobrar una orden en </w:t>
      </w:r>
      <w:r>
        <w:rPr>
          <w:b/>
        </w:rPr>
        <w:t>≤ 4 toques</w:t>
      </w:r>
      <w:r>
        <w:t>. Cada pantalla posee una acción primaria claramente diferenciada.</w:t>
      </w:r>
    </w:p>
    <w:p>
      <w:pPr>
        <w:ind w:left="360"/>
      </w:pPr>
      <w:r>
        <w:rPr>
          <w:b/>
        </w:rPr>
        <w:t xml:space="preserve">2.  </w:t>
      </w:r>
      <w:r>
        <w:t>*</w:t>
      </w:r>
      <w:r>
        <w:rPr>
          <w:i/>
        </w:rPr>
        <w:t>Filosofía táctil primero (</w:t>
      </w:r>
      <w:r>
        <w:t>Touch-First</w:t>
      </w:r>
      <w:r>
        <w:rPr>
          <w:i/>
        </w:rPr>
        <w:t>):</w:t>
      </w:r>
      <w:r>
        <w:rPr>
          <w:i/>
        </w:rPr>
        <w:t xml:space="preserve"> Todos los botones y tarjetas interactivas cuentan con dimensiones de al menos 48 × 48 px (los botones de productos en el POS son de 96 a 120 px de alto), con separación mínima de 8 px para evitar toques accidentales, eliminando cualquier interacción dependiente de eventos </w:t>
      </w:r>
      <w:r>
        <w:t>hover*.</w:t>
      </w:r>
    </w:p>
    <w:p>
      <w:pPr>
        <w:ind w:left="360"/>
      </w:pPr>
      <w:r>
        <w:rPr>
          <w:b/>
        </w:rPr>
        <w:t xml:space="preserve">3.  </w:t>
      </w:r>
      <w:r>
        <w:rPr>
          <w:b/>
        </w:rPr>
        <w:t>El color nunca va solo:</w:t>
      </w:r>
      <w:r>
        <w:t xml:space="preserve"> Siguiendo directrices de accesibilidad (WCAG 2.2 AA), ningún estado (listo, atrasado, agotado, error) se comunica únicamente mediante color; todos se acompañan de </w:t>
      </w:r>
      <w:r>
        <w:rPr>
          <w:b/>
        </w:rPr>
        <w:t>icono semántico de Lucide + texto explicativo</w:t>
      </w:r>
      <w:r>
        <w:t>.</w:t>
      </w:r>
    </w:p>
    <w:p>
      <w:pPr>
        <w:ind w:left="360"/>
      </w:pPr>
      <w:r>
        <w:rPr>
          <w:b/>
        </w:rPr>
        <w:t xml:space="preserve">4.  </w:t>
      </w:r>
      <w:r>
        <w:rPr>
          <w:b/>
        </w:rPr>
        <w:t>Legibilidad a distancia en Cocina:</w:t>
      </w:r>
      <w:r>
        <w:t xml:space="preserve"> La pantalla KDS utiliza fondo oscuro (</w:t>
      </w:r>
      <w:r>
        <w:rPr>
          <w:rFonts w:ascii="Consolas" w:hAnsi="Consolas"/>
          <w:sz w:val="19"/>
        </w:rPr>
        <w:t>#0C0A09</w:t>
      </w:r>
      <w:r>
        <w:t>), números de comanda de 48 a 64 px y texto de ítems de 20 a 24 px para garantizar legibilidad nítida a 2 metros de distancia bajo la iluminación de la cocina.</w:t>
      </w:r>
    </w:p>
    <w:p>
      <w:pPr>
        <w:ind w:left="360"/>
      </w:pPr>
      <w:r>
        <w:rPr>
          <w:b/>
        </w:rPr>
        <w:t xml:space="preserve">5.  </w:t>
      </w:r>
      <w:r>
        <w:rPr>
          <w:b/>
        </w:rPr>
        <w:t>Cifras tabulares:</w:t>
      </w:r>
      <w:r>
        <w:t xml:space="preserve"> Precios, totales, cantidades y cronómetros emplean </w:t>
      </w:r>
      <w:r>
        <w:rPr>
          <w:rFonts w:ascii="Consolas" w:hAnsi="Consolas"/>
          <w:sz w:val="19"/>
        </w:rPr>
        <w:t>font-variant-numeric: tabular-nums</w:t>
      </w:r>
      <w:r>
        <w:t xml:space="preserve"> para evitar oscilaciones de layout durante las actualizaciones numéricas en vivo.</w:t>
      </w:r>
    </w:p>
    <w:p>
      <w:pPr>
        <w:pStyle w:val="Heading2"/>
      </w:pPr>
      <w:r>
        <w:t>3.2 Vista Lógica</w:t>
      </w:r>
    </w:p>
    <w:p>
      <w:pPr/>
      <w:r>
        <w:t>La Vista Lógica se centra en la organización interna del software a nivel de abstracciones, clases, patrones y modularización.</w:t>
      </w:r>
    </w:p>
    <w:p>
      <w:pPr>
        <w:pStyle w:val="Heading3"/>
      </w:pPr>
      <w:r>
        <w:t>3.2.1 Arquitectura del Sistema</w:t>
      </w:r>
    </w:p>
    <w:p>
      <w:pPr/>
      <w:r>
        <w:t xml:space="preserve">La arquitectura adoptada es un </w:t>
      </w:r>
      <w:r>
        <w:rPr>
          <w:b/>
        </w:rPr>
        <w:t>Monolito Modular</w:t>
      </w:r>
      <w:r>
        <w:t xml:space="preserve"> construido sobre NestJS 12 y TypeScript. Se seleccionó este estilo para garantizar máxima cohesión dentro de cada subsistema gastronómico y bajo acoplamiento entre ellos, manteniendo la simplicidad operativa de un único artefacto desplegable en el servidor del restaurante.</w:t>
      </w:r>
    </w:p>
    <w:p>
      <w:pPr>
        <w:jc w:val="center"/>
      </w:pPr>
    </w:p>
    <w:p>
      <w:r>
        <w:drawing>
          <wp:inline>
            <wp:extent cx="5303520" cy="229737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quet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7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Figura 10. Diagrama de Paquetes y Fronteras Modulares</w:t>
      </w:r>
    </w:p>
    <w:p>
      <w:pPr/>
      <w:r>
        <w:rPr>
          <w:i/>
        </w:rPr>
        <w:t>Figura 10. Diagrama de paquetes arquitectónicos y reglas de dependencia en el backend.</w:t>
      </w:r>
    </w:p>
    <w:p>
      <w:pPr/>
      <w:r>
        <w:t>Para satisfacer los requisitos no funcionales, se implementaron los siguientes patrones arquitectónicos:</w:t>
      </w:r>
    </w:p>
    <w:p>
      <w:pPr>
        <w:ind w:left="360"/>
      </w:pPr>
      <w:r>
        <w:rPr>
          <w:b/>
        </w:rPr>
        <w:t xml:space="preserve">•  </w:t>
      </w:r>
      <w:r>
        <w:t>*</w:t>
      </w:r>
      <w:r>
        <w:rPr>
          <w:i/>
        </w:rPr>
        <w:t>Patrón Fachada Pública (`</w:t>
      </w:r>
      <w:r>
        <w:t>.public.ts`):** Cada módulo exporta un servicio público que define formalmente las únicas operaciones que otros módulos pueden invocar. Las dependencias internas de controladores, repositorios y esquemas privados están selladas.</w:t>
      </w:r>
    </w:p>
    <w:p>
      <w:pPr>
        <w:ind w:left="360"/>
      </w:pPr>
      <w:r>
        <w:rPr>
          <w:b/>
        </w:rPr>
        <w:t xml:space="preserve">•  </w:t>
      </w:r>
      <w:r>
        <w:rPr>
          <w:b/>
        </w:rPr>
        <w:t>Patrón Transactional Outbox:</w:t>
      </w:r>
      <w:r>
        <w:t xml:space="preserve"> Utilizado en el núcleo compartido (</w:t>
      </w:r>
      <w:r>
        <w:rPr>
          <w:rFonts w:ascii="Consolas" w:hAnsi="Consolas"/>
          <w:sz w:val="19"/>
        </w:rPr>
        <w:t>shared-kernel</w:t>
      </w:r>
      <w:r>
        <w:t xml:space="preserve">) a través de la tabla </w:t>
      </w:r>
      <w:r>
        <w:rPr>
          <w:rFonts w:ascii="Consolas" w:hAnsi="Consolas"/>
          <w:sz w:val="19"/>
        </w:rPr>
        <w:t>evento_sistema</w:t>
      </w:r>
      <w:r>
        <w:t xml:space="preserve"> para resolver el problema de la doble escritura (</w:t>
      </w:r>
      <w:r>
        <w:rPr>
          <w:i/>
        </w:rPr>
        <w:t>dual write</w:t>
      </w:r>
      <w:r>
        <w:t>). Toda mutación de estado y su correspondiente evento de dominio ocurren bajo la misma transacción relacional ACID.</w:t>
      </w:r>
    </w:p>
    <w:p>
      <w:pPr>
        <w:ind w:left="360"/>
      </w:pPr>
      <w:r>
        <w:rPr>
          <w:b/>
        </w:rPr>
        <w:t xml:space="preserve">•  </w:t>
      </w:r>
      <w:r>
        <w:rPr>
          <w:b/>
        </w:rPr>
        <w:t>Patrón Repository:</w:t>
      </w:r>
      <w:r>
        <w:t xml:space="preserve"> Utilizado en cada módulo para aislar las consultas y mutaciones de base de datos ejecutadas con Drizzle ORM de la lógica de negocio pura de los servicios.</w:t>
      </w:r>
    </w:p>
    <w:p>
      <w:pPr>
        <w:pStyle w:val="Heading3"/>
      </w:pPr>
      <w:r>
        <w:t>3.2.2 Diseño del Sistema</w:t>
      </w:r>
    </w:p>
    <w:p>
      <w:pPr/>
      <w:r>
        <w:t>A continuación, se presenta el diagrama de clases de diseño y la máquina de estados de las entidades primordiales del sistema:</w:t>
      </w:r>
    </w:p>
    <w:p>
      <w:pPr>
        <w:jc w:val="center"/>
      </w:pPr>
    </w:p>
    <w:p>
      <w:r>
        <w:drawing>
          <wp:inline>
            <wp:extent cx="5303520" cy="319799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es_disen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97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Figura 11. Diagrama de Clases de Diseño</w:t>
      </w:r>
    </w:p>
    <w:p>
      <w:pPr/>
      <w:r>
        <w:rPr>
          <w:i/>
        </w:rPr>
        <w:t>Figura 11. Diagrama de clases de diseño del backend NestJS.</w:t>
      </w:r>
    </w:p>
    <w:p>
      <w:pPr>
        <w:pStyle w:val="Heading4"/>
      </w:pPr>
      <w:r>
        <w:t>Máquinas de Estados del Dominio</w:t>
      </w:r>
    </w:p>
    <w:p>
      <w:pPr>
        <w:jc w:val="center"/>
      </w:pPr>
    </w:p>
    <w:p>
      <w:r>
        <w:drawing>
          <wp:inline>
            <wp:extent cx="5303520" cy="531164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ados_pedid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11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Figura 12. Diagrama de Estados de Pedido</w:t>
      </w:r>
    </w:p>
    <w:p>
      <w:pPr/>
      <w:r>
        <w:rPr>
          <w:i/>
        </w:rPr>
        <w:t>Figura 12. Diagrama de estados de la entidad Pedido.</w:t>
      </w:r>
    </w:p>
    <w:p>
      <w:pPr>
        <w:jc w:val="center"/>
      </w:pPr>
    </w:p>
    <w:p>
      <w:r>
        <w:drawing>
          <wp:inline>
            <wp:extent cx="5303520" cy="549562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ados_comand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495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Figura 13. Diagrama de Estados de Comanda</w:t>
      </w:r>
    </w:p>
    <w:p>
      <w:pPr/>
      <w:r>
        <w:rPr>
          <w:i/>
        </w:rPr>
        <w:t>Figura 13. Diagrama de estados de la entidad Comanda en cocina.</w:t>
      </w:r>
    </w:p>
    <w:p>
      <w:pPr>
        <w:pStyle w:val="Heading4"/>
      </w:pPr>
      <w:r>
        <w:t>Matriz de Clases, Responsabilidades y Patrones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</w:tblPr>
      <w:tblGrid>
        <w:gridCol w:w="3324"/>
        <w:gridCol w:w="3324"/>
        <w:gridCol w:w="3324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Clase / Componente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Responsabilidad Principal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Patrones de Diseño Usados</w:t>
            </w:r>
          </w:p>
        </w:tc>
      </w:tr>
      <w:tr>
        <w:tc>
          <w:tcPr>
            <w:tcW w:type="dxa" w:w="288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PedidosService</w:t>
            </w:r>
          </w:p>
        </w:tc>
        <w:tc>
          <w:tcPr>
            <w:tcW w:type="dxa" w:w="288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Coordina la lógica de negocio de apertura de tickets, agregado de líneas con snapshot inmutable y confirmación transaccional.</w:t>
            </w:r>
          </w:p>
        </w:tc>
        <w:tc>
          <w:tcPr>
            <w:tcW w:type="dxa" w:w="288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i/>
                <w:sz w:val="18"/>
              </w:rPr>
              <w:t>Domain Service</w:t>
            </w:r>
            <w:r>
              <w:rPr>
                <w:sz w:val="18"/>
              </w:rPr>
              <w:t xml:space="preserve">, </w:t>
            </w:r>
            <w:r>
              <w:rPr>
                <w:i/>
                <w:sz w:val="18"/>
              </w:rPr>
              <w:t>Orchestrator</w:t>
            </w:r>
            <w:r>
              <w:rPr>
                <w:sz w:val="18"/>
              </w:rPr>
              <w:t xml:space="preserve">, </w:t>
            </w:r>
            <w:r>
              <w:rPr>
                <w:i/>
                <w:sz w:val="18"/>
              </w:rPr>
              <w:t>Facade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PedidosRepository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Abstrae las operaciones SQL sobre las tablas </w:t>
            </w:r>
            <w:r>
              <w:rPr>
                <w:rFonts w:ascii="Consolas" w:hAnsi="Consolas"/>
                <w:sz w:val="18"/>
              </w:rPr>
              <w:t>pedido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pedido_item</w:t>
            </w:r>
            <w:r>
              <w:rPr>
                <w:sz w:val="18"/>
              </w:rPr>
              <w:t xml:space="preserve"> y </w:t>
            </w:r>
            <w:r>
              <w:rPr>
                <w:rFonts w:ascii="Consolas" w:hAnsi="Consolas"/>
                <w:sz w:val="18"/>
              </w:rPr>
              <w:t>contador_dia</w:t>
            </w:r>
            <w:r>
              <w:rPr>
                <w:sz w:val="18"/>
              </w:rPr>
              <w:t>.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i/>
                <w:sz w:val="18"/>
              </w:rPr>
              <w:t>Repository Pattern</w:t>
            </w:r>
          </w:p>
        </w:tc>
      </w:tr>
      <w:tr>
        <w:tc>
          <w:tcPr>
            <w:tcW w:type="dxa" w:w="288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InventarioService</w:t>
            </w:r>
          </w:p>
        </w:tc>
        <w:tc>
          <w:tcPr>
            <w:tcW w:type="dxa" w:w="288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Ejecuta el consumo atómico de ingredientes por receta aplicando bloqueo pesimista ordenado, y administra el kardex.</w:t>
            </w:r>
          </w:p>
        </w:tc>
        <w:tc>
          <w:tcPr>
            <w:tcW w:type="dxa" w:w="288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i/>
                <w:sz w:val="18"/>
              </w:rPr>
              <w:t>Domain Service</w:t>
            </w:r>
            <w:r>
              <w:rPr>
                <w:sz w:val="18"/>
              </w:rPr>
              <w:t xml:space="preserve">, </w:t>
            </w:r>
            <w:r>
              <w:rPr>
                <w:i/>
                <w:sz w:val="18"/>
              </w:rPr>
              <w:t>Pessimistic Locking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CocinaService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Modela la máquina de estados de las comandas y computa las marcas de tiempo para el cálculo de tiempos de cocina.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i/>
                <w:sz w:val="18"/>
              </w:rPr>
              <w:t>State Pattern</w:t>
            </w:r>
            <w:r>
              <w:rPr>
                <w:sz w:val="18"/>
              </w:rPr>
              <w:t xml:space="preserve">, </w:t>
            </w:r>
            <w:r>
              <w:rPr>
                <w:i/>
                <w:sz w:val="18"/>
              </w:rPr>
              <w:t>Domain Service</w:t>
            </w:r>
          </w:p>
        </w:tc>
      </w:tr>
      <w:tr>
        <w:tc>
          <w:tcPr>
            <w:tcW w:type="dxa" w:w="288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CajaService</w:t>
            </w:r>
          </w:p>
        </w:tc>
        <w:tc>
          <w:tcPr>
            <w:tcW w:type="dxa" w:w="288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Gobierna la apertura/cierre de turnos de cobro, la liquidación atómica de recibos con medios de pago y el arqueo.</w:t>
            </w:r>
          </w:p>
        </w:tc>
        <w:tc>
          <w:tcPr>
            <w:tcW w:type="dxa" w:w="288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i/>
                <w:sz w:val="18"/>
              </w:rPr>
              <w:t>Domain Service</w:t>
            </w:r>
            <w:r>
              <w:rPr>
                <w:sz w:val="18"/>
              </w:rPr>
              <w:t xml:space="preserve">, </w:t>
            </w:r>
            <w:r>
              <w:rPr>
                <w:i/>
                <w:sz w:val="18"/>
              </w:rPr>
              <w:t>Transaction Script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EventBus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Publica eventos dentro de transacciones SQL activas y gestiona los despachadores locales post-commit.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i/>
                <w:sz w:val="18"/>
              </w:rPr>
              <w:t>Event-Driven Architecture</w:t>
            </w:r>
            <w:r>
              <w:rPr>
                <w:sz w:val="18"/>
              </w:rPr>
              <w:t xml:space="preserve">, </w:t>
            </w:r>
            <w:r>
              <w:rPr>
                <w:i/>
                <w:sz w:val="18"/>
              </w:rPr>
              <w:t>Observer</w:t>
            </w:r>
          </w:p>
        </w:tc>
      </w:tr>
      <w:tr>
        <w:tc>
          <w:tcPr>
            <w:tcW w:type="dxa" w:w="288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OutboxDispatcher</w:t>
            </w:r>
          </w:p>
        </w:tc>
        <w:tc>
          <w:tcPr>
            <w:tcW w:type="dxa" w:w="288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Monitorea la tabla </w:t>
            </w:r>
            <w:r>
              <w:rPr>
                <w:rFonts w:ascii="Consolas" w:hAnsi="Consolas"/>
                <w:sz w:val="18"/>
              </w:rPr>
              <w:t>evento_sistema</w:t>
            </w:r>
            <w:r>
              <w:rPr>
                <w:sz w:val="18"/>
              </w:rPr>
              <w:t xml:space="preserve"> mediante </w:t>
            </w:r>
            <w:r>
              <w:rPr>
                <w:rFonts w:ascii="Consolas" w:hAnsi="Consolas"/>
                <w:sz w:val="18"/>
              </w:rPr>
              <w:t>LISTEN/NOTIFY</w:t>
            </w:r>
            <w:r>
              <w:rPr>
                <w:sz w:val="18"/>
              </w:rPr>
              <w:t xml:space="preserve"> y sondeo periódico de respaldo para garantizar entrega al menos una vez (</w:t>
            </w:r>
            <w:r>
              <w:rPr>
                <w:i/>
                <w:sz w:val="18"/>
              </w:rPr>
              <w:t>At-Least-Once Delivery</w:t>
            </w:r>
            <w:r>
              <w:rPr>
                <w:sz w:val="18"/>
              </w:rPr>
              <w:t>).</w:t>
            </w:r>
          </w:p>
        </w:tc>
        <w:tc>
          <w:tcPr>
            <w:tcW w:type="dxa" w:w="288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i/>
                <w:sz w:val="18"/>
              </w:rPr>
              <w:t>Polling Consumer</w:t>
            </w:r>
            <w:r>
              <w:rPr>
                <w:sz w:val="18"/>
              </w:rPr>
              <w:t xml:space="preserve">, </w:t>
            </w:r>
            <w:r>
              <w:rPr>
                <w:i/>
                <w:sz w:val="18"/>
              </w:rPr>
              <w:t>Transactional Outbox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RealtimeService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Mantiene el hub de conexiones activas Server-Sent Events (SSE) y distribuye los mensajes a los canales correspondientes (</w:t>
            </w:r>
            <w:r>
              <w:rPr>
                <w:rFonts w:ascii="Consolas" w:hAnsi="Consolas"/>
                <w:sz w:val="18"/>
              </w:rPr>
              <w:t>pos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cocina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</w:t>
            </w:r>
            <w:r>
              <w:rPr>
                <w:sz w:val="18"/>
              </w:rPr>
              <w:t>).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i/>
                <w:sz w:val="18"/>
              </w:rPr>
              <w:t>Publish-Subscribe</w:t>
            </w:r>
            <w:r>
              <w:rPr>
                <w:sz w:val="18"/>
              </w:rPr>
              <w:t xml:space="preserve">, </w:t>
            </w:r>
            <w:r>
              <w:rPr>
                <w:i/>
                <w:sz w:val="18"/>
              </w:rPr>
              <w:t>Gateway</w:t>
            </w:r>
          </w:p>
        </w:tc>
      </w:tr>
    </w:tbl>
    <w:p>
      <w:pPr>
        <w:spacing w:before="60" w:after="60"/>
      </w:pPr>
    </w:p>
    <w:p>
      <w:pPr>
        <w:pStyle w:val="Heading2"/>
      </w:pPr>
      <w:r>
        <w:t>3.3 Vista de Procesos</w:t>
      </w:r>
    </w:p>
    <w:p>
      <w:pPr/>
      <w:r>
        <w:t>La Vista de Procesos se enfoca en el comportamiento dinámico, la concurrencia y la interacción temporal entre componentes del sistema.</w:t>
      </w:r>
    </w:p>
    <w:p>
      <w:pPr>
        <w:pStyle w:val="Heading3"/>
      </w:pPr>
      <w:r>
        <w:t>Diagrama de Secuencia: Confirmación Atómica de Pedido</w:t>
      </w:r>
    </w:p>
    <w:p>
      <w:pPr/>
      <w:r>
        <w:t xml:space="preserve">Ilustra la colaboración síncrona entre módulos pasando la misma transacción relacional </w:t>
      </w:r>
      <w:r>
        <w:rPr>
          <w:rFonts w:ascii="Consolas" w:hAnsi="Consolas"/>
          <w:sz w:val="19"/>
        </w:rPr>
        <w:t>tx</w:t>
      </w:r>
      <w:r>
        <w:t xml:space="preserve">, el bloqueo ordenado de ingredientes para prevenir </w:t>
      </w:r>
      <w:r>
        <w:rPr>
          <w:i/>
        </w:rPr>
        <w:t>deadlocks</w:t>
      </w:r>
      <w:r>
        <w:t>, y la propagación post-commit al hub de eventos en tiempo real.</w:t>
      </w:r>
    </w:p>
    <w:p>
      <w:pPr>
        <w:jc w:val="center"/>
      </w:pPr>
    </w:p>
    <w:p>
      <w:r>
        <w:drawing>
          <wp:inline>
            <wp:extent cx="5303520" cy="19888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encia_confirmar_pedid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88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Figura 14. Diagrama de Secuencia - Confirmación Atómica de Pedido</w:t>
      </w:r>
    </w:p>
    <w:p>
      <w:pPr/>
      <w:r>
        <w:rPr>
          <w:i/>
        </w:rPr>
        <w:t>Figura 14. Diagrama de secuencia: confirmación atómica de pedido, reserva de inventario y creación de comanda.</w:t>
      </w:r>
    </w:p>
    <w:p>
      <w:pPr>
        <w:pStyle w:val="Heading3"/>
      </w:pPr>
      <w:r>
        <w:t>Diagrama de Secuencia: Cobro y Cierre de Cuenta</w:t>
      </w:r>
    </w:p>
    <w:p>
      <w:pPr/>
      <w:r>
        <w:t>Ilustra el proceso atómico de liquidación financiera, validación de la sesión de caja del cajero, generación de consecutivo de recibo mediante secuencia PostgreSQL, cierre formal del pedido y despacho de eventos para liberación de mesas y actualización de KPIs.</w:t>
      </w:r>
    </w:p>
    <w:p>
      <w:pPr>
        <w:jc w:val="center"/>
      </w:pPr>
    </w:p>
    <w:p>
      <w:r>
        <w:drawing>
          <wp:inline>
            <wp:extent cx="5303520" cy="322216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encia_cobr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22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Figura 15. Diagrama de Secuencia - Cobro de Pedido</w:t>
      </w:r>
    </w:p>
    <w:p>
      <w:pPr/>
      <w:r>
        <w:rPr>
          <w:i/>
        </w:rPr>
        <w:t>Figura 15. Diagrama de secuencia: cobro de pedido, emisión de recibo y cierre de cuenta.</w:t>
      </w:r>
    </w:p>
    <w:p>
      <w:r>
        <w:br w:type="page"/>
      </w:r>
    </w:p>
    <w:p>
      <w:pPr>
        <w:pStyle w:val="Heading1"/>
      </w:pPr>
      <w:r>
        <w:t>4. Modelo de Implementación</w:t>
      </w:r>
    </w:p>
    <w:p>
      <w:pPr/>
      <w:r>
        <w:t>Esta sección explica y fundamenta las decisiones tecnológicas adoptadas para el desarrollo y despliegue del sistema MonsterBurguer POS.</w:t>
      </w:r>
    </w:p>
    <w:p>
      <w:pPr>
        <w:pStyle w:val="Heading2"/>
      </w:pPr>
      <w:r>
        <w:t>4.1 Vista de Desarrollo</w:t>
      </w:r>
    </w:p>
    <w:p>
      <w:pPr/>
      <w:r>
        <w:t>Las decisiones tecnológicas se fundamentaron en criterios de madurez del ecosistema, seguridad tipada de punta a punta (</w:t>
      </w:r>
      <w:r>
        <w:rPr>
          <w:i/>
        </w:rPr>
        <w:t>end-to-end type safety</w:t>
      </w:r>
      <w:r>
        <w:t>), desempeño en tiempo de ejecución y velocidad de desarrollo:</w:t>
      </w:r>
    </w:p>
    <w:p>
      <w:pPr>
        <w:jc w:val="center"/>
      </w:pPr>
    </w:p>
    <w:p>
      <w:r>
        <w:drawing>
          <wp:inline>
            <wp:extent cx="5303520" cy="260737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07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Figura 16. Diagrama de Componentes</w:t>
      </w:r>
    </w:p>
    <w:p>
      <w:pPr/>
      <w:r>
        <w:rPr>
          <w:i/>
        </w:rPr>
        <w:t>Figura 16. Diagrama de componentes del sistema MonsterBurguer POS.</w:t>
      </w:r>
    </w:p>
    <w:p>
      <w:pPr>
        <w:pStyle w:val="Heading3"/>
      </w:pPr>
      <w:r>
        <w:t>Matriz de Tecnologías de Desarrollo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Componente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Tecnología Seleccionada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Justificación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Modelo de Desarrollo</w:t>
            </w:r>
          </w:p>
        </w:tc>
      </w:tr>
      <w:tr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Lenguaje de Programación</w:t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TypeScript 5.8</w:t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Tipado estático en frontend y backend; contratos compartidos en </w:t>
            </w:r>
            <w:r>
              <w:rPr>
                <w:rFonts w:ascii="Consolas" w:hAnsi="Consolas"/>
                <w:sz w:val="18"/>
              </w:rPr>
              <w:t>@mb/shared</w:t>
            </w:r>
            <w:r>
              <w:rPr>
                <w:sz w:val="18"/>
              </w:rPr>
              <w:t xml:space="preserve"> que eliminan desajustes de API en tiempo de compilación.</w:t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Orientado a Objetos / Funcional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Framework Backend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NestJS 12 sobre Node.js 24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Inyección de dependencias robusta, soporte nativo para modularidad, guards de seguridad y arquitectura empresarial limpia.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Monolito Modular / MVC</w:t>
            </w:r>
          </w:p>
        </w:tc>
      </w:tr>
      <w:tr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Librería Frontend</w:t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React 19 + Vite 8</w:t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Renderizado reactivo de alto rendimiento, recarga rápida en desarrollo (</w:t>
            </w:r>
            <w:r>
              <w:rPr>
                <w:i/>
                <w:sz w:val="18"/>
              </w:rPr>
              <w:t>HMR</w:t>
            </w:r>
            <w:r>
              <w:rPr>
                <w:sz w:val="18"/>
              </w:rPr>
              <w:t>) y ecosistema moderno de hooks para gestión de estado.</w:t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Componentes Funcionales / SPA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Estilos y Componentes UI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Tailwind CSS v4 + shadcn/ui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Sistema de diseño basado en tokens semánticos CSS, accesibilidad integrada (Radix UI) y control estricto de estilos táctiles.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Utility-First / Atomic Design</w:t>
            </w:r>
          </w:p>
        </w:tc>
      </w:tr>
      <w:tr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Capa de Acceso a Datos</w:t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Drizzle ORM</w:t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ORM liviano con tipado TypeScript estricto, cero sobrecarga en tiempo de ejecución y soporte nativo para transacciones y migraciones SQL.</w:t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Data Mapper / Type-Safe SQL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Validación de Esquemas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Zod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Validación declarativa de esquemas de entrada y reglas de negocio, compartida entre cliente y servidor.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Schema-Driven Development</w:t>
            </w:r>
          </w:p>
        </w:tc>
      </w:tr>
      <w:tr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Verificación de Fronteras</w:t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dependency-cruiser</w:t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Herramienta de análisis estático configurada en CI que prohíbe importaciones directas de archivos internos entre módulos de NestJS.</w:t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Reglas de Arquitectura Estática</w:t>
            </w:r>
          </w:p>
        </w:tc>
      </w:tr>
    </w:tbl>
    <w:p>
      <w:pPr>
        <w:spacing w:before="60" w:after="60"/>
      </w:pPr>
    </w:p>
    <w:p>
      <w:pPr>
        <w:pStyle w:val="Heading2"/>
      </w:pPr>
      <w:r>
        <w:t>4.2 Vista Física (Despliegue)</w:t>
      </w:r>
    </w:p>
    <w:p>
      <w:pPr/>
      <w:r>
        <w:t xml:space="preserve">La arquitectura física de despliegue está diseñada para operar con absoluta autonomía y resiliencia en la </w:t>
      </w:r>
      <w:r>
        <w:rPr>
          <w:b/>
        </w:rPr>
        <w:t>Red de Área Local (LAN)</w:t>
      </w:r>
      <w:r>
        <w:t xml:space="preserve"> del restaurante, garantizando que una caída del servicio de internet no interrumpa las ventas ni la comunicación con la cocina.</w:t>
      </w:r>
    </w:p>
    <w:p>
      <w:pPr>
        <w:jc w:val="center"/>
      </w:pPr>
    </w:p>
    <w:p>
      <w:r>
        <w:drawing>
          <wp:inline>
            <wp:extent cx="5303520" cy="350358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pliegu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03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Figura 17. Diagrama de Despliegue Físico en LAN</w:t>
      </w:r>
    </w:p>
    <w:p>
      <w:pPr/>
      <w:r>
        <w:rPr>
          <w:i/>
        </w:rPr>
        <w:t>Figura 17. Diagrama de despliegue físico del sistema en la red de área local del restaurante.</w:t>
      </w:r>
    </w:p>
    <w:p>
      <w:pPr>
        <w:pStyle w:val="Heading3"/>
      </w:pPr>
      <w:r>
        <w:t>Matriz de Infraestructura y Despliegue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Entorno / Nodo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Tecnología / Servicio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Justificación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Modelo Físico</w:t>
            </w:r>
          </w:p>
        </w:tc>
      </w:tr>
      <w:tr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Servidor Local del Restaurante</w:t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Mini-PC o Host Local ejecutando Docker Engine y Docker Compose</w:t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Aislamiento completo de procesos, portabilidad garantizada y configuración unificada mediante </w:t>
            </w:r>
            <w:r>
              <w:rPr>
                <w:rFonts w:ascii="Consolas" w:hAnsi="Consolas"/>
                <w:sz w:val="18"/>
              </w:rPr>
              <w:t>docker-compose.yml</w:t>
            </w:r>
            <w:r>
              <w:rPr>
                <w:sz w:val="18"/>
              </w:rPr>
              <w:t>.</w:t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Nodo de Cómputo Central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Servidor Web y Proxy Inverso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Contenedor Nginx (puerto 80)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Distribución eficiente de los archivos estáticos de la SPA (HTML/JS/CSS) y redirección (</w:t>
            </w:r>
            <w:r>
              <w:rPr>
                <w:i/>
                <w:sz w:val="18"/>
              </w:rPr>
              <w:t>reverse proxy</w:t>
            </w:r>
            <w:r>
              <w:rPr>
                <w:sz w:val="18"/>
              </w:rPr>
              <w:t xml:space="preserve">) de llamadas </w:t>
            </w:r>
            <w:r>
              <w:rPr>
                <w:rFonts w:ascii="Consolas" w:hAnsi="Consolas"/>
                <w:sz w:val="18"/>
              </w:rPr>
              <w:t>/api/v1/*</w:t>
            </w:r>
            <w:r>
              <w:rPr>
                <w:sz w:val="18"/>
              </w:rPr>
              <w:t xml:space="preserve"> hacia la API.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Contenedor de Frontera</w:t>
            </w:r>
          </w:p>
        </w:tc>
      </w:tr>
      <w:tr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Servidor de Aplicaciones</w:t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Contenedor NestJS (Node.js 24 en puerto 3000 interno)</w:t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Ejecución de la lógica de negocio, despacho de endpoints REST y emisión del flujo SSE en </w:t>
            </w:r>
            <w:r>
              <w:rPr>
                <w:rFonts w:ascii="Consolas" w:hAnsi="Consolas"/>
                <w:sz w:val="18"/>
              </w:rPr>
              <w:t>/api/v1/stream</w:t>
            </w:r>
            <w:r>
              <w:rPr>
                <w:sz w:val="18"/>
              </w:rPr>
              <w:t>.</w:t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Contenedor de Negocio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Motor de Base de Datos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Contenedor PostgreSQL 18 (puerto 5432 interno)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Persistencia ACID confiable con almacenamiento en volumen Docker dedicado (</w:t>
            </w:r>
            <w:r>
              <w:rPr>
                <w:rFonts w:ascii="Consolas" w:hAnsi="Consolas"/>
                <w:sz w:val="18"/>
              </w:rPr>
              <w:t>pgdata</w:t>
            </w:r>
            <w:r>
              <w:rPr>
                <w:sz w:val="18"/>
              </w:rPr>
              <w:t xml:space="preserve">), soporte para bloqueos </w:t>
            </w:r>
            <w:r>
              <w:rPr>
                <w:rFonts w:ascii="Consolas" w:hAnsi="Consolas"/>
                <w:sz w:val="18"/>
              </w:rPr>
              <w:t>FOR UPDATE</w:t>
            </w:r>
            <w:r>
              <w:rPr>
                <w:sz w:val="18"/>
              </w:rPr>
              <w:t xml:space="preserve"> y </w:t>
            </w:r>
            <w:r>
              <w:rPr>
                <w:rFonts w:ascii="Consolas" w:hAnsi="Consolas"/>
                <w:sz w:val="18"/>
              </w:rPr>
              <w:t>LISTEN/NOTIFY</w:t>
            </w:r>
            <w:r>
              <w:rPr>
                <w:sz w:val="18"/>
              </w:rPr>
              <w:t>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Contenedor de Base de Datos</w:t>
            </w:r>
          </w:p>
        </w:tc>
      </w:tr>
      <w:tr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Terminales de Mostrador (Caja/POS)</w:t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Tablet 10–13" o PC táctil con navegador Chrome/Edge</w:t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Acceso web a la ruta </w:t>
            </w:r>
            <w:r>
              <w:rPr>
                <w:rFonts w:ascii="Consolas" w:hAnsi="Consolas"/>
                <w:sz w:val="18"/>
              </w:rPr>
              <w:t>/pos</w:t>
            </w:r>
            <w:r>
              <w:rPr>
                <w:sz w:val="18"/>
              </w:rPr>
              <w:t xml:space="preserve"> y </w:t>
            </w:r>
            <w:r>
              <w:rPr>
                <w:rFonts w:ascii="Consolas" w:hAnsi="Consolas"/>
                <w:sz w:val="18"/>
              </w:rPr>
              <w:t>/caja</w:t>
            </w:r>
            <w:r>
              <w:rPr>
                <w:sz w:val="18"/>
              </w:rPr>
              <w:t xml:space="preserve"> dentro de la subred local (192.168.1.X).</w:t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Dispositivo Cliente Táctil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Terminal de Cocina (KDS)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Pantalla o Smart TV 22"+ con navegador web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Acceso web a la ruta </w:t>
            </w:r>
            <w:r>
              <w:rPr>
                <w:rFonts w:ascii="Consolas" w:hAnsi="Consolas"/>
                <w:sz w:val="18"/>
              </w:rPr>
              <w:t>/cocina</w:t>
            </w:r>
            <w:r>
              <w:rPr>
                <w:sz w:val="18"/>
              </w:rPr>
              <w:t xml:space="preserve"> para recepción continua de comandas en vivo vía SSE.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Dispositivo Cliente de Pantalla</w:t>
            </w:r>
          </w:p>
        </w:tc>
      </w:tr>
      <w:tr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Periférico de Impresión</w:t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Impresora térmica estándar de 80 mm</w:t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Conexión USB o Ethernet con el terminal de mostrador; invocación nativa mediante diálogo </w:t>
            </w:r>
            <w:r>
              <w:rPr>
                <w:rFonts w:ascii="Consolas" w:hAnsi="Consolas"/>
                <w:sz w:val="18"/>
              </w:rPr>
              <w:t>@media print</w:t>
            </w:r>
            <w:r>
              <w:rPr>
                <w:sz w:val="18"/>
              </w:rPr>
              <w:t>.</w:t>
            </w:r>
          </w:p>
        </w:tc>
        <w:tc>
          <w:tcPr>
            <w:tcW w:type="dxa" w:w="2160"/>
            <w:shd w:val="clear" w:color="auto" w:fill="F9FAFB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Periférico de Salida</w:t>
            </w:r>
          </w:p>
        </w:tc>
      </w:tr>
    </w:tbl>
    <w:p>
      <w:pPr>
        <w:spacing w:before="60" w:after="60"/>
      </w:pPr>
    </w:p>
    <w:p>
      <w:r>
        <w:br w:type="page"/>
      </w:r>
    </w:p>
    <w:p>
      <w:pPr>
        <w:pStyle w:val="Heading1"/>
      </w:pPr>
      <w:r>
        <w:t>5. Anexos</w:t>
      </w:r>
    </w:p>
    <w:p>
      <w:pPr/>
      <w:r>
        <w:t>Los siguientes documentos y recursos complementarios forman parte integral del soporte de ingeniería de este Manual del Sistema:</w:t>
      </w:r>
    </w:p>
    <w:p>
      <w:pPr>
        <w:ind w:left="360"/>
      </w:pPr>
      <w:r>
        <w:rPr>
          <w:b/>
        </w:rPr>
        <w:t xml:space="preserve">1.  </w:t>
      </w:r>
      <w:r>
        <w:rPr>
          <w:b/>
        </w:rPr>
        <w:t>Documento de Especificación de Requisitos:</w:t>
      </w:r>
      <w:r>
        <w:t xml:space="preserve"> Formulado bajo la norma ISO/IEC/IEEE 29148 (</w:t>
      </w:r>
      <w:r>
        <w:rPr>
          <w:rFonts w:ascii="Consolas" w:hAnsi="Consolas"/>
          <w:sz w:val="19"/>
        </w:rPr>
        <w:t>Especificacion de Requisitos - MonsterBurguer.docx</w:t>
      </w:r>
      <w:r>
        <w:t>).</w:t>
      </w:r>
    </w:p>
    <w:p>
      <w:pPr>
        <w:ind w:left="360"/>
      </w:pPr>
      <w:r>
        <w:rPr>
          <w:b/>
        </w:rPr>
        <w:t xml:space="preserve">2.  </w:t>
      </w:r>
      <w:r>
        <w:rPr>
          <w:b/>
        </w:rPr>
        <w:t>Manual de Usuario:</w:t>
      </w:r>
      <w:r>
        <w:t xml:space="preserve"> Guía operativa ilustrada de navegación y solución de problemas (</w:t>
      </w:r>
      <w:r>
        <w:rPr>
          <w:rFonts w:ascii="Consolas" w:hAnsi="Consolas"/>
          <w:sz w:val="19"/>
        </w:rPr>
        <w:t>Manual de Usuario - MonsterBurguer.docx</w:t>
      </w:r>
      <w:r>
        <w:t>).</w:t>
      </w:r>
    </w:p>
    <w:p>
      <w:pPr>
        <w:ind w:left="360"/>
      </w:pPr>
      <w:r>
        <w:rPr>
          <w:b/>
        </w:rPr>
        <w:t xml:space="preserve">3.  </w:t>
      </w:r>
      <w:r>
        <w:rPr>
          <w:b/>
        </w:rPr>
        <w:t>Fichas Detalladas de Casos de Uso:</w:t>
      </w:r>
      <w:r>
        <w:t xml:space="preserve"> Libro Excel con las 18 fichas normalizadas de casos de uso (</w:t>
      </w:r>
      <w:r>
        <w:rPr>
          <w:rFonts w:ascii="Consolas" w:hAnsi="Consolas"/>
          <w:sz w:val="19"/>
        </w:rPr>
        <w:t>Casos de Uso - MonsterBurguer.xlsx</w:t>
      </w:r>
      <w:r>
        <w:t>).</w:t>
      </w:r>
    </w:p>
    <w:p>
      <w:pPr>
        <w:ind w:left="360"/>
      </w:pPr>
      <w:r>
        <w:rPr>
          <w:b/>
        </w:rPr>
        <w:t xml:space="preserve">4.  </w:t>
      </w:r>
      <w:r>
        <w:rPr>
          <w:b/>
        </w:rPr>
        <w:t>Proyecto y Diagramas UML:</w:t>
      </w:r>
      <w:r>
        <w:t xml:space="preserve"> Modelos PlantUML y diagramas exportados a formato PNG (</w:t>
      </w:r>
      <w:r>
        <w:rPr>
          <w:rFonts w:ascii="Consolas" w:hAnsi="Consolas"/>
          <w:sz w:val="19"/>
        </w:rPr>
        <w:t>docs/entregables-isoft/uml/</w:t>
      </w:r>
      <w:r>
        <w:t>).</w:t>
      </w:r>
    </w:p>
    <w:p>
      <w:pPr>
        <w:ind w:left="360"/>
      </w:pPr>
      <w:r>
        <w:rPr>
          <w:b/>
        </w:rPr>
        <w:t xml:space="preserve">5.  </w:t>
      </w:r>
      <w:r>
        <w:rPr>
          <w:b/>
        </w:rPr>
        <w:t>Script de Base de Datos y Migraciones Drizzle:</w:t>
      </w:r>
      <w:r>
        <w:t xml:space="preserve"> Ubicado en </w:t>
      </w:r>
      <w:r>
        <w:rPr>
          <w:rFonts w:ascii="Consolas" w:hAnsi="Consolas"/>
          <w:sz w:val="19"/>
        </w:rPr>
        <w:t>apps/api/drizzle/</w:t>
      </w:r>
      <w:r>
        <w:t xml:space="preserve"> con el historial de migraciones SQL </w:t>
      </w:r>
      <w:r>
        <w:rPr>
          <w:rFonts w:ascii="Consolas" w:hAnsi="Consolas"/>
          <w:sz w:val="19"/>
        </w:rPr>
        <w:t>0000</w:t>
      </w:r>
      <w:r>
        <w:t xml:space="preserve"> a </w:t>
      </w:r>
      <w:r>
        <w:rPr>
          <w:rFonts w:ascii="Consolas" w:hAnsi="Consolas"/>
          <w:sz w:val="19"/>
        </w:rPr>
        <w:t>0004</w:t>
      </w:r>
      <w:r>
        <w:t>.</w:t>
      </w:r>
    </w:p>
    <w:p>
      <w:pPr>
        <w:ind w:left="360"/>
      </w:pPr>
      <w:r>
        <w:rPr>
          <w:b/>
        </w:rPr>
        <w:t xml:space="preserve">6.  </w:t>
      </w:r>
      <w:r>
        <w:rPr>
          <w:b/>
        </w:rPr>
        <w:t>Reportes de Verificación y Calidad:</w:t>
      </w:r>
      <w:r>
        <w:t xml:space="preserve"> Informes de pruebas automatizadas y auditoría E2E (</w:t>
      </w:r>
      <w:r>
        <w:rPr>
          <w:rFonts w:ascii="Consolas" w:hAnsi="Consolas"/>
          <w:sz w:val="19"/>
        </w:rPr>
        <w:t>docs/verificacion/reporte-qa-2026-10-07.md</w:t>
      </w:r>
      <w:r>
        <w:t>).</w:t>
      </w:r>
    </w:p>
    <w:p>
      <w:pPr>
        <w:ind w:left="360"/>
      </w:pPr>
      <w:r>
        <w:rPr>
          <w:b/>
        </w:rPr>
        <w:t xml:space="preserve">7.  </w:t>
      </w:r>
      <w:r>
        <w:rPr>
          <w:b/>
        </w:rPr>
        <w:t>Credenciales de Demostración:</w:t>
      </w:r>
      <w:r>
        <w:t xml:space="preserve"> Archivo de texto con las cuentas de demostración preconfiguradas (</w:t>
      </w:r>
      <w:r>
        <w:rPr>
          <w:rFonts w:ascii="Consolas" w:hAnsi="Consolas"/>
          <w:sz w:val="19"/>
        </w:rPr>
        <w:t>usuarios-y-claves.txt</w:t>
      </w:r>
      <w:r>
        <w:t>).</w:t>
      </w:r>
    </w:p>
    <w:sectPr>
      <w:headerReference w:type="default" r:id="rId28"/>
      <w:footerReference w:type="default" r:id="rId29"/>
      <w:headerReference w:type="first" r:id="rId30"/>
      <w:footerReference w:type="first" r:id="rId31"/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ter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b w:val="1"/>
      <w:bCs w:val="1"/>
      <w:color w:val="1f1f1f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b w:val="1"/>
      <w:bCs w:val="1"/>
      <w:color w:val="1f1f1f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b w:val="1"/>
      <w:bCs w:val="1"/>
      <w:color w:val="1f1f1f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b w:val="1"/>
      <w:bCs w:val="1"/>
      <w:i w:val="1"/>
      <w:iCs w:val="1"/>
      <w:color w:val="1f1f1f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b w:val="1"/>
      <w:bCs w:val="1"/>
      <w:i w:val="1"/>
      <w:iCs w:val="1"/>
      <w:color w:val="1f1f1f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i w:val="1"/>
      <w:iCs w:val="1"/>
      <w:color w:val="1f1f1f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5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6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7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8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jpg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5.jpg"/><Relationship Id="rId8" Type="http://schemas.openxmlformats.org/officeDocument/2006/relationships/image" Target="media/image4.jp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header" Target="header1.xml"/><Relationship Id="rId29" Type="http://schemas.openxmlformats.org/officeDocument/2006/relationships/footer" Target="footer1.xml"/><Relationship Id="rId30" Type="http://schemas.openxmlformats.org/officeDocument/2006/relationships/header" Target="header2.xml"/><Relationship Id="rId31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InterMedium-italic.ttf"/><Relationship Id="rId10" Type="http://schemas.openxmlformats.org/officeDocument/2006/relationships/font" Target="fonts/InterMedium-bold.ttf"/><Relationship Id="rId12" Type="http://schemas.openxmlformats.org/officeDocument/2006/relationships/font" Target="fonts/InterMedium-boldItalic.ttf"/><Relationship Id="rId9" Type="http://schemas.openxmlformats.org/officeDocument/2006/relationships/font" Target="fonts/InterMedium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