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94885" w14:textId="77777777" w:rsidR="004C1FB2" w:rsidRDefault="004C1FB2" w:rsidP="004C1FB2">
      <w:pPr>
        <w:spacing w:after="60"/>
      </w:pPr>
      <w:r>
        <w:rPr>
          <w:b/>
          <w:bCs/>
          <w:color w:val="BF8F00"/>
          <w:sz w:val="18"/>
          <w:szCs w:val="18"/>
        </w:rPr>
        <w:t xml:space="preserve">CAN-DO RESEARCH LAB  |  KNUST DEPARTMENT OF COMPUTER SCIENCE</w:t>
      </w:r>
    </w:p>
    <w:p w14:paraId="69DFBCD4" w14:textId="77777777" w:rsidR="004C1FB2" w:rsidRDefault="004C1FB2" w:rsidP="004C1FB2">
      <w:pPr>
        <w:spacing w:after="60"/>
      </w:pPr>
      <w:r>
        <w:rPr>
          <w:b/>
          <w:bCs/>
          <w:color w:val="1F3864"/>
          <w:sz w:val="20"/>
          <w:szCs w:val="20"/>
        </w:rPr>
        <w:t>PHASE 1 · STEP 1.1 — TESTBED SUBMISSION</w:t>
      </w:r>
    </w:p>
    <w:p w14:paraId="475BF8CB" w14:textId="77777777" w:rsidR="004C1FB2" w:rsidRDefault="004C1FB2" w:rsidP="004C1FB2">
      <w:pPr>
        <w:spacing w:after="120"/>
      </w:pPr>
      <w:r>
        <w:rPr>
          <w:b/>
          <w:bCs/>
          <w:color w:val="1F3864"/>
          <w:sz w:val="40"/>
          <w:szCs w:val="40"/>
        </w:rPr>
        <w:t>ML METHODS SECTION — DRAFT 0 TEMPLATE</w:t>
      </w:r>
    </w:p>
    <w:p w14:paraId="2E644D2D" w14:textId="77777777" w:rsidR="004C1FB2" w:rsidRDefault="004C1FB2" w:rsidP="004C1FB2">
      <w:pPr>
        <w:spacing w:after="120"/>
      </w:pPr>
      <w:r>
        <w:rPr>
          <w:i/>
          <w:iCs/>
          <w:color w:val="595959"/>
        </w:rPr>
        <w:t>Machine learning studies only. Engineered and non-engineered models. Field, public and synthetic data.</w:t>
      </w:r>
    </w:p>
    <w:p w14:paraId="58F1917C" w14:textId="77777777" w:rsidR="004C1FB2" w:rsidRDefault="004C1FB2" w:rsidP="004C1FB2">
      <w:pPr>
        <w:pBdr>
          <w:bottom w:val="single" w:sz="8" w:space="2" w:color="BF8F00"/>
        </w:pBdr>
        <w:spacing w:before="100" w:after="100"/>
      </w:pPr>
    </w:p>
    <w:p w14:paraId="00085DD8" w14:textId="77777777" w:rsidR="004C1FB2" w:rsidRDefault="004C1FB2" w:rsidP="004C1FB2">
      <w:pPr>
        <w:pStyle w:val="Heading2"/>
        <w:spacing w:before="260" w:after="100"/>
      </w:pPr>
      <w:r>
        <w:rPr>
          <w:b/>
          <w:bCs/>
          <w:color w:val="10243C"/>
          <w:sz w:val="25"/>
          <w:szCs w:val="25"/>
        </w:rPr>
        <w:t>Part 0 — Passport Check Block</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3"/>
        <w:gridCol w:w="3600"/>
        <w:gridCol w:w="1690"/>
        <w:gridCol w:w="2783"/>
      </w:tblGrid>
      <w:tr w:rsidR="005227A2" w14:paraId="14E76C1E" w14:textId="77777777" w:rsidTr="004C1FB2">
        <w:tc>
          <w:tcPr>
            <w:tcW w:w="1872" w:type="dxa"/>
            <w:shd w:val="clear" w:color="auto" w:fill="002060"/>
          </w:tcPr>
          <w:p w14:paraId="4F1BD8AA" w14:textId="77777777" w:rsidR="005227A2" w:rsidRDefault="00000000">
            <w:r>
              <w:rPr>
                <w:b/>
                <w:sz w:val="18"/>
              </w:rPr>
              <w:t>Field</w:t>
            </w:r>
          </w:p>
        </w:tc>
        <w:tc>
          <w:tcPr>
            <w:tcW w:w="3744" w:type="dxa"/>
            <w:shd w:val="clear" w:color="auto" w:fill="002060"/>
          </w:tcPr>
          <w:p w14:paraId="7A53CB12" w14:textId="77777777" w:rsidR="005227A2" w:rsidRDefault="00000000">
            <w:r>
              <w:rPr>
                <w:b/>
                <w:sz w:val="18"/>
              </w:rPr>
              <w:t>Entry</w:t>
            </w:r>
          </w:p>
        </w:tc>
        <w:tc>
          <w:tcPr>
            <w:tcW w:w="1728" w:type="dxa"/>
            <w:shd w:val="clear" w:color="auto" w:fill="002060"/>
          </w:tcPr>
          <w:p w14:paraId="7BA25F28" w14:textId="77777777" w:rsidR="005227A2" w:rsidRDefault="00000000">
            <w:r>
              <w:rPr>
                <w:b/>
                <w:sz w:val="18"/>
              </w:rPr>
              <w:t>Field</w:t>
            </w:r>
          </w:p>
        </w:tc>
        <w:tc>
          <w:tcPr>
            <w:tcW w:w="2880" w:type="dxa"/>
            <w:shd w:val="clear" w:color="auto" w:fill="002060"/>
          </w:tcPr>
          <w:p w14:paraId="1F2977D8" w14:textId="77777777" w:rsidR="005227A2" w:rsidRDefault="00000000">
            <w:r>
              <w:rPr>
                <w:b/>
                <w:sz w:val="18"/>
              </w:rPr>
              <w:t>Entry</w:t>
            </w:r>
          </w:p>
        </w:tc>
      </w:tr>
      <w:tr w:rsidR="005227A2" w14:paraId="78A8A21F" w14:textId="77777777">
        <w:tc>
          <w:tcPr>
            <w:tcW w:w="1872" w:type="dxa"/>
          </w:tcPr>
          <w:p w14:paraId="0D2B7BCA" w14:textId="77777777" w:rsidR="005227A2" w:rsidRDefault="00000000">
            <w:r>
              <w:rPr>
                <w:sz w:val="18"/>
              </w:rPr>
              <w:t>Student name</w:t>
            </w:r>
          </w:p>
        </w:tc>
        <w:tc>
          <w:tcPr>
            <w:tcW w:w="3744" w:type="dxa"/>
          </w:tcPr>
          <w:p w14:paraId="5838B365" w14:textId="77777777" w:rsidR="005227A2" w:rsidRDefault="00000000">
            <w:r>
              <w:rPr>
                <w:sz w:val="18"/>
              </w:rPr>
              <w:t>Bartimeus Manuel Nii Osabu; Oti Wisdom Boakye; Antwi Jeffrey Twum; Manu Richeal Pokuah; Karikari David Kweku (Group 3)</w:t>
            </w:r>
          </w:p>
        </w:tc>
        <w:tc>
          <w:tcPr>
            <w:tcW w:w="1728" w:type="dxa"/>
          </w:tcPr>
          <w:p w14:paraId="124720AE" w14:textId="77777777" w:rsidR="005227A2" w:rsidRDefault="00000000">
            <w:r>
              <w:rPr>
                <w:sz w:val="18"/>
              </w:rPr>
              <w:t>Student ID</w:t>
            </w:r>
          </w:p>
        </w:tc>
        <w:tc>
          <w:tcPr>
            <w:tcW w:w="2880" w:type="dxa"/>
          </w:tcPr>
          <w:p w14:paraId="4DBD77C5" w14:textId="77777777" w:rsidR="005227A2" w:rsidRDefault="00000000">
            <w:r>
              <w:rPr>
                <w:sz w:val="18"/>
              </w:rPr>
              <w:t>3382422; 3419922; 3372922; 3398922; 3394522</w:t>
            </w:r>
          </w:p>
        </w:tc>
      </w:tr>
      <w:tr w:rsidR="005227A2" w14:paraId="503EECBE" w14:textId="77777777">
        <w:tc>
          <w:tcPr>
            <w:tcW w:w="1872" w:type="dxa"/>
          </w:tcPr>
          <w:p w14:paraId="78606C21" w14:textId="77777777" w:rsidR="005227A2" w:rsidRDefault="00000000">
            <w:r>
              <w:rPr>
                <w:sz w:val="18"/>
              </w:rPr>
              <w:t>Supervisor</w:t>
            </w:r>
          </w:p>
        </w:tc>
        <w:tc>
          <w:tcPr>
            <w:tcW w:w="3744" w:type="dxa"/>
          </w:tcPr>
          <w:p w14:paraId="26212B58" w14:textId="77777777" w:rsidR="005227A2" w:rsidRDefault="00000000">
            <w:r>
              <w:rPr>
                <w:sz w:val="18"/>
              </w:rPr>
              <w:t>Dr. Eric Opoku Osei</w:t>
            </w:r>
          </w:p>
        </w:tc>
        <w:tc>
          <w:tcPr>
            <w:tcW w:w="1728" w:type="dxa"/>
          </w:tcPr>
          <w:p w14:paraId="6188A476" w14:textId="77777777" w:rsidR="005227A2" w:rsidRDefault="00000000">
            <w:r>
              <w:rPr>
                <w:sz w:val="18"/>
              </w:rPr>
              <w:t>Submission round</w:t>
            </w:r>
          </w:p>
        </w:tc>
        <w:tc>
          <w:tcPr>
            <w:tcW w:w="2880" w:type="dxa"/>
          </w:tcPr>
          <w:p w14:paraId="521A265F" w14:textId="77777777" w:rsidR="005227A2" w:rsidRDefault="00000000">
            <w:r>
              <w:rPr>
                <w:sz w:val="18"/>
              </w:rPr>
              <w:t>R1</w:t>
            </w:r>
          </w:p>
        </w:tc>
      </w:tr>
      <w:tr w:rsidR="005227A2" w14:paraId="1330B9D9" w14:textId="77777777">
        <w:tc>
          <w:tcPr>
            <w:tcW w:w="1872" w:type="dxa"/>
          </w:tcPr>
          <w:p w14:paraId="190D13E3" w14:textId="77777777" w:rsidR="005227A2" w:rsidRDefault="00000000">
            <w:r>
              <w:rPr>
                <w:sz w:val="18"/>
              </w:rPr>
              <w:t>Folder</w:t>
            </w:r>
          </w:p>
        </w:tc>
        <w:tc>
          <w:tcPr>
            <w:tcW w:w="3744" w:type="dxa"/>
          </w:tcPr>
          <w:p w14:paraId="25C09D4B" w14:textId="77777777" w:rsidR="005227A2" w:rsidRDefault="00000000">
            <w:r>
              <w:rPr>
                <w:sz w:val="18"/>
              </w:rPr>
              <w:t>ML</w:t>
            </w:r>
          </w:p>
        </w:tc>
        <w:tc>
          <w:tcPr>
            <w:tcW w:w="1728" w:type="dxa"/>
          </w:tcPr>
          <w:p w14:paraId="695F1811" w14:textId="77777777" w:rsidR="005227A2" w:rsidRDefault="00000000">
            <w:r>
              <w:rPr>
                <w:sz w:val="18"/>
              </w:rPr>
              <w:t>Date submitted</w:t>
            </w:r>
          </w:p>
        </w:tc>
        <w:tc>
          <w:tcPr>
            <w:tcW w:w="2880" w:type="dxa"/>
          </w:tcPr>
          <w:p w14:paraId="002B2B82" w14:textId="77777777" w:rsidR="005227A2" w:rsidRDefault="00000000">
            <w:r>
              <w:rPr>
                <w:sz w:val="18"/>
              </w:rPr>
              <w:t>7 August 2026</w:t>
            </w:r>
          </w:p>
        </w:tc>
      </w:tr>
      <w:tr w:rsidR="005227A2" w14:paraId="7F11FFCA" w14:textId="77777777">
        <w:tc>
          <w:tcPr>
            <w:tcW w:w="1872" w:type="dxa"/>
          </w:tcPr>
          <w:p w14:paraId="4F568656" w14:textId="77777777" w:rsidR="005227A2" w:rsidRDefault="00000000">
            <w:r>
              <w:rPr>
                <w:sz w:val="18"/>
              </w:rPr>
              <w:t>Model status</w:t>
            </w:r>
          </w:p>
        </w:tc>
        <w:tc>
          <w:tcPr>
            <w:tcW w:w="3744" w:type="dxa"/>
          </w:tcPr>
          <w:p w14:paraId="456C648B" w14:textId="77777777" w:rsidR="005227A2" w:rsidRDefault="00000000">
            <w:r>
              <w:rPr>
                <w:sz w:val="18"/>
              </w:rPr>
              <w:t>ENGINEERED (predictive learner applied as published; see M12)</w:t>
            </w:r>
          </w:p>
        </w:tc>
        <w:tc>
          <w:tcPr>
            <w:tcW w:w="1728" w:type="dxa"/>
          </w:tcPr>
          <w:p w14:paraId="6A5A099A" w14:textId="77777777" w:rsidR="005227A2" w:rsidRDefault="00000000">
            <w:r>
              <w:rPr>
                <w:sz w:val="18"/>
              </w:rPr>
              <w:t>F/M/R/S operation</w:t>
            </w:r>
          </w:p>
        </w:tc>
        <w:tc>
          <w:tcPr>
            <w:tcW w:w="2880" w:type="dxa"/>
          </w:tcPr>
          <w:p w14:paraId="1B2F425F" w14:textId="77777777" w:rsidR="005227A2" w:rsidRDefault="00000000">
            <w:r>
              <w:rPr>
                <w:sz w:val="18"/>
              </w:rPr>
              <w:t>F — Fabricate (SHAPtoSMS component)</w:t>
            </w:r>
          </w:p>
        </w:tc>
      </w:tr>
      <w:tr w:rsidR="005227A2" w14:paraId="2D8E2819" w14:textId="77777777">
        <w:tc>
          <w:tcPr>
            <w:tcW w:w="1872" w:type="dxa"/>
          </w:tcPr>
          <w:p w14:paraId="708EDAF2" w14:textId="77777777" w:rsidR="005227A2" w:rsidRDefault="00000000">
            <w:r>
              <w:rPr>
                <w:sz w:val="18"/>
              </w:rPr>
              <w:t>Dataset strategy</w:t>
            </w:r>
          </w:p>
        </w:tc>
        <w:tc>
          <w:tcPr>
            <w:tcW w:w="3744" w:type="dxa"/>
          </w:tcPr>
          <w:p w14:paraId="33726BC7" w14:textId="77777777" w:rsidR="005227A2" w:rsidRDefault="00000000">
            <w:r>
              <w:rPr>
                <w:sz w:val="18"/>
              </w:rPr>
              <w:t>TRAINING-ONLY-AUG</w:t>
            </w:r>
          </w:p>
        </w:tc>
        <w:tc>
          <w:tcPr>
            <w:tcW w:w="1728" w:type="dxa"/>
          </w:tcPr>
          <w:p w14:paraId="479D807E" w14:textId="77777777" w:rsidR="005227A2" w:rsidRDefault="00000000">
            <w:r>
              <w:rPr>
                <w:sz w:val="18"/>
              </w:rPr>
              <w:t>Claim tier ceiling</w:t>
            </w:r>
          </w:p>
        </w:tc>
        <w:tc>
          <w:tcPr>
            <w:tcW w:w="2880" w:type="dxa"/>
          </w:tcPr>
          <w:p w14:paraId="00573B64" w14:textId="77777777" w:rsidR="005227A2" w:rsidRDefault="00000000">
            <w:r>
              <w:rPr>
                <w:sz w:val="18"/>
              </w:rPr>
              <w:t>Tier 1</w:t>
            </w:r>
          </w:p>
        </w:tc>
      </w:tr>
      <w:tr w:rsidR="005227A2" w14:paraId="3156510C" w14:textId="77777777">
        <w:tc>
          <w:tcPr>
            <w:tcW w:w="1872" w:type="dxa"/>
          </w:tcPr>
          <w:p w14:paraId="41A50679" w14:textId="77777777" w:rsidR="005227A2" w:rsidRDefault="00000000">
            <w:r>
              <w:rPr>
                <w:sz w:val="18"/>
              </w:rPr>
              <w:t>Primary metric</w:t>
            </w:r>
          </w:p>
        </w:tc>
        <w:tc>
          <w:tcPr>
            <w:tcW w:w="3744" w:type="dxa"/>
          </w:tcPr>
          <w:p w14:paraId="72F62B71" w14:textId="77777777" w:rsidR="005227A2" w:rsidRDefault="00000000">
            <w:r>
              <w:rPr>
                <w:sz w:val="18"/>
              </w:rPr>
              <w:t>AUC-PR (RPS@1/@2 for SHAPtoSMS)</w:t>
            </w:r>
          </w:p>
        </w:tc>
        <w:tc>
          <w:tcPr>
            <w:tcW w:w="1728" w:type="dxa"/>
          </w:tcPr>
          <w:p w14:paraId="68ED85EF" w14:textId="77777777" w:rsidR="005227A2" w:rsidRDefault="00000000">
            <w:r>
              <w:rPr>
                <w:sz w:val="18"/>
              </w:rPr>
              <w:t>Statistical test</w:t>
            </w:r>
          </w:p>
        </w:tc>
        <w:tc>
          <w:tcPr>
            <w:tcW w:w="2880" w:type="dxa"/>
          </w:tcPr>
          <w:p w14:paraId="7B3813A3" w14:textId="77777777" w:rsidR="005227A2" w:rsidRDefault="00000000">
            <w:r>
              <w:rPr>
                <w:sz w:val="18"/>
              </w:rPr>
              <w:t>McNemar exact + paired bootstrap 95% CI; BH FDR</w:t>
            </w:r>
          </w:p>
        </w:tc>
      </w:tr>
      <w:tr w:rsidR="005227A2" w14:paraId="4F4B7BE2" w14:textId="77777777">
        <w:tc>
          <w:tcPr>
            <w:tcW w:w="1872" w:type="dxa"/>
          </w:tcPr>
          <w:p w14:paraId="57700483" w14:textId="77777777" w:rsidR="005227A2" w:rsidRDefault="00000000">
            <w:r>
              <w:rPr>
                <w:sz w:val="18"/>
              </w:rPr>
              <w:t>Runs x folds</w:t>
            </w:r>
          </w:p>
        </w:tc>
        <w:tc>
          <w:tcPr>
            <w:tcW w:w="3744" w:type="dxa"/>
          </w:tcPr>
          <w:p w14:paraId="7F69F68B" w14:textId="77777777" w:rsidR="005227A2" w:rsidRDefault="00000000">
            <w:r>
              <w:rPr>
                <w:sz w:val="18"/>
              </w:rPr>
              <w:t>5 runs (seeds) x 5 folds (CV diagnostic)</w:t>
            </w:r>
          </w:p>
        </w:tc>
        <w:tc>
          <w:tcPr>
            <w:tcW w:w="1728" w:type="dxa"/>
          </w:tcPr>
          <w:p w14:paraId="1F243459" w14:textId="77777777" w:rsidR="005227A2" w:rsidRDefault="00000000">
            <w:r>
              <w:rPr>
                <w:sz w:val="18"/>
              </w:rPr>
              <w:t>Random seed(s)</w:t>
            </w:r>
          </w:p>
        </w:tc>
        <w:tc>
          <w:tcPr>
            <w:tcW w:w="2880" w:type="dxa"/>
          </w:tcPr>
          <w:p w14:paraId="4AF90BEE" w14:textId="77777777" w:rsidR="005227A2" w:rsidRDefault="00000000">
            <w:r>
              <w:rPr>
                <w:sz w:val="18"/>
              </w:rPr>
              <w:t>42, 123, 777, 2024, 9999</w:t>
            </w:r>
          </w:p>
        </w:tc>
      </w:tr>
      <w:tr w:rsidR="005227A2" w14:paraId="067B2F8E" w14:textId="77777777">
        <w:tc>
          <w:tcPr>
            <w:tcW w:w="1872" w:type="dxa"/>
          </w:tcPr>
          <w:p w14:paraId="1DDC5F73" w14:textId="77777777" w:rsidR="005227A2" w:rsidRDefault="00000000">
            <w:r>
              <w:rPr>
                <w:sz w:val="18"/>
              </w:rPr>
              <w:t>Target journal (primary)</w:t>
            </w:r>
          </w:p>
        </w:tc>
        <w:tc>
          <w:tcPr>
            <w:tcW w:w="3744" w:type="dxa"/>
          </w:tcPr>
          <w:p w14:paraId="2A468A28" w14:textId="77777777" w:rsidR="005227A2" w:rsidRDefault="00000000">
            <w:r>
              <w:rPr>
                <w:sz w:val="18"/>
              </w:rPr>
              <w:t>Computers &amp; Education: Artificial Intelligence</w:t>
            </w:r>
          </w:p>
        </w:tc>
        <w:tc>
          <w:tcPr>
            <w:tcW w:w="1728" w:type="dxa"/>
          </w:tcPr>
          <w:p w14:paraId="6F2EF007" w14:textId="77777777" w:rsidR="005227A2" w:rsidRDefault="00000000">
            <w:r>
              <w:rPr>
                <w:sz w:val="18"/>
              </w:rPr>
              <w:t>Format family</w:t>
            </w:r>
          </w:p>
        </w:tc>
        <w:tc>
          <w:tcPr>
            <w:tcW w:w="2880" w:type="dxa"/>
          </w:tcPr>
          <w:p w14:paraId="76BB3207" w14:textId="77777777" w:rsidR="005227A2" w:rsidRDefault="00000000">
            <w:r>
              <w:rPr>
                <w:sz w:val="18"/>
              </w:rPr>
              <w:t>Elsevier</w:t>
            </w:r>
          </w:p>
        </w:tc>
      </w:tr>
      <w:tr w:rsidR="005227A2" w14:paraId="6EBBA82D" w14:textId="77777777">
        <w:tc>
          <w:tcPr>
            <w:tcW w:w="1872" w:type="dxa"/>
          </w:tcPr>
          <w:p w14:paraId="3EDC1B8D" w14:textId="77777777" w:rsidR="005227A2" w:rsidRDefault="00000000">
            <w:r>
              <w:rPr>
                <w:sz w:val="18"/>
              </w:rPr>
              <w:t>Word budget (Methods)</w:t>
            </w:r>
          </w:p>
        </w:tc>
        <w:tc>
          <w:tcPr>
            <w:tcW w:w="3744" w:type="dxa"/>
          </w:tcPr>
          <w:p w14:paraId="1D19B635" w14:textId="77777777" w:rsidR="005227A2" w:rsidRDefault="00000000">
            <w:r>
              <w:rPr>
                <w:sz w:val="18"/>
              </w:rPr>
              <w:t>2,400-3,200 (wide draft)</w:t>
            </w:r>
          </w:p>
        </w:tc>
        <w:tc>
          <w:tcPr>
            <w:tcW w:w="1728" w:type="dxa"/>
          </w:tcPr>
          <w:p w14:paraId="7E6FDBC1" w14:textId="77777777" w:rsidR="005227A2" w:rsidRDefault="00000000">
            <w:r>
              <w:rPr>
                <w:sz w:val="18"/>
              </w:rPr>
              <w:t>Citation style</w:t>
            </w:r>
          </w:p>
        </w:tc>
        <w:tc>
          <w:tcPr>
            <w:tcW w:w="2880" w:type="dxa"/>
          </w:tcPr>
          <w:p w14:paraId="244E666A" w14:textId="77777777" w:rsidR="005227A2" w:rsidRDefault="00000000">
            <w:r>
              <w:rPr>
                <w:sz w:val="18"/>
              </w:rPr>
              <w:t>APA (7th ed.)</w:t>
            </w:r>
          </w:p>
        </w:tc>
      </w:tr>
    </w:tbl>
    <w:p w14:paraId="302FC4FA" w14:textId="77777777" w:rsidR="005227A2" w:rsidRPr="004C1FB2" w:rsidRDefault="00000000" w:rsidP="004C1FB2">
      <w:pPr>
        <w:pStyle w:val="Heading2"/>
        <w:spacing w:before="260" w:after="100"/>
        <w:rPr>
          <w:b/>
          <w:bCs/>
          <w:color w:val="10243C"/>
          <w:sz w:val="25"/>
          <w:szCs w:val="25"/>
        </w:rPr>
      </w:pPr>
      <w:r>
        <w:rPr>
          <w:b/>
          <w:bCs/>
          <w:color w:val="10243C"/>
          <w:sz w:val="25"/>
          <w:szCs w:val="25"/>
        </w:rPr>
        <w:t>Proposed Research Title</w:t>
      </w:r>
    </w:p>
    <w:p w14:paraId="33A483C3" w14:textId="77777777" w:rsidR="005227A2" w:rsidRDefault="00000000">
      <w:r>
        <w:t>SHAPtoSMS: An Explainable Machine Learning Early Warning System for Student Dropout Prediction with Constraint-Compliant SMS Intervention in Rural Ghanaian Schools.</w:t>
      </w:r>
    </w:p>
    <w:p w14:paraId="495F9A9E" w14:textId="77777777" w:rsidR="005227A2" w:rsidRDefault="00000000">
      <w:r>
        <w:rPr>
          <w:i/>
          <w:sz w:val="18"/>
        </w:rPr>
        <w:t>Authors: Bartimeus Manuel Nii Osabu, Oti Wisdom Boakye, Antwi Jeffrey Twum, Manu Richeal Pokuah, and Karikari David Kweku. Supervisor: Dr. Eric Opoku Osei. Department of Computer Science, KNUST, Ghana. Target journal: Computers &amp; Education: Artificial Intelligence (Elsevier; backups: Computers &amp; Education; Education and Information Technologies).</w:t>
      </w:r>
    </w:p>
    <w:p w14:paraId="73BB83E0" w14:textId="77777777" w:rsidR="005227A2" w:rsidRPr="004C1FB2" w:rsidRDefault="00000000" w:rsidP="004C1FB2">
      <w:pPr>
        <w:pStyle w:val="Heading2"/>
        <w:spacing w:before="260" w:after="100"/>
        <w:rPr>
          <w:b/>
          <w:bCs/>
          <w:color w:val="10243C"/>
          <w:sz w:val="25"/>
          <w:szCs w:val="25"/>
        </w:rPr>
      </w:pPr>
      <w:r>
        <w:rPr>
          <w:b/>
          <w:bCs/>
          <w:color w:val="10243C"/>
          <w:sz w:val="25"/>
          <w:szCs w:val="25"/>
        </w:rPr>
        <w:t>Problem Statement</w:t>
      </w:r>
    </w:p>
    <w:p w14:paraId="7BBF1877" w14:textId="77777777" w:rsidR="005227A2" w:rsidRDefault="00000000">
      <w:r>
        <w:t>Education is widely recognised as a key driver of socio-economic development and poverty reduction, yet access to quality education and student retention remain significant challenges across much of sub-Saharan Africa. Despite improvements in enrolment over the past decade, dropout rates remain high, particularly in rural communities where economic hardship, limited educational resources, and social factors disrupt students’ trajectories. In Ghana, completion rates decline significantly at higher levels of schooling, and the Ghana Statistical Service reports persistent rural–urban disparities in literacy and educational attainment (Ghana Statistical Service, 2021), contributing to higher risks of disengagement and dropout among rural students.</w:t>
      </w:r>
    </w:p>
    <w:p w14:paraId="6D1A833D" w14:textId="77777777" w:rsidR="005227A2" w:rsidRDefault="00000000">
      <w:r>
        <w:t>Recent advances in machine learning and educational data mining have enabled Early Warning Systems (EWS) that identify students at risk of dropping out before disengagement occurs, analysing attendance, academic performance, and behavioural indicators to support early intervention (Bowers, Sprott, &amp; Taff, 2013). However, many existing predictive systems are developed for well-resourced environments with reliable internet connectivity, and they typically function as opaque “black-box” models delivered through web dashboards or cloud platforms. Their practical implementation in low-resource rural contexts is therefore limited, because teachers and administrators frequently lack consistent internet access, the digital infrastructure, or the technical capacity to interact with complex data-driven platforms (Anlimachie &amp; Avoada, 2020; Lundberg &amp; Lee, 2017).</w:t>
      </w:r>
    </w:p>
    <w:p w14:paraId="2D29BEA9" w14:textId="77777777" w:rsidR="005227A2" w:rsidRDefault="00000000">
      <w:r>
        <w:t>A systematic search of Scopus and Google Scholar (“student dropout prediction” AND “SMS” AND “explainable”; and “SHAP” AND “offline” AND “sub-Saharan Africa”; conducted March 2026) returned zero papers combining all three dimensions. Prior work has not examined the integration of explainable-AI mechanisms with low-bandwidth communication channels capable of delivering actionable, interpretable alerts directly to educators in low-connectivity settings. Systems that both explain a risk score and deliver an intervention alert over infrastructure accessible in rural contexts remain, to our knowledge, undemonstrated.</w:t>
      </w:r>
    </w:p>
    <w:p w14:paraId="35842AD8" w14:textId="77777777" w:rsidR="005227A2" w:rsidRPr="004C1FB2" w:rsidRDefault="00000000" w:rsidP="004C1FB2">
      <w:pPr>
        <w:pStyle w:val="Heading2"/>
        <w:spacing w:before="260" w:after="100"/>
        <w:rPr>
          <w:b/>
          <w:bCs/>
          <w:color w:val="10243C"/>
          <w:sz w:val="25"/>
          <w:szCs w:val="25"/>
        </w:rPr>
      </w:pPr>
      <w:r>
        <w:rPr>
          <w:b/>
          <w:bCs/>
          <w:color w:val="10243C"/>
          <w:sz w:val="25"/>
          <w:szCs w:val="25"/>
        </w:rPr>
        <w:t>Aim and Objectives</w:t>
      </w:r>
    </w:p>
    <w:p w14:paraId="2A6C64F4" w14:textId="77777777" w:rsidR="005227A2" w:rsidRDefault="00000000">
      <w:r>
        <w:lastRenderedPageBreak/>
        <w:t>Aim. To develop and evaluate EduTrace, an explainable, infrastructure-aware machine-learning early-warning system that predicts student dropout risk in rural Ghanaian Junior High Schools and delivers interpretable, constraint-compliant 160-character SMS alerts to teachers over 2G networks.</w:t>
      </w:r>
    </w:p>
    <w:p w14:paraId="1B69BF3B" w14:textId="77777777" w:rsidR="005227A2" w:rsidRDefault="00000000">
      <w:r>
        <w:t>Objective 1. To develop a machine-learning-based early-warning system capable of predicting student dropout risk using academic, behavioural, and demographic data.</w:t>
      </w:r>
    </w:p>
    <w:p w14:paraId="42DA0510" w14:textId="77777777" w:rsidR="005227A2" w:rsidRDefault="00000000">
      <w:r>
        <w:t>Objective 2. To implement an Explainable Artificial Intelligence (XAI) framework that identifies and communicates the key factors contributing to each student’s predicted dropout risk.</w:t>
      </w:r>
    </w:p>
    <w:p w14:paraId="41010D5B" w14:textId="77777777" w:rsidR="005227A2" w:rsidRDefault="00000000">
      <w:r>
        <w:t>Objective 3. To specify and verify a constraint-compliant alert-generation protocol for 160-character single-segment SMS delivery in rural Ghana. (This objective was narrowed from an earlier "delivery reliability" wording, which promised gateway-level evidence that the present study does not provide; what is evidenced here is generation-side constraint compliance, reported in R5 and Table 5. A gateway delivery experiment is identified as the next-round action.)</w:t>
      </w:r>
    </w:p>
    <w:p w14:paraId="606A2E07" w14:textId="77777777" w:rsidR="005227A2" w:rsidRPr="004C1FB2" w:rsidRDefault="00000000" w:rsidP="004C1FB2">
      <w:pPr>
        <w:pStyle w:val="Heading2"/>
        <w:spacing w:before="260" w:after="100"/>
        <w:rPr>
          <w:b/>
          <w:bCs/>
          <w:color w:val="10243C"/>
          <w:sz w:val="25"/>
          <w:szCs w:val="25"/>
        </w:rPr>
      </w:pPr>
      <w:r>
        <w:rPr>
          <w:b/>
          <w:bCs/>
          <w:color w:val="10243C"/>
          <w:sz w:val="25"/>
          <w:szCs w:val="25"/>
        </w:rPr>
        <w:t>Guiding Theories and Frameworks</w:t>
      </w:r>
    </w:p>
    <w:p w14:paraId="6474B7CE" w14:textId="77777777" w:rsidR="005227A2" w:rsidRDefault="00000000">
      <w:r>
        <w:t>Self-Determination Theory (SDT; Ryan &amp; Deci, 2000). SDT explains how students’ motivation, engagement, and persistence are shaped by the psychological needs of autonomy, competence, and relatedness. SDT is used here as an interpretive lens for grouping the register variables, not as a validated measurement instrument: no SDT scale was administered, and the study does not claim that the six register variables measure autonomy, competence and relatedness directly. The variables are behavioural and administrative indicators that are consistent with, but are not measures of, the SDT needs — attendance is read alongside relatedness, examination performance alongside competence, and fee-payment status and home-to-school distance alongside autonomy-relevant external constraint. The construct-to-feature-to-metric mapping, with the specific validity threat attaching to each proxy, is given in M15 (Table 2b), and the directional test of the SDT-consistent predictions is reported in R6. Explanations therefore surface which register-observable domain drives an individual’s risk score, rather than which psychological need is thwarted.</w:t>
      </w:r>
    </w:p>
    <w:p w14:paraId="6CBC3DF0" w14:textId="77777777" w:rsidR="005227A2" w:rsidRDefault="00000000">
      <w:r>
        <w:t>Frugal Innovation Theory (Toyama, 2015). Frugal innovation holds that technology for resource-constrained settings must treat infrastructure limitations as primary design constraints rather than deployment afterthoughts. SHAPtoSMS operationalises this directly: the 160-character 2G SMS limit is encoded as a formal algorithmic constraint (Algorithm 1), not an optional delivery channel appended after model development. Together, SDT explains which student signals matter and why, and frugal innovation explains how those signals must be delivered within rural infrastructural realities.</w:t>
      </w:r>
    </w:p>
    <w:p w14:paraId="0CA113CE" w14:textId="77777777" w:rsidR="005227A2" w:rsidRPr="004C1FB2" w:rsidRDefault="00000000" w:rsidP="004C1FB2">
      <w:pPr>
        <w:pStyle w:val="Heading2"/>
        <w:spacing w:before="260" w:after="100"/>
        <w:rPr>
          <w:b/>
          <w:bCs/>
          <w:color w:val="10243C"/>
          <w:sz w:val="25"/>
          <w:szCs w:val="25"/>
        </w:rPr>
      </w:pPr>
      <w:r>
        <w:rPr>
          <w:b/>
          <w:bCs/>
          <w:color w:val="10243C"/>
          <w:sz w:val="25"/>
          <w:szCs w:val="25"/>
        </w:rPr>
        <w:t>M1. Research Design Overview and Methodological Roadmap</w:t>
      </w:r>
    </w:p>
    <w:p w14:paraId="1A8183CE" w14:textId="77777777" w:rsidR="005227A2" w:rsidRDefault="00000000">
      <w:r>
        <w:t>The learning paradigm is supervised. The task type is binary classification, distinguishing dropout (y = 1) from non-dropout (y = 0) at the level of one student-year record. EduTrace was framed as a temporally split prediction of future dropout from historical school-register data, and two model families were fitted on identical partitions: an imbalance-aware XGBoost pipeline adopted as the primary predictive model, and a TabTransformer retained as a comparator and as an alternate source of attributions. The remainder of this section proceeds as follows: problem formalisation and notation (M2); data sources and provenance (M3); acquisition and synthetic generation (M4); ethical clearance and governance (M5); preprocessing (M6); feature representation (M7); class-imbalance handling (M8); partitioning (M9); the dataset-combining strategy (M10); baselines (M11); the proposed model and its engineered SHAPtoSMS component (M12); hyperparameter and tuning-budget parity (M13); training protocol and seeds (M14); evaluation metrics (M15); the ablation and statistical protocol (M16); interpretability (M17); generalisation (M18); computational environment (M19); methodological defences (M20); and data and code availability (M21).</w:t>
      </w:r>
    </w:p>
    <w:p w14:paraId="75AA31A0" w14:textId="77777777" w:rsidR="005227A2" w:rsidRPr="004C1FB2" w:rsidRDefault="00000000" w:rsidP="004C1FB2">
      <w:pPr>
        <w:pStyle w:val="Heading2"/>
        <w:spacing w:before="260" w:after="100"/>
        <w:rPr>
          <w:b/>
          <w:bCs/>
          <w:color w:val="10243C"/>
          <w:sz w:val="25"/>
          <w:szCs w:val="25"/>
        </w:rPr>
      </w:pPr>
      <w:r>
        <w:rPr>
          <w:b/>
          <w:bCs/>
          <w:color w:val="10243C"/>
          <w:sz w:val="25"/>
          <w:szCs w:val="25"/>
        </w:rPr>
        <w:t>M2. Problem Formalisation and Notation</w:t>
      </w:r>
    </w:p>
    <w:p w14:paraId="1D3EC562" w14:textId="77777777" w:rsidR="005227A2" w:rsidRDefault="00000000">
      <w:r>
        <w:t>The unit of analysis is one student-year record: a single student observed in a single academic year, so one row corresponds to one (student, year) pair. Each record is described by a feature vector x ∈ X ⊆ ℝᵈ, where the six school-register variables constitute d = 6 raw predictors (expanded to eight columns after one-hot encoding; M7). The output space is binary, y ∈ Y = {0, 1}, with y = 1 denoting a recorded dropout event. The model learns a mapping f_θ : X → [0, 1] returning an estimated dropout probability, converted to a class decision by a threshold τ. Throughout, n denotes the number of records in a given partition, d the feature count, k the SMOTE neighbour count, and φ = (φ₁, …, φ_d) the SHAP attribution vector computed for a record. These symbols recur in the preprocessing, imbalance, evaluation, and SHAPtoSMS specifications (M6–M17).</w:t>
      </w:r>
    </w:p>
    <w:p w14:paraId="0C26F6A1" w14:textId="77777777" w:rsidR="005227A2" w:rsidRPr="004C1FB2" w:rsidRDefault="00000000" w:rsidP="004C1FB2">
      <w:pPr>
        <w:pStyle w:val="Heading2"/>
        <w:spacing w:before="260" w:after="100"/>
        <w:rPr>
          <w:b/>
          <w:bCs/>
          <w:color w:val="10243C"/>
          <w:sz w:val="25"/>
          <w:szCs w:val="25"/>
        </w:rPr>
      </w:pPr>
      <w:r>
        <w:rPr>
          <w:b/>
          <w:bCs/>
          <w:color w:val="10243C"/>
          <w:sz w:val="25"/>
          <w:szCs w:val="25"/>
        </w:rPr>
        <w:t>M3. Data Sources and Provenance Declaration</w:t>
      </w:r>
    </w:p>
    <w:p w14:paraId="4DD0308A" w14:textId="77777777" w:rsidR="005227A2" w:rsidRDefault="00000000">
      <w:r>
        <w:t>Two datasets were used, both originating within this project; no external public dataset was incorporated. The primary dataset is a longitudinal institutional extract of 428 student-year records for 180 unique students drawn from rural Junior High Schools in the Ashanti Region of Ghana and observed across academic years 2024–2026 (each student contributes one to three yearly records; 93 students contribute three, 62 contribute two and 25 contribute one), containing 25 recorded dropout events (a 5.8% record-level rate). The extract is drawn from four participating sites (n = 4): Al Huda Islamic and JHS (SCH01, 80 students, 225 records, 11 dropout events); Tawjeed Islamic and JHS (SCH02, 50 students, 109 records, 9 dropout events); Ayaarno M/A Primary and JHS (SCH03, 20 students, 37 records, 3 dropout events); Buokrom Block A M/A Primary and JHS (SCH04, 30 students, 57 records, 2 dropout events). The school identifier was not captured in the original register extract, and an earlier version of this manuscript reported the number of sites as UNRECORDED for that reason. It was subsequently recovered from the participating schools while the HuSSREC approval and site access were live, and attached to every record by add_school_identifier.py, which asserts that the supplied student-number ranges are contiguous, non-overlapping and partition the register exactly before writing anything. The identifier is carried as a record-level attribute and is not a model input: the feature set in M7 is unchanged, and no reported model figure depends on it. Its recovery removes the absence that previously blocked leave-one-site-out validation, which is now reported in M18 and R8. Site sizes are markedly uneven — the largest site holds 44.4% of students and the smallest 11.1% — and the record-level dropout rate ranges from 0.0351 to 0.0826 across sites, a 2.4-fold spread, so the sites are not interchangeable replicates (Table 1b). The extract was sourced from school paper registers maintained by class teachers as standard administrative procedure; no new data-collection instrument was introduced. The sampling frame, inclusion criteria and the resulting partition sizes are stated in Table 1b, together with the generalisability threats each entails. To relieve training-set scarcity for the Transformer comparator, a synthetic supplement of 350 records was generated with the CTGAN conditional-GAN synthesiser (SDV; Xu et al., 2019), fitted on the real training-period records only under a fixed random seed so that the supplement is byte-for-byte reproducible (M14, M21). The provenance of both datasets is declared in Table 1. The six input features and the SDT construct each is read alongside (M15) are: attendance_rate (continuous [0,1]), exam_score (continuous [0,100]), fee_payment_status (categorical: Fully Paid / Partially Paid / Unpaid), distance_km (continuous), grade_level (ordinal: Grade 7/8/9), and gender (Male/Female).</w:t>
      </w:r>
    </w:p>
    <w:p w14:paraId="46E304DC" w14:textId="77777777" w:rsidR="005227A2" w:rsidRDefault="00000000">
      <w:r>
        <w:rPr>
          <w:i/>
          <w:sz w:val="18"/>
        </w:rPr>
        <w:t>Table 1. Dataset provenance declaration for the EduTrace study.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02"/>
        <w:gridCol w:w="1214"/>
        <w:gridCol w:w="1481"/>
        <w:gridCol w:w="1691"/>
        <w:gridCol w:w="1904"/>
        <w:gridCol w:w="1704"/>
      </w:tblGrid>
      <w:tr w:rsidR="005227A2" w14:paraId="011C8A9C" w14:textId="77777777" w:rsidTr="004C1FB2">
        <w:tc>
          <w:tcPr>
            <w:tcW w:w="1944" w:type="dxa"/>
            <w:shd w:val="clear" w:color="auto" w:fill="002060"/>
          </w:tcPr>
          <w:p w14:paraId="0E3E46E3" w14:textId="77777777" w:rsidR="005227A2" w:rsidRDefault="00000000">
            <w:r>
              <w:rPr>
                <w:b/>
                <w:sz w:val="18"/>
              </w:rPr>
              <w:t>Dataset</w:t>
            </w:r>
          </w:p>
        </w:tc>
        <w:tc>
          <w:tcPr>
            <w:tcW w:w="1224" w:type="dxa"/>
            <w:shd w:val="clear" w:color="auto" w:fill="002060"/>
          </w:tcPr>
          <w:p w14:paraId="06323993" w14:textId="77777777" w:rsidR="005227A2" w:rsidRDefault="00000000">
            <w:r>
              <w:rPr>
                <w:b/>
                <w:sz w:val="18"/>
              </w:rPr>
              <w:t>Source type</w:t>
            </w:r>
          </w:p>
        </w:tc>
        <w:tc>
          <w:tcPr>
            <w:tcW w:w="1512" w:type="dxa"/>
            <w:shd w:val="clear" w:color="auto" w:fill="002060"/>
          </w:tcPr>
          <w:p w14:paraId="4FD77E57" w14:textId="77777777" w:rsidR="005227A2" w:rsidRDefault="00000000">
            <w:r>
              <w:rPr>
                <w:b/>
                <w:sz w:val="18"/>
              </w:rPr>
              <w:t>Size (rows x cols)</w:t>
            </w:r>
          </w:p>
        </w:tc>
        <w:tc>
          <w:tcPr>
            <w:tcW w:w="1728" w:type="dxa"/>
            <w:shd w:val="clear" w:color="auto" w:fill="002060"/>
          </w:tcPr>
          <w:p w14:paraId="1916A374" w14:textId="77777777" w:rsidR="005227A2" w:rsidRDefault="00000000">
            <w:r>
              <w:rPr>
                <w:b/>
                <w:sz w:val="18"/>
              </w:rPr>
              <w:t>Collection / release date</w:t>
            </w:r>
          </w:p>
        </w:tc>
        <w:tc>
          <w:tcPr>
            <w:tcW w:w="1944" w:type="dxa"/>
            <w:shd w:val="clear" w:color="auto" w:fill="002060"/>
          </w:tcPr>
          <w:p w14:paraId="1489566F" w14:textId="77777777" w:rsidR="005227A2" w:rsidRDefault="00000000">
            <w:r>
              <w:rPr>
                <w:b/>
                <w:sz w:val="18"/>
              </w:rPr>
              <w:t>Licence</w:t>
            </w:r>
          </w:p>
        </w:tc>
        <w:tc>
          <w:tcPr>
            <w:tcW w:w="1728" w:type="dxa"/>
            <w:shd w:val="clear" w:color="auto" w:fill="002060"/>
          </w:tcPr>
          <w:p w14:paraId="73C5AA20" w14:textId="77777777" w:rsidR="005227A2" w:rsidRDefault="00000000">
            <w:r>
              <w:rPr>
                <w:b/>
                <w:sz w:val="18"/>
              </w:rPr>
              <w:t>Role</w:t>
            </w:r>
          </w:p>
        </w:tc>
      </w:tr>
      <w:tr w:rsidR="005227A2" w14:paraId="67D43152" w14:textId="77777777">
        <w:tc>
          <w:tcPr>
            <w:tcW w:w="1944" w:type="dxa"/>
          </w:tcPr>
          <w:p w14:paraId="3EFE3540" w14:textId="77777777" w:rsidR="005227A2" w:rsidRDefault="00000000">
            <w:r>
              <w:rPr>
                <w:sz w:val="18"/>
              </w:rPr>
              <w:t>EduTrace institutional register extract</w:t>
            </w:r>
          </w:p>
        </w:tc>
        <w:tc>
          <w:tcPr>
            <w:tcW w:w="1224" w:type="dxa"/>
          </w:tcPr>
          <w:p w14:paraId="394DA308" w14:textId="77777777" w:rsidR="005227A2" w:rsidRDefault="00000000">
            <w:r>
              <w:rPr>
                <w:sz w:val="18"/>
              </w:rPr>
              <w:t>FIELD</w:t>
            </w:r>
          </w:p>
        </w:tc>
        <w:tc>
          <w:tcPr>
            <w:tcW w:w="1512" w:type="dxa"/>
          </w:tcPr>
          <w:p w14:paraId="7274337C" w14:textId="77777777" w:rsidR="005227A2" w:rsidRDefault="00000000">
            <w:r>
              <w:rPr>
                <w:sz w:val="18"/>
              </w:rPr>
              <w:t>428 x 6 (student-year)</w:t>
            </w:r>
          </w:p>
        </w:tc>
        <w:tc>
          <w:tcPr>
            <w:tcW w:w="1728" w:type="dxa"/>
          </w:tcPr>
          <w:p w14:paraId="6EE8041F" w14:textId="77777777" w:rsidR="005227A2" w:rsidRDefault="00000000">
            <w:r>
              <w:rPr>
                <w:sz w:val="18"/>
              </w:rPr>
              <w:t>Collected 2024-2026 (Ashanti Region JHS)</w:t>
            </w:r>
          </w:p>
        </w:tc>
        <w:tc>
          <w:tcPr>
            <w:tcW w:w="1944" w:type="dxa"/>
          </w:tcPr>
          <w:p w14:paraId="55F2FEA4" w14:textId="77777777" w:rsidR="005227A2" w:rsidRDefault="00000000">
            <w:r>
              <w:rPr>
                <w:sz w:val="18"/>
              </w:rPr>
              <w:t>Institutional; not publicly released; governed by Ghana Data Protection Act, 2012 (Act 843)</w:t>
            </w:r>
          </w:p>
        </w:tc>
        <w:tc>
          <w:tcPr>
            <w:tcW w:w="1728" w:type="dxa"/>
          </w:tcPr>
          <w:p w14:paraId="661FAA46" w14:textId="77777777" w:rsidR="005227A2" w:rsidRDefault="00000000">
            <w:r>
              <w:rPr>
                <w:sz w:val="18"/>
              </w:rPr>
              <w:t>Training (2024) + held-out external test (2025-2026)</w:t>
            </w:r>
          </w:p>
        </w:tc>
      </w:tr>
      <w:tr w:rsidR="005227A2" w14:paraId="2396AF96" w14:textId="77777777">
        <w:tc>
          <w:tcPr>
            <w:tcW w:w="1944" w:type="dxa"/>
          </w:tcPr>
          <w:p>
            <w:r/>
            <w:r>
              <w:rPr>
                <w:sz w:val="18"/>
              </w:rPr>
              <w:t>CTGAN synthetic supplement (SDV; Xu et al., 2019)</w:t>
            </w:r>
          </w:p>
        </w:tc>
        <w:tc>
          <w:tcPr>
            <w:tcW w:w="1224" w:type="dxa"/>
          </w:tcPr>
          <w:p>
            <w:r/>
            <w:r>
              <w:rPr>
                <w:sz w:val="18"/>
              </w:rPr>
              <w:t>SYNTHETIC</w:t>
            </w:r>
          </w:p>
        </w:tc>
        <w:tc>
          <w:tcPr>
            <w:tcW w:w="1512" w:type="dxa"/>
          </w:tcPr>
          <w:p>
            <w:r/>
            <w:r>
              <w:rPr>
                <w:sz w:val="18"/>
              </w:rPr>
              <w:t>350 x 6</w:t>
            </w:r>
          </w:p>
        </w:tc>
        <w:tc>
          <w:tcPr>
            <w:tcW w:w="1728" w:type="dxa"/>
          </w:tcPr>
          <w:p>
            <w:r/>
            <w:r>
              <w:rPr>
                <w:sz w:val="18"/>
              </w:rPr>
              <w:t>Generated 2026; fitted on 2024 real training records; CTGAN, 600 epochs, batch 50, seed 42 (reproducible)</w:t>
            </w:r>
          </w:p>
        </w:tc>
        <w:tc>
          <w:tcPr>
            <w:tcW w:w="1944" w:type="dxa"/>
          </w:tcPr>
          <w:p>
            <w:r/>
            <w:r>
              <w:rPr>
                <w:sz w:val="18"/>
              </w:rPr>
              <w:t>Project-internal (derived from FIELD data)</w:t>
            </w:r>
          </w:p>
        </w:tc>
        <w:tc>
          <w:tcPr>
            <w:tcW w:w="1728" w:type="dxa"/>
          </w:tcPr>
          <w:p>
            <w:r/>
            <w:r>
              <w:rPr>
                <w:sz w:val="18"/>
              </w:rPr>
              <w:t>Training augmentation only</w:t>
            </w:r>
          </w:p>
        </w:tc>
      </w:tr>
    </w:tbl>
    <w:p w14:paraId="0A794885" w14:textId="77777777" w:rsidR="004C1FB2" w:rsidRDefault="004C1FB2" w:rsidP="004C1FB2">
      <w:pPr>
        <w:spacing w:after="60"/>
      </w:pPr>
      <w:r>
        <w:rPr>
          <w:b w:val="0"/>
          <w:bCs/>
          <w:color w:val="BF8F00"/>
          <w:sz w:val="18"/>
          <w:szCs w:val="18"/>
        </w:rPr>
        <w:t>Table 1b. Sampling frame, partition sizes and the generalisability threat attaching to each. Figures are read from the analysed dataset.</w:t>
      </w:r>
    </w:p>
    <w:tbl>
      <w:tblPr>
        <w:tblW w:type="auto" w:w="0"/>
        <w:tblLook w:firstColumn="1" w:firstRow="1" w:lastColumn="0" w:lastRow="0" w:noHBand="0" w:noVBand="1" w:val="04A0"/>
      </w:tblPr>
      <w:tblGrid>
        <w:gridCol w:w="3302"/>
        <w:gridCol w:w="3302"/>
        <w:gridCol w:w="3302"/>
      </w:tblGrid>
      <w:tr>
        <w:tc>
          <w:tcPr>
            <w:tcW w:type="dxa" w:w="3302"/>
          </w:tcPr>
          <w:p>
            <w:r>
              <w:rPr>
                <w:b/>
              </w:rPr>
            </w:r>
            <w:r>
              <w:rPr>
                <w:b/>
                <w:sz w:val="18"/>
              </w:rPr>
              <w:t>Item</w:t>
            </w:r>
          </w:p>
        </w:tc>
        <w:tc>
          <w:tcPr>
            <w:tcW w:type="dxa" w:w="3302"/>
          </w:tcPr>
          <w:p>
            <w:r>
              <w:rPr>
                <w:b/>
              </w:rPr>
            </w:r>
            <w:r>
              <w:rPr>
                <w:b/>
                <w:sz w:val="18"/>
              </w:rPr>
              <w:t>Value</w:t>
            </w:r>
          </w:p>
        </w:tc>
        <w:tc>
          <w:tcPr>
            <w:tcW w:type="dxa" w:w="3302"/>
          </w:tcPr>
          <w:p>
            <w:r>
              <w:rPr>
                <w:b/>
              </w:rPr>
            </w:r>
            <w:r>
              <w:rPr>
                <w:b/>
                <w:sz w:val="18"/>
              </w:rPr>
              <w:t>Generalisability threat entailed</w:t>
            </w:r>
          </w:p>
        </w:tc>
      </w:tr>
      <w:tr>
        <w:tc>
          <w:tcPr>
            <w:tcW w:type="dxa" w:w="3302"/>
          </w:tcPr>
          <w:p>
            <w:r/>
            <w:r>
              <w:rPr>
                <w:sz w:val="18"/>
              </w:rPr>
              <w:t>Target population</w:t>
            </w:r>
          </w:p>
        </w:tc>
        <w:tc>
          <w:tcPr>
            <w:tcW w:type="dxa" w:w="3302"/>
          </w:tcPr>
          <w:p>
            <w:r/>
            <w:r>
              <w:rPr>
                <w:sz w:val="18"/>
              </w:rPr>
              <w:t>Rural Ashanti Region JHS students, Grades 7–9</w:t>
            </w:r>
          </w:p>
        </w:tc>
        <w:tc>
          <w:tcPr>
            <w:tcW w:type="dxa" w:w="3302"/>
          </w:tcPr>
          <w:p>
            <w:r/>
            <w:r>
              <w:rPr>
                <w:sz w:val="18"/>
              </w:rPr>
              <w:t>Claims are bounded to this population (Tier 1; M18)</w:t>
            </w:r>
          </w:p>
        </w:tc>
      </w:tr>
      <w:tr>
        <w:tc>
          <w:tcPr>
            <w:tcW w:type="dxa" w:w="3302"/>
          </w:tcPr>
          <w:p>
            <w:r/>
            <w:r>
              <w:rPr>
                <w:sz w:val="18"/>
              </w:rPr>
              <w:t>Sampling frame</w:t>
            </w:r>
          </w:p>
        </w:tc>
        <w:tc>
          <w:tcPr>
            <w:tcW w:type="dxa" w:w="3302"/>
          </w:tcPr>
          <w:p>
            <w:r/>
            <w:r>
              <w:rPr>
                <w:sz w:val="18"/>
              </w:rPr>
              <w:t>Class-teacher paper registers at the participating schools, 2024–2026</w:t>
            </w:r>
          </w:p>
        </w:tc>
        <w:tc>
          <w:tcPr>
            <w:tcW w:type="dxa" w:w="3302"/>
          </w:tcPr>
          <w:p>
            <w:r/>
            <w:r>
              <w:rPr>
                <w:sz w:val="18"/>
              </w:rPr>
              <w:t>Convenience extract; no probability sampling, so no design-based inference to the region</w:t>
            </w:r>
          </w:p>
        </w:tc>
      </w:tr>
      <w:tr>
        <w:tc>
          <w:tcPr>
            <w:tcW w:type="dxa" w:w="3302"/>
          </w:tcPr>
          <w:p>
            <w:r/>
            <w:r>
              <w:rPr>
                <w:sz w:val="18"/>
              </w:rPr>
              <w:t>Inclusion criteria</w:t>
            </w:r>
          </w:p>
        </w:tc>
        <w:tc>
          <w:tcPr>
            <w:tcW w:type="dxa" w:w="3302"/>
          </w:tcPr>
          <w:p>
            <w:r/>
            <w:r>
              <w:rPr>
                <w:sz w:val="18"/>
              </w:rPr>
              <w:t>Enrolled JHS students at the participating schools in 2024–2026</w:t>
            </w:r>
          </w:p>
        </w:tc>
        <w:tc>
          <w:tcPr>
            <w:tcW w:type="dxa" w:w="3302"/>
          </w:tcPr>
          <w:p>
            <w:r/>
            <w:r>
              <w:rPr>
                <w:sz w:val="18"/>
              </w:rPr>
              <w:t>Students who left before a register entry was made are unobserved</w:t>
            </w:r>
          </w:p>
        </w:tc>
      </w:tr>
      <w:tr>
        <w:tc>
          <w:tcPr>
            <w:tcW w:type="dxa" w:w="3302"/>
          </w:tcPr>
          <w:p>
            <w:r/>
            <w:r>
              <w:rPr>
                <w:sz w:val="18"/>
              </w:rPr>
              <w:t>Exclusion criteria</w:t>
            </w:r>
          </w:p>
        </w:tc>
        <w:tc>
          <w:tcPr>
            <w:tcW w:type="dxa" w:w="3302"/>
          </w:tcPr>
          <w:p>
            <w:r/>
            <w:r>
              <w:rPr>
                <w:sz w:val="18"/>
              </w:rPr>
              <w:t>None applied; no record was dropped for missingness (M6)</w:t>
            </w:r>
          </w:p>
        </w:tc>
        <w:tc>
          <w:tcPr>
            <w:tcW w:type="dxa" w:w="3302"/>
          </w:tcPr>
          <w:p>
            <w:r/>
            <w:r>
              <w:rPr>
                <w:sz w:val="18"/>
              </w:rPr>
              <w:t>Missingness is imputed, not excluded, so imputation error enters the estimates</w:t>
            </w:r>
          </w:p>
        </w:tc>
      </w:tr>
      <w:tr>
        <w:tc>
          <w:tcPr>
            <w:tcW w:type="dxa" w:w="3302"/>
          </w:tcPr>
          <w:p>
            <w:r/>
            <w:r>
              <w:rPr>
                <w:sz w:val="18"/>
              </w:rPr>
              <w:t>N of sites</w:t>
            </w:r>
          </w:p>
        </w:tc>
        <w:tc>
          <w:tcPr>
            <w:tcW w:type="dxa" w:w="3302"/>
          </w:tcPr>
          <w:p>
            <w:r>
              <w:t>4 — Al Huda Islamic and JHS, Tawjeed Islamic and JHS, Ayaarno M/A Primary and JHS, Buokrom Block A M/A Primary and JHS</w:t>
            </w:r>
          </w:p>
        </w:tc>
        <w:tc>
          <w:tcPr>
            <w:tcW w:type="dxa" w:w="3302"/>
          </w:tcPr>
          <w:p>
            <w:r>
              <w:t>Recovered post hoc (M3), not captured at collection. Sites are uneven (20 to 80 students) and site base rates span 0.0351 to 0.0826, so pooled figures are dominated by the largest site; 2 of 4 sites carry no test-period dropout event, so leave-one-site-out is computable for 2 sites only (M18, R8).</w:t>
            </w:r>
          </w:p>
        </w:tc>
      </w:tr>
      <w:tr>
        <w:tc>
          <w:tcPr>
            <w:tcW w:type="dxa" w:w="3302"/>
          </w:tcPr>
          <w:p>
            <w:r/>
            <w:r>
              <w:rPr>
                <w:sz w:val="18"/>
              </w:rPr>
              <w:t>N of unique students</w:t>
            </w:r>
          </w:p>
        </w:tc>
        <w:tc>
          <w:tcPr>
            <w:tcW w:type="dxa" w:w="3302"/>
          </w:tcPr>
          <w:p>
            <w:r/>
            <w:r>
              <w:rPr>
                <w:sz w:val="18"/>
              </w:rPr>
              <w:t>180</w:t>
            </w:r>
          </w:p>
        </w:tc>
        <w:tc>
          <w:tcPr>
            <w:tcW w:type="dxa" w:w="3302"/>
          </w:tcPr>
          <w:p>
            <w:r/>
            <w:r>
              <w:rPr>
                <w:sz w:val="18"/>
              </w:rPr>
              <w:t>Small N; a single cohort (see next row)</w:t>
            </w:r>
          </w:p>
        </w:tc>
      </w:tr>
      <w:tr>
        <w:tc>
          <w:tcPr>
            <w:tcW w:type="dxa" w:w="3302"/>
          </w:tcPr>
          <w:p>
            <w:r/>
            <w:r>
              <w:rPr>
                <w:sz w:val="18"/>
              </w:rPr>
              <w:t>N of student-year records</w:t>
            </w:r>
          </w:p>
        </w:tc>
        <w:tc>
          <w:tcPr>
            <w:tcW w:type="dxa" w:w="3302"/>
          </w:tcPr>
          <w:p>
            <w:r/>
            <w:r>
              <w:rPr>
                <w:sz w:val="18"/>
              </w:rPr>
              <w:t>428 (2024: 180; 2025: 97; 2026: 151)</w:t>
            </w:r>
          </w:p>
        </w:tc>
        <w:tc>
          <w:tcPr>
            <w:tcW w:type="dxa" w:w="3302"/>
          </w:tcPr>
          <w:p>
            <w:r/>
            <w:r>
              <w:rPr>
                <w:sz w:val="18"/>
              </w:rPr>
              <w:t>Records are not independent — up to three per student</w:t>
            </w:r>
          </w:p>
        </w:tc>
      </w:tr>
      <w:tr>
        <w:tc>
          <w:tcPr>
            <w:tcW w:type="dxa" w:w="3302"/>
          </w:tcPr>
          <w:p>
            <w:r/>
            <w:r>
              <w:rPr>
                <w:sz w:val="18"/>
              </w:rPr>
              <w:t>Cohort structure</w:t>
            </w:r>
          </w:p>
        </w:tc>
        <w:tc>
          <w:tcPr>
            <w:tcW w:type="dxa" w:w="3302"/>
          </w:tcPr>
          <w:p>
            <w:r/>
            <w:r>
              <w:rPr>
                <w:sz w:val="18"/>
              </w:rPr>
              <w:t>grade_level is perfectly confounded with academic_year (2024 = all Grade 7; 2025 = all Grade 8; 2026 = all Grade 9)</w:t>
            </w:r>
          </w:p>
        </w:tc>
        <w:tc>
          <w:tcPr>
            <w:tcW w:type="dxa" w:w="3302"/>
          </w:tcPr>
          <w:p>
            <w:r/>
            <w:r>
              <w:rPr>
                <w:sz w:val="18"/>
              </w:rPr>
              <w:t>The temporal hold-out is simultaneously a grade hold-out: grade_level has zero variance in training and is wholly out-of-distribution at test</w:t>
            </w:r>
          </w:p>
        </w:tc>
      </w:tr>
      <w:tr>
        <w:tc>
          <w:tcPr>
            <w:tcW w:type="dxa" w:w="3302"/>
          </w:tcPr>
          <w:p>
            <w:r/>
            <w:r>
              <w:rPr>
                <w:sz w:val="18"/>
              </w:rPr>
              <w:t>N of dropout events</w:t>
            </w:r>
          </w:p>
        </w:tc>
        <w:tc>
          <w:tcPr>
            <w:tcW w:type="dxa" w:w="3302"/>
          </w:tcPr>
          <w:p>
            <w:r/>
            <w:r>
              <w:rPr>
                <w:sz w:val="18"/>
              </w:rPr>
              <w:t>25 (2024: 18; 2025: 4; 2026: 3)</w:t>
            </w:r>
          </w:p>
        </w:tc>
        <w:tc>
          <w:tcPr>
            <w:tcW w:type="dxa" w:w="3302"/>
          </w:tcPr>
          <w:p>
            <w:r/>
            <w:r>
              <w:rPr>
                <w:sz w:val="18"/>
              </w:rPr>
              <w:t>Very few positives; test-set estimates rest on 7 events</w:t>
            </w:r>
          </w:p>
        </w:tc>
      </w:tr>
      <w:tr>
        <w:tc>
          <w:tcPr>
            <w:tcW w:type="dxa" w:w="3302"/>
          </w:tcPr>
          <w:p>
            <w:r/>
            <w:r>
              <w:rPr>
                <w:sz w:val="18"/>
              </w:rPr>
              <w:t>Train + validation partition</w:t>
            </w:r>
          </w:p>
        </w:tc>
        <w:tc>
          <w:tcPr>
            <w:tcW w:type="dxa" w:w="3302"/>
          </w:tcPr>
          <w:p>
            <w:r/>
            <w:r>
              <w:rPr>
                <w:sz w:val="18"/>
              </w:rPr>
              <w:t>530 records (180 real 2024 + 350 synthetic); 62 dropout (11.7%)</w:t>
            </w:r>
          </w:p>
        </w:tc>
        <w:tc>
          <w:tcPr>
            <w:tcW w:type="dxa" w:w="3302"/>
          </w:tcPr>
          <w:p>
            <w:r/>
            <w:r>
              <w:rPr>
                <w:sz w:val="18"/>
              </w:rPr>
              <w:t>Synthetic majority in the training pool; augmentation-only role (M10)</w:t>
            </w:r>
          </w:p>
        </w:tc>
      </w:tr>
      <w:tr>
        <w:tc>
          <w:tcPr>
            <w:tcW w:type="dxa" w:w="3302"/>
          </w:tcPr>
          <w:p>
            <w:r/>
            <w:r>
              <w:rPr>
                <w:sz w:val="18"/>
              </w:rPr>
              <w:t>Held-out test partition</w:t>
            </w:r>
          </w:p>
        </w:tc>
        <w:tc>
          <w:tcPr>
            <w:tcW w:type="dxa" w:w="3302"/>
          </w:tcPr>
          <w:p>
            <w:r/>
            <w:r>
              <w:rPr>
                <w:sz w:val="18"/>
              </w:rPr>
              <w:t>248 records, all real; 7 dropout (2.82%)</w:t>
            </w:r>
          </w:p>
        </w:tc>
        <w:tc>
          <w:tcPr>
            <w:tcW w:type="dxa" w:w="3302"/>
          </w:tcPr>
          <w:p>
            <w:r/>
            <w:r>
              <w:rPr>
                <w:sz w:val="18"/>
              </w:rPr>
              <w:t>Not student-disjoint from training — see M9 and R8</w:t>
            </w:r>
          </w:p>
        </w:tc>
      </w:tr>
      <w:tr>
        <w:tc>
          <w:tcPr>
            <w:tcW w:type="dxa" w:w="3302"/>
          </w:tcPr>
          <w:p>
            <w:r/>
            <w:r>
              <w:rPr>
                <w:sz w:val="18"/>
              </w:rPr>
              <w:t>Student-disjoint test subset</w:t>
            </w:r>
          </w:p>
        </w:tc>
        <w:tc>
          <w:tcPr>
            <w:tcW w:type="dxa" w:w="3302"/>
          </w:tcPr>
          <w:p>
            <w:r/>
            <w:r>
              <w:rPr>
                <w:sz w:val="18"/>
              </w:rPr>
              <w:t>0 records (not computable)</w:t>
            </w:r>
          </w:p>
        </w:tc>
        <w:tc>
          <w:tcPr>
            <w:tcW w:type="dxa" w:w="3302"/>
          </w:tcPr>
          <w:p>
            <w:r/>
            <w:r>
              <w:rPr>
                <w:sz w:val="18"/>
              </w:rPr>
              <w:t>Every test student appears in the 2024 training partition; new-student performance cannot be estimated from these data</w:t>
            </w:r>
          </w:p>
        </w:tc>
      </w:tr>
      <w:tr>
        <w:tc>
          <w:tcPr>
            <w:tcW w:type="dxa" w:w="3302"/>
          </w:tcPr>
          <w:p>
            <w:r>
              <w:t>Site composition</w:t>
            </w:r>
          </w:p>
        </w:tc>
        <w:tc>
          <w:tcPr>
            <w:tcW w:type="dxa" w:w="3302"/>
          </w:tcPr>
          <w:p>
            <w:r>
              <w:t>SCH01: 80 students, 225 records, 11 dropout (base 0.0489), test 145 records / 5 events; SCH02: 50 students, 109 records, 9 dropout (base 0.0826), test 59 records / 2 events; SCH03: 20 students, 37 records, 3 dropout (base 0.0811), test 17 records / 0 events; SCH04: 30 students, 57 records, 2 dropout (base 0.0351), test 27 records / 0 events</w:t>
            </w:r>
          </w:p>
        </w:tc>
        <w:tc>
          <w:tcPr>
            <w:tcW w:type="dxa" w:w="3302"/>
          </w:tcPr>
          <w:p>
            <w:r>
              <w:t>Site is confounded with gender (Cramer’s V = 0.4396; SCH03 is single-sex) and with fee_payment_status (two sites are 100% Unpaid), so an attribution on those variables carries a site component (Table 2b, R6). Site is not materially recoverable from the six features (0.6707 accuracy against a 0.5257 majority baseline), which is what keeps the leave-one-site-out folds meaningful.</w:t>
            </w:r>
          </w:p>
        </w:tc>
      </w:tr>
    </w:tbl>
    <w:p w14:paraId="66DADD4A" w14:textId="77777777" w:rsidR="005227A2" w:rsidRPr="004C1FB2" w:rsidRDefault="00000000" w:rsidP="004C1FB2">
      <w:pPr>
        <w:pStyle w:val="Heading2"/>
        <w:spacing w:before="260" w:after="100"/>
        <w:rPr>
          <w:b/>
          <w:bCs/>
          <w:color w:val="10243C"/>
          <w:sz w:val="25"/>
          <w:szCs w:val="25"/>
        </w:rPr>
      </w:pPr>
      <w:r>
        <w:rPr>
          <w:b/>
          <w:bCs/>
          <w:color w:val="10243C"/>
          <w:sz w:val="25"/>
          <w:szCs w:val="25"/>
        </w:rPr>
        <w:t>M4. Data Collection or Acquisition Procedure</w:t>
      </w:r>
    </w:p>
    <w:p w14:paraId="75684AE1" w14:textId="77777777" w:rsidR="005227A2" w:rsidRDefault="00000000">
      <w:r>
        <w:t>Field data. The instrument was the standard termly paper register maintained by class teachers; no new instrument was deployed. Records were eligible if they belonged to enrolled JHS students at the participating schools during academic years 2024–2026. Extraction transcribed the six register fields per student-year into a structured file; a data-provenance diagnostic and a hard load-time guard (REQUIRE_REAL_DATA) verify that the analysed file is the genuine institutional dataset rather than a placeholder. Two source-level irregularities were handled explicitly: the examination-score field had been recorded on two scales (0–100 for some records and 0–1 fractional for others), and all fractional values were rescaled to the common 0–100 scale (M6); and missing register entries (10 attendance and 22 examination values) were retained and imputed rather than dropped (M6). No public dataset was acquired.</w:t>
      </w:r>
    </w:p>
    <w:p w14:paraId="3D0D8244" w14:textId="77777777" w:rsidR="005227A2" w:rsidRDefault="00000000">
      <w:r>
        <w:t>Synthetic data. The synthetic supplement was generated by the CTGAN conditional-GAN synthesiser (SDV; Xu et al., 2019) trained for 600 epochs (batch size 50) on the real training-period records only, under a fixed random seed set before synthesiser construction, fitting and sampling, so that the supplement regenerates identically on every run and is committed as a versioned artefact (M21). The academic-year label was drawn exclusively from the pre-split training period (2024), so that no synthetic record can enter the held-out test partition and the temporal hold-out remains real by construction. A total of 350 synthetic records were generated, of which 44 carry a dropout label. Synthetic fidelity was audited under a four-level protocol. Continuous-feature statistics were close (attendance_rate 0.838 ± 0.214 real vs 0.812 ± 0.266 synthetic; exam_score 52.80 ± 17.47 vs 53.28 ± 30.06; distance_km 3.431 ± 0.660 vs 3.513 ± 0.596), although the synthetic examination-score dispersion is markedly wider than the real one and is disclosed as a fidelity limitation. A Train-on-Synthetic/Test-on-Real versus Train-on-Real/Test-on-Real comparison passed with an AUC-PR gap of |Δ| = 0.0541 (0.0774 vs 0.1314). The Nearest-Neighbour Adversarial Accuracy of the supplement was 0.664, above the 0.60 indistinguishability ceiling adopted here, and 2 of 350 synthetic rows fell within 1×10⁻³ of a real record; both are disclosed as privacy-audit limitations rather than omitted, and the same ceiling is applied to the within-training SMOTE resampling in M8.</w:t>
      </w:r>
    </w:p>
    <w:p w14:paraId="4A4B2D2A" w14:textId="77777777" w:rsidR="005227A2" w:rsidRPr="004C1FB2" w:rsidRDefault="00000000" w:rsidP="004C1FB2">
      <w:pPr>
        <w:pStyle w:val="Heading2"/>
        <w:spacing w:before="260" w:after="100"/>
        <w:rPr>
          <w:b/>
          <w:bCs/>
          <w:color w:val="10243C"/>
          <w:sz w:val="25"/>
          <w:szCs w:val="25"/>
        </w:rPr>
      </w:pPr>
      <w:r>
        <w:rPr>
          <w:b/>
          <w:bCs/>
          <w:color w:val="10243C"/>
          <w:sz w:val="25"/>
          <w:szCs w:val="25"/>
        </w:rPr>
        <w:t>M5. Ethical Clearance, Consent and Data Governance</w:t>
      </w:r>
    </w:p>
    <w:p w14:paraId="41108285" w14:textId="77777777" w:rsidR="005227A2" w:rsidRDefault="00000000">
      <w:r>
        <w:t>Data collection and use were approved by the Humanities and Social Science Research Ethics Committee (HuSSREC), KNUST, under reference HuSSREC/AP/549/VOL. 5 (approved; approval period 6 July 2026 to 6 July 2027). The records analysed are administrative school-register entries collected by class teachers as part of standard institutional procedure and released to the study under the committee’s approval. All student identifiers were replaced with alphanumeric institutional codes prior to model ingestion (de-identification by pseudonymous substitution), and no raw student records leave the project’s institutional storage. Data processing complies with the Ghana Data Protection Act, 2012 (Act 843). Access is restricted to the project team, records are retained on institutional storage for the duration of the research programme, and no message content generated by the SHAPtoSMS protocol is logged beyond the evaluation environment used to compute the Rank-Preservation Score (M16, M17).</w:t>
      </w:r>
    </w:p>
    <w:p w14:paraId="316BEF20" w14:textId="77777777" w:rsidR="005227A2" w:rsidRPr="004C1FB2" w:rsidRDefault="00000000" w:rsidP="004C1FB2">
      <w:pPr>
        <w:pStyle w:val="Heading2"/>
        <w:spacing w:before="260" w:after="100"/>
        <w:rPr>
          <w:b/>
          <w:bCs/>
          <w:color w:val="10243C"/>
          <w:sz w:val="25"/>
          <w:szCs w:val="25"/>
        </w:rPr>
      </w:pPr>
      <w:r>
        <w:rPr>
          <w:b/>
          <w:bCs/>
          <w:color w:val="10243C"/>
          <w:sz w:val="25"/>
          <w:szCs w:val="25"/>
        </w:rPr>
        <w:t>M6. Data Preprocessing and Cleaning</w:t>
      </w:r>
    </w:p>
    <w:p w14:paraId="14C16B0E" w14:textId="77777777" w:rsidR="005227A2" w:rsidRDefault="00000000">
      <w:r>
        <w:t xml:space="preserve">Missing data were treated as missing at random and imputed rather than discarded: 10 missing attendance and 22 missing examination values on the continuous features were imputed with training-set medians via a scikit-learn SimpleImputer, and categorical features were imputed with training-set modes. No formal outlier-removal rule was applied; the only value-level correction was the unification of the examination scale, in which values recorded on the 0–1 fractional scale were rescaled to the common 0–100 scale, so that a single consistent measurement scale is </w:t>
        <w:lastRenderedPageBreak/>
        <w:t>used throughout. Duplicate handling was structural: each student-year observation was assigned a unique record identifier (student code plus academic year), leaving every row individually addressable for the SMS-alert stage while the underlying student remains recoverable; no exact-duplicate rows were present. Continuous features were scaled to [0, 1] with a MinMaxScaler, and categorical variables were encoded as described in M7. Every fitted transformation — the imputers, the label encoders, and the scaler — was fitted on the training partition only and applied unchanged to the validation and test partitions, preventing leakage of test-set statistics into training.</w:t>
      </w:r>
    </w:p>
    <w:p w14:paraId="5B34B60D" w14:textId="77777777" w:rsidR="005227A2" w:rsidRPr="004C1FB2" w:rsidRDefault="00000000" w:rsidP="004C1FB2">
      <w:pPr>
        <w:pStyle w:val="Heading2"/>
        <w:spacing w:before="260" w:after="100"/>
        <w:rPr>
          <w:b/>
          <w:bCs/>
          <w:color w:val="10243C"/>
          <w:sz w:val="25"/>
          <w:szCs w:val="25"/>
        </w:rPr>
      </w:pPr>
      <w:r>
        <w:rPr>
          <w:b/>
          <w:bCs/>
          <w:color w:val="10243C"/>
          <w:sz w:val="25"/>
          <w:szCs w:val="25"/>
        </w:rPr>
        <w:t>M7. Feature Engineering and Representation</w:t>
      </w:r>
    </w:p>
    <w:p w14:paraId="1038F2E2" w14:textId="77777777" w:rsidR="005227A2" w:rsidRDefault="00000000">
      <w:r>
        <w:t>The final feature set comprises six raw register variables used directly: three continuous (attendance_rate, exam_score, distance_km) and three categorical (fee_payment_status, grade_level, gender). Year-on-year derived features were engineered and tested rather than assumed away — change in attendance_rate, change in exam_score, a prior-year risk flag and a terms-observed count were computed from the existing student-year panel — but they are not retained in the reported feature set, for a structural reason that is stated here rather than left implicit. Under the temporal cut declared in M9 the entire train+validation pool falls in academic year 2024, which is every student’s first panel observation, so all four derived features are identically zero in training (nunique = 1, SD = 0.000000 for each) while carrying substantial variance at test (att_delta SD = 0.1692; exam_delta SD = 7.7874). A learner cannot extract signal from a constant, so under the declared split these features are not learnable, and any apparent change from adding them is an artefact of column-subsampling rather than a trajectory effect. A sensitivity analysis that moves the temporal cut to 2026 — the only configuration in these data under which prior-year history enters training — is reported in R8. Because no feature is computed from any post-outcome quantity, no feature uses information unavailable at prediction time, and target leakage is absent by construction. Two parallel representations were built downstream of imputation to match the two model families: (i) a fully one-hot-encoded, flattened matrix of eight columns for the tree-based models (XGBoost and the Decision Tree baseline), with test-set columns reindexed against the training columns to guarantee identical ordering; and (ii) for TabTransformer, integer-encoded categorical indices consumed as learned embeddings alongside the scaled continuous values. No feature-selection procedure was applied; SHAP is used strictly post-hoc for explainability (M17) and never as a feature-selection mechanism.</w:t>
      </w:r>
    </w:p>
    <w:p w14:paraId="73CA79A0" w14:textId="77777777" w:rsidR="005227A2" w:rsidRPr="004C1FB2" w:rsidRDefault="00000000" w:rsidP="004C1FB2">
      <w:pPr>
        <w:pStyle w:val="Heading2"/>
        <w:spacing w:before="260" w:after="100"/>
        <w:rPr>
          <w:b/>
          <w:bCs/>
          <w:color w:val="10243C"/>
          <w:sz w:val="25"/>
          <w:szCs w:val="25"/>
        </w:rPr>
      </w:pPr>
      <w:r>
        <w:rPr>
          <w:b/>
          <w:bCs/>
          <w:color w:val="10243C"/>
          <w:sz w:val="25"/>
          <w:szCs w:val="25"/>
        </w:rPr>
        <w:t>M8. Class Imbalance Handling</w:t>
      </w:r>
    </w:p>
    <w:p w14:paraId="39A8F1CD" w14:textId="77777777" w:rsidR="005227A2" w:rsidRDefault="00000000">
      <w:r>
        <w:t>The training pool exhibited a pre-SMOTE class distribution of 468 non-dropout to 62 dropout records (a 7.55:1 ratio; 11.7% positive). Imbalance was addressed by three complementary layers applied to the training partition only, and the actual effect of each layer — not merely its nominal presence — is reported in R5. Layer 1 (data): the Synthetic Minority Over-sampling Technique (SMOTE; Chawla et al., 2002) with sampling_strategy = 0.20, applied after the train/validation split so that no oversampled row can appear in the validation or test partitions. Against the observed ratio this is not a nominal setting: within the 450-record training partition (53 positive) it synthesises 26 minority rows per seed, and an isolation experiment (R5) shows removing the layer entirely lowers held-out AUC-PR from 0.1167 to 0.0779, so Layer 1 is load-bearing. Because the default k = 5 produced a sample separable from real rows by a nearest-neighbour adversary, the escalation ladder declared in the protocol (k = 3, k = 1, then a differentially-private DP-SMOTE variant) was re-run on the locked pool, and the k = 3 configuration was retained as the configured setting. The ladder does not resolve the privacy concern, and that is reported here rather than presented as a remediation: on the locked pool every rung breaches the 0.60 ceiling adopted in M4, with Nearest-Neighbour Adversarial Accuracy of 0.9181 (k = 5), 0.9118 (k = 3, retained), 0.8991 (k = 1) and 0.9706 (DP-SMOTE, k = 1) at seed 42, and 0.8996 ± 0.0084 for the retained configuration across the five seeds. Two qualifications are stated alongside those figures. First, the differences between rungs are small relative to the size of the breach, and on this pool k = 1 carries the marginally lowest value rather than k = 3, so the retained setting is the configured one and not the ladder’s minimum. Second, the audit set is heavily imbalanced — 450 real rows against 26 synthesised rows at seed 42 — so a trivial majority-class classifier scores 0.9454; the plain-SMOTE rungs therefore sit below that baseline and only the DP-SMOTE variant exceeds it, which indicates that the statistic is dominated by the composition of the audit set and is not informative at this synthesis volume. Both the breach against the declared ceiling and this limitation of the metric are carried into R10 alongside the CTGAN figure, rather than the supplement figure being reported alone. Layer 2 (algorithm): XGBoost’s scale_pos_weight anchored to the training-partition ratio (7.49 at seed 42), with class_weight = “balanced” for the Decision Tree and focal-loss weighting for TabTransformer (M12). Layer 3 (threshold): validation-set threshold optimisation (M13). Layers 2 and 3 are isolated against each other in R5, because applying both plausibly double-counts the imbalance correction. No synthetic or resampled instance appears in any validation or test partition, and this is asserted programmatically on every run.</w:t>
      </w:r>
    </w:p>
    <w:p w14:paraId="215116EC" w14:textId="77777777" w:rsidR="005227A2" w:rsidRPr="004C1FB2" w:rsidRDefault="00000000" w:rsidP="004C1FB2">
      <w:pPr>
        <w:pStyle w:val="Heading2"/>
        <w:spacing w:before="260" w:after="100"/>
        <w:rPr>
          <w:b/>
          <w:bCs/>
          <w:color w:val="10243C"/>
          <w:sz w:val="25"/>
          <w:szCs w:val="25"/>
        </w:rPr>
      </w:pPr>
      <w:r>
        <w:rPr>
          <w:b/>
          <w:bCs/>
          <w:color w:val="10243C"/>
          <w:sz w:val="25"/>
          <w:szCs w:val="25"/>
        </w:rPr>
        <w:t>M9. Data Partitioning Protocol</w:t>
      </w:r>
    </w:p>
    <w:p w14:paraId="3EE92038" w14:textId="77777777" w:rsidR="005227A2" w:rsidRDefault="00000000">
      <w:r>
        <w:t>A temporal hold-out was used rather than a random split, to reflect the deployment scenario of predicting future dropout from historical records. All records with academic_year &lt; 2025 formed the train+validation pool (530 records: 180 real + 350 synthetic; 62 dropout, 11.7%), and all records with academic_year ≥ 2025 formed the held-out test set (248 records, all real; 241 non-dropout and 7 dropout, a 2.82% positive rate). Within the training pool, a stratified 85/15 train/validation split (random_state = seed) was used for threshold optimisation and calibration, and a separate stratified 5-fold cross-validation was run as an internal stability diagnostic. The grouping variable is the student. Because the data are a student-year panel and the split is temporal, the held-out test set is not student-disjoint, and the extent of this is stated exactly rather than characterised: all 155 students observed in the test years (2025–2026) also appear in the 2024 training partition, so 0 of the 248 test records belong to a student unseen in training. The student-disjoint sensitivity re-score that would estimate new-student performance is therefore not computable on these data; this is reported as a data limitation in R8 rather than substituted with a proxy. The reported figures are next-year performance for students with prior-year register history in the studied schools, not performance on new intakes. A second, related property of the panel is that grade_level is perfectly confounded with academic_year (2024 = all Grade 7, 2025 = all Grade 8, 2026 = all Grade 9), so the temporal hold-out is simultaneously a grade hold-out and grade_level carries zero training variance (Table 1b). No future record precedes a training record, and the split is generated under the seeds listed in M14 (reference seed 42).</w:t>
      </w:r>
    </w:p>
    <w:p w14:paraId="1085DEEF" w14:textId="77777777" w:rsidR="005227A2" w:rsidRPr="004C1FB2" w:rsidRDefault="00000000" w:rsidP="004C1FB2">
      <w:pPr>
        <w:pStyle w:val="Heading2"/>
        <w:spacing w:before="260" w:after="100"/>
        <w:rPr>
          <w:b/>
          <w:bCs/>
          <w:color w:val="10243C"/>
          <w:sz w:val="25"/>
          <w:szCs w:val="25"/>
        </w:rPr>
      </w:pPr>
      <w:r>
        <w:rPr>
          <w:b/>
          <w:bCs/>
          <w:color w:val="10243C"/>
          <w:sz w:val="25"/>
          <w:szCs w:val="25"/>
        </w:rPr>
        <w:t>M10. Dataset Combining Strategy Declaration</w:t>
      </w:r>
    </w:p>
    <w:p w14:paraId="7AC64173" w14:textId="77777777" w:rsidR="005227A2" w:rsidRDefault="00000000">
      <w:r>
        <w:t>The declared strategy is TRAINING-ONLY AUGMENTATION. The synthetic supplement is merged into the training pool only; the held-out evaluation partition comprises 100% real institutional records, because synthetic academic-year labels are confined to the pre-2025 training period (M4, M9). This is explicitly not a POOLED / MERGED design and not a public-plus-field hybrid: both the real records and the synthetic supplement originate within this project. The strategy is realised in code by the temporal-split routine and by an explicit load-time provenance guard, assert_test_partition_is_real(), in EduTrace_Revised_Pipeline.py. The guard sits inside the load path, so it executes on every construction of the evaluation partition and cannot be bypassed by a caller; it raises rather than warns; and it writes its result to the run log on every run, as "NF-1 GUARD: test partition n=248 | synthetic rows=0 | real rows=248 | positives=7 (2.82%) — PASS" (results/nf1_guard_log.txt). Two properties of its construction matter. First, the evaluation partition is formed from the POOLED frame and not from the real frame alone, so that a contaminated partition would be visible to the guard; filtering synthetic rows out before testing for them would make the check unfalsifiable. Second, because an assertion that never fires on clean data demonstrates nothing, selftest_nf1.py runs a negative control that injects one synthetic record into the test period and confirms that the guard raises. The earlier draft's statement that the "real-only subset" re-scoring had become redundant and could be retired is withdrawn: that re-scoring is restored and is reported in R1, and it is computed rather than asserted. Under the bounded synthesiser the full evaluation partition and its real-only subset are the same 248 records and return identical figures, and that identity, computed, is the evidence the guarantee rests on. Under this strategy the study's claim ceiling is Tier 1 (a bounded claim within the studied context); all downstream language is constrained accordingly (M18).</w:t>
      </w:r>
    </w:p>
    <w:p w14:paraId="22C9D5AF" w14:textId="77777777" w:rsidR="005227A2" w:rsidRPr="004C1FB2" w:rsidRDefault="00000000" w:rsidP="004C1FB2">
      <w:pPr>
        <w:pStyle w:val="Heading2"/>
        <w:spacing w:before="260" w:after="100"/>
        <w:rPr>
          <w:b/>
          <w:bCs/>
          <w:color w:val="10243C"/>
          <w:sz w:val="25"/>
          <w:szCs w:val="25"/>
        </w:rPr>
      </w:pPr>
      <w:r>
        <w:rPr>
          <w:b/>
          <w:bCs/>
          <w:color w:val="10243C"/>
          <w:sz w:val="25"/>
          <w:szCs w:val="25"/>
        </w:rPr>
        <w:t>M11. Baseline Selection and Justification</w:t>
      </w:r>
    </w:p>
    <w:p w14:paraId="34176C9F" w14:textId="77777777" w:rsidR="005227A2" w:rsidRDefault="00000000">
      <w:r>
        <w:t>Four comparators were trained on the same SMOTE-augmented training partition and evaluated on the same held-out test set. (1) A Decision Tree (CART; Breiman et al., 1984; max_depth = 5, class_weight = “balanced”) provides a classical interpretable tree comparator. (2) A default, non-engineered XGBoost classifier (Chen &amp; Guestrin, 2016; library defaults, standard logistic objective) is the study’s principal ablation control, differing from the proposed model only in the imbalance-handling layers (M12, M16). (3) The status-quo attendance baseline, which represents current teacher practice, is reported as TWO distinct comparators because it requires two different score vectors and an earlier draft reported both under a single label. Row A, the Attendance rule (binary), is the deployed practice: it flags any student with attendance_rate &lt; 0.70 and yields exactly one operating point, so precision, recall, F2 and macro-F1 are computed from that binary decision, and its AUC-ROC and AUC-PR are reported as single-point values computed from that operating point rather than as threshold-free areas. Row B, the Attendance ranker (continuous), is a univariate ranking baseline, not deployed practice: it scores each record by 1 − scaled(attendance_rate) and is the only form under which threshold-free AUC-ROC and AUC-PR are defined for a single register variable. Both rows are reported in Table 3, and the distinction matters because the ranker, not the rule, is what earlier produced the study’s highest AUC-ROC. (4) TabTransformer (Huang et al., 2020) is a self-attention comparator for mixed tabular data and the proposal’s original model choice. Because these established architectures rather than a same-year model constitute the fair comparators for small-sample institutional tabular data, no baseline from the last three years is included; this absence is justified by the deliberate use of the default XGBoost as the matched ablation control and by TabTransformer as the attention-based state-of-the-art comparator. Data access was identical for all comparators. The threshold-tuning budget was identical for the three probabilistic learners that have a tunable threshold — the proposed XGBoost, the default XGBoost and TabTransformer (M13); the Decision Tree was scored at the fixed default threshold and the attendance rule has a fixed cut by construction, so the earlier claim that all five comparators received an identical tuning budget was overstated and is corrected here.</w:t>
      </w:r>
    </w:p>
    <w:p w14:paraId="01AEE5A2" w14:textId="77777777" w:rsidR="005227A2" w:rsidRPr="004C1FB2" w:rsidRDefault="00000000" w:rsidP="004C1FB2">
      <w:pPr>
        <w:pStyle w:val="Heading2"/>
        <w:spacing w:before="260" w:after="100"/>
        <w:rPr>
          <w:b/>
          <w:bCs/>
          <w:color w:val="10243C"/>
          <w:sz w:val="25"/>
          <w:szCs w:val="25"/>
        </w:rPr>
      </w:pPr>
      <w:r>
        <w:rPr>
          <w:b/>
          <w:bCs/>
          <w:color w:val="10243C"/>
          <w:sz w:val="25"/>
          <w:szCs w:val="25"/>
        </w:rPr>
        <w:t>M12. Proposed Model Specification and Engineering Operation</w:t>
      </w:r>
    </w:p>
    <w:p w14:paraId="2DAC3179" w14:textId="77777777" w:rsidR="005227A2" w:rsidRDefault="00000000">
      <w:r>
        <w:t>Model status. The predictive learner is NON-ENGINEERED: XGBoost is applied as published (Chen &amp; Guestrin, 2016), and the three-layer imbalance pipeline around it is presented as an integration and ordering contribution for low-resource deployment, not as a new algorithmic mechanism or a demonstrated predictive improvement over the untuned baseline (M16). The study’s engineered contribution is ENGINEERED, operation Fabricate (F): SHAPtoSMS, a new post-hoc component at the explanation-to-delivery stage, for which no direct predecessor was identified in the early-warning-system literature. Its ablation is specified in M16.</w:t>
      </w:r>
    </w:p>
    <w:p w14:paraId="41F2BC96" w14:textId="77777777" w:rsidR="005227A2" w:rsidRDefault="00000000">
      <w:r>
        <w:t>Proposed learner architecture. The proposed XGBoost classifier was configured as XGBClassifier(n_estimators = 200, max_depth = 4, learning_rate = 0.05, scale_pos_weight ≈ 7.5, subsample = 0.8, colsample_bytree = 0.8, eval_metric = “aucpr”), with the gradient-boosted logistic objective and its complexity penalty. Starting from the standard objective, L = Σᵢ l(yᵢ, ŷᵢ) + Σₖ Ω(fₖ) (Equation 1), where l is the binary logistic loss, fₖ the k-th tree, and Ω a complexity penalty, the Layer-2 correction replaces the unweighted loss with a positive-class-reweighted loss: L_w = Σᵢ wᵢ · l(yᵢ, ŷᵢ) + Σₖ Ω(fₖ), with wᵢ = w if yᵢ = 1 else 1 (Equation 2), and w anchored to the training-partition ratio (7.49 at seed 42; M8). The proposed model is held identical to the default baseline except for the imbalance-handling layers, so the ablation in M16 isolates those layers.</w:t>
      </w:r>
    </w:p>
    <w:p w14:paraId="183997DE" w14:textId="77777777" w:rsidR="005227A2" w:rsidRDefault="00000000">
      <w:r>
        <w:t>Engineered component (SHAPtoSMS). SHAPtoSMS is a deterministic algorithm that compresses a SHAP attribution vector φ = {φ₁, …, φ_n} for a student into a natural-language SMS alert of at most C = 160 characters — the GSM single-segment limit — deliverable over 2G networks without a smartphone, app, or broadband connection. It uses greedy packing: features are appended in strict descending order of |φᵢ| until the next feature would exceed the character budget. The formal specification is Algorithm 1.</w:t>
      </w:r>
    </w:p>
    <w:p w14:paraId="7483DD29" w14:textId="77777777" w:rsidR="005227A2" w:rsidRDefault="00000000">
      <w:r>
        <w:rPr>
          <w:rFonts w:ascii="Consolas" w:hAnsi="Consolas"/>
          <w:sz w:val="17"/>
        </w:rPr>
        <w:t>Algorithm 1. The SHAPtoSMS compression protocol.</w:t>
      </w:r>
    </w:p>
    <w:p w14:paraId="01C872F9" w14:textId="77777777" w:rsidR="005227A2" w:rsidRDefault="00000000">
      <w:r>
        <w:rPr>
          <w:rFonts w:ascii="Consolas" w:hAnsi="Consolas"/>
          <w:sz w:val="17"/>
        </w:rPr>
        <w:t>INPUT:  SHAP attribution vector phi = [phi_1, ..., phi_n] for student s;</w:t>
      </w:r>
    </w:p>
    <w:p w14:paraId="01EF5E5A" w14:textId="77777777" w:rsidR="005227A2" w:rsidRDefault="00000000">
      <w:r>
        <w:rPr>
          <w:rFonts w:ascii="Consolas" w:hAnsi="Consolas"/>
          <w:sz w:val="17"/>
        </w:rPr>
        <w:t xml:space="preserve">        raw feature values; lexicon L; character limit C = 160</w:t>
      </w:r>
    </w:p>
    <w:p w14:paraId="57035666" w14:textId="77777777" w:rsidR="005227A2" w:rsidRDefault="00000000">
      <w:r>
        <w:rPr>
          <w:rFonts w:ascii="Consolas" w:hAnsi="Consolas"/>
          <w:sz w:val="17"/>
        </w:rPr>
        <w:t>OUTPUT: natural-language SMS alert msg, with len(msg) &lt;= C</w:t>
      </w:r>
    </w:p>
    <w:p w14:paraId="36165E44" w14:textId="77777777" w:rsidR="005227A2" w:rsidRDefault="00000000">
      <w:r>
        <w:rPr>
          <w:rFonts w:ascii="Consolas" w:hAnsi="Consolas"/>
          <w:sz w:val="17"/>
        </w:rPr>
        <w:t>1:  Candidate set &lt;- features with phi_i &gt; 0; if empty, use all features</w:t>
      </w:r>
    </w:p>
    <w:p w14:paraId="132B3963" w14:textId="77777777" w:rsidR="005227A2" w:rsidRDefault="00000000">
      <w:r>
        <w:rPr>
          <w:rFonts w:ascii="Consolas" w:hAnsi="Consolas"/>
          <w:sz w:val="17"/>
        </w:rPr>
        <w:t>2:  Rank candidates by |phi_i| descending -&gt; F = [f_1, ..., f_k]</w:t>
      </w:r>
    </w:p>
    <w:p w14:paraId="7C4546E7" w14:textId="77777777" w:rsidR="005227A2" w:rsidRDefault="00000000">
      <w:r>
        <w:rPr>
          <w:rFonts w:ascii="Consolas" w:hAnsi="Consolas"/>
          <w:sz w:val="17"/>
        </w:rPr>
        <w:t>3:  header &lt;- 'ALERT:{student_id} risk. Factors:'</w:t>
      </w:r>
    </w:p>
    <w:p w14:paraId="08BE181D" w14:textId="77777777" w:rsidR="005227A2" w:rsidRDefault="00000000">
      <w:r>
        <w:rPr>
          <w:rFonts w:ascii="Consolas" w:hAnsi="Consolas"/>
          <w:sz w:val="17"/>
        </w:rPr>
        <w:t>4:  msg &lt;- header; included &lt;- []</w:t>
      </w:r>
    </w:p>
    <w:p w14:paraId="7FAFBE50" w14:textId="77777777" w:rsidR="005227A2" w:rsidRDefault="00000000">
      <w:r>
        <w:rPr>
          <w:rFonts w:ascii="Consolas" w:hAnsi="Consolas"/>
          <w:sz w:val="17"/>
        </w:rPr>
        <w:t>5:  for each f_i in F (rank order):</w:t>
      </w:r>
    </w:p>
    <w:p w14:paraId="14250298" w14:textId="77777777" w:rsidR="005227A2" w:rsidRDefault="00000000">
      <w:r>
        <w:rPr>
          <w:rFonts w:ascii="Consolas" w:hAnsi="Consolas"/>
          <w:sz w:val="17"/>
        </w:rPr>
        <w:t>6:      if f_i categorical: label &lt;- L[f_i][raw_value]</w:t>
      </w:r>
    </w:p>
    <w:p w14:paraId="6AE13AB0" w14:textId="77777777" w:rsidR="005227A2" w:rsidRDefault="00000000">
      <w:r>
        <w:rPr>
          <w:rFonts w:ascii="Consolas" w:hAnsi="Consolas"/>
          <w:sz w:val="17"/>
        </w:rPr>
        <w:t>7:      else: severity by |phi_i| band; label &lt;- L[f_i][severity]</w:t>
      </w:r>
    </w:p>
    <w:p w14:paraId="5D9557FD" w14:textId="77777777" w:rsidR="005227A2" w:rsidRDefault="00000000">
      <w:r>
        <w:rPr>
          <w:rFonts w:ascii="Consolas" w:hAnsi="Consolas"/>
          <w:sz w:val="17"/>
        </w:rPr>
        <w:t>8:      fragment &lt;- ' ' + label + ','</w:t>
      </w:r>
    </w:p>
    <w:p w14:paraId="455D6E09" w14:textId="77777777" w:rsidR="005227A2" w:rsidRDefault="00000000">
      <w:r>
        <w:rPr>
          <w:rFonts w:ascii="Consolas" w:hAnsi="Consolas"/>
          <w:sz w:val="17"/>
        </w:rPr>
        <w:t>9:      if len(msg)+len(fragment)+len(footer)+1 &lt;= C: msg += fragment; included.append(f_i)</w:t>
      </w:r>
    </w:p>
    <w:p w14:paraId="2C53230A" w14:textId="77777777" w:rsidR="005227A2" w:rsidRDefault="00000000">
      <w:r>
        <w:rPr>
          <w:rFonts w:ascii="Consolas" w:hAnsi="Consolas"/>
          <w:sz w:val="17"/>
        </w:rPr>
        <w:t>10:     else: break</w:t>
      </w:r>
    </w:p>
    <w:p w14:paraId="0C741353" w14:textId="77777777" w:rsidR="005227A2" w:rsidRDefault="00000000">
      <w:r>
        <w:rPr>
          <w:rFonts w:ascii="Consolas" w:hAnsi="Consolas"/>
          <w:sz w:val="17"/>
        </w:rPr>
        <w:t>11: msg &lt;- strip_trailing_comma(msg) + '. Contact guardian.EduTrace.'</w:t>
      </w:r>
    </w:p>
    <w:p w14:paraId="5C15FEB7" w14:textId="77777777" w:rsidR="005227A2" w:rsidRDefault="00000000">
      <w:r>
        <w:rPr>
          <w:rFonts w:ascii="Consolas" w:hAnsi="Consolas"/>
          <w:sz w:val="17"/>
        </w:rPr>
        <w:t>12: return msg, included</w:t>
      </w:r>
    </w:p>
    <w:p w14:paraId="52D988B9" w14:textId="77777777" w:rsidR="005227A2" w:rsidRPr="004C1FB2" w:rsidRDefault="00000000" w:rsidP="004C1FB2">
      <w:pPr>
        <w:pStyle w:val="Heading2"/>
        <w:spacing w:before="260" w:after="100"/>
        <w:rPr>
          <w:b/>
          <w:bCs/>
          <w:color w:val="10243C"/>
          <w:sz w:val="25"/>
          <w:szCs w:val="25"/>
        </w:rPr>
      </w:pPr>
      <w:r>
        <w:rPr>
          <w:b/>
          <w:bCs/>
          <w:color w:val="10243C"/>
          <w:sz w:val="25"/>
          <w:szCs w:val="25"/>
        </w:rPr>
        <w:t>M13. Hyperparameter Optimisation and Tuning Budget Parity</w:t>
      </w:r>
    </w:p>
    <w:p w14:paraId="7E5EFDAA" w14:textId="77777777" w:rsidR="005227A2" w:rsidRDefault="00000000">
      <w:r>
        <w:t>The proposed and comparator learners used fixed, literature-informed hyperparameter settings set a priori rather than a per-trial search over the model space; the default XGBoost baseline used library defaults. Consequently the only tuned element is the decision threshold, which was optimised by an identical constrained grid search: thresholds were swept from 0.05 to 0.95 in steps of 0.01 to maximise the validation-set F2-score, subject to a guard requiring precision ≥ 0.10 and specificity ≥ 0.50 to exclude degenerate operating points. The selection criterion (maximum F2) was evaluated on the validation partition only, never on the test set. Parity holds across the three comparators for which a tunable threshold exists — the proposed XGBoost, the default XGBoost and TabTransformer — and no learner among them received a larger tuning budget than another. It does not extend to the Decision Tree, which is scored at the fixed default threshold, or to the Attendance rule, whose 0.70 cut is fixed by construction; this asymmetry is stated rather than absorbed into a blanket parity claim (M11). Table 2 states the search space and the fixed settings. The threshold grid holds 91 points (0.05 to 0.95 in steps of 0.01), and the tuning budget actually spent by each of the five comparators — threshold trials and hyperparameter trials alike — is tabulated per arm in results/c4_tuning_parity.csv, so the parity claim is auditable as counts and not only as prose.</w:t>
      </w:r>
    </w:p>
    <w:p w14:paraId="1D366882" w14:textId="77777777" w:rsidR="005227A2" w:rsidRDefault="00000000">
      <w:r>
        <w:rPr>
          <w:i/>
          <w:sz w:val="18"/>
        </w:rPr>
        <w:t>Table 2. Hyperparameter search space and fixed settings, with the shared threshold-tuning budget.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00"/>
        <w:gridCol w:w="2304"/>
        <w:gridCol w:w="3024"/>
        <w:gridCol w:w="2232"/>
      </w:tblGrid>
      <w:tr w:rsidR="005227A2" w14:paraId="06C94911" w14:textId="77777777" w:rsidTr="004C1FB2">
        <w:tc>
          <w:tcPr>
            <w:tcW w:w="1800" w:type="dxa"/>
            <w:shd w:val="clear" w:color="auto" w:fill="002060"/>
          </w:tcPr>
          <w:p w14:paraId="4B53FF8B" w14:textId="77777777" w:rsidR="005227A2" w:rsidRDefault="00000000">
            <w:r>
              <w:rPr>
                <w:b/>
                <w:sz w:val="18"/>
              </w:rPr>
              <w:t>Component</w:t>
            </w:r>
          </w:p>
        </w:tc>
        <w:tc>
          <w:tcPr>
            <w:tcW w:w="2304" w:type="dxa"/>
            <w:shd w:val="clear" w:color="auto" w:fill="002060"/>
          </w:tcPr>
          <w:p w14:paraId="707F59CD" w14:textId="77777777" w:rsidR="005227A2" w:rsidRDefault="00000000">
            <w:r>
              <w:rPr>
                <w:b/>
                <w:sz w:val="18"/>
              </w:rPr>
              <w:t>Parameter(s)</w:t>
            </w:r>
          </w:p>
        </w:tc>
        <w:tc>
          <w:tcPr>
            <w:tcW w:w="3024" w:type="dxa"/>
            <w:shd w:val="clear" w:color="auto" w:fill="002060"/>
          </w:tcPr>
          <w:p w14:paraId="60A4F34C" w14:textId="77777777" w:rsidR="005227A2" w:rsidRDefault="00000000">
            <w:r>
              <w:rPr>
                <w:b/>
                <w:sz w:val="18"/>
              </w:rPr>
              <w:t>Search space / setting</w:t>
            </w:r>
          </w:p>
        </w:tc>
        <w:tc>
          <w:tcPr>
            <w:tcW w:w="2232" w:type="dxa"/>
            <w:shd w:val="clear" w:color="auto" w:fill="002060"/>
          </w:tcPr>
          <w:p w14:paraId="3316A51E" w14:textId="77777777" w:rsidR="005227A2" w:rsidRDefault="00000000">
            <w:r>
              <w:rPr>
                <w:b/>
                <w:sz w:val="18"/>
              </w:rPr>
              <w:t>Selection</w:t>
            </w:r>
          </w:p>
        </w:tc>
      </w:tr>
      <w:tr w:rsidR="005227A2" w14:paraId="07B9AAD3" w14:textId="77777777">
        <w:tc>
          <w:tcPr>
            <w:tcW w:w="1800" w:type="dxa"/>
          </w:tcPr>
          <w:p>
            <w:r/>
            <w:r>
              <w:rPr>
                <w:sz w:val="18"/>
              </w:rPr>
              <w:t>Decision threshold</w:t>
            </w:r>
          </w:p>
        </w:tc>
        <w:tc>
          <w:tcPr>
            <w:tcW w:w="2304" w:type="dxa"/>
          </w:tcPr>
          <w:p>
            <w:r/>
            <w:r>
              <w:rPr>
                <w:sz w:val="18"/>
              </w:rPr>
              <w:t>tau</w:t>
            </w:r>
          </w:p>
        </w:tc>
        <w:tc>
          <w:tcPr>
            <w:tcW w:w="3024" w:type="dxa"/>
          </w:tcPr>
          <w:p>
            <w:r/>
            <w:r>
              <w:rPr>
                <w:sz w:val="18"/>
              </w:rPr>
              <w:t>Grid 0.05-0.95, step 0.01 (proposed XGBoost, default XGBoost, TabTransformer)</w:t>
            </w:r>
          </w:p>
        </w:tc>
        <w:tc>
          <w:tcPr>
            <w:tcW w:w="2232" w:type="dxa"/>
          </w:tcPr>
          <w:p>
            <w:r/>
            <w:r>
              <w:rPr>
                <w:sz w:val="18"/>
              </w:rPr>
              <w:t>Max F2 on validation; precision &gt;= 0.10 and specificity &gt;= 0.50</w:t>
            </w:r>
          </w:p>
        </w:tc>
      </w:tr>
      <w:tr w:rsidR="005227A2" w14:paraId="26E13931" w14:textId="77777777">
        <w:tc>
          <w:tcPr>
            <w:tcW w:w="1800" w:type="dxa"/>
          </w:tcPr>
          <w:p>
            <w:r/>
            <w:r>
              <w:rPr>
                <w:sz w:val="18"/>
              </w:rPr>
              <w:t>Proposed XGBoost</w:t>
            </w:r>
          </w:p>
        </w:tc>
        <w:tc>
          <w:tcPr>
            <w:tcW w:w="2304" w:type="dxa"/>
          </w:tcPr>
          <w:p>
            <w:r/>
            <w:r>
              <w:rPr>
                <w:sz w:val="18"/>
              </w:rPr>
              <w:t>n_estimators / max_depth / learning_rate / scale_pos_weight / subsample / colsample_bytree</w:t>
            </w:r>
          </w:p>
        </w:tc>
        <w:tc>
          <w:tcPr>
            <w:tcW w:w="3024" w:type="dxa"/>
          </w:tcPr>
          <w:p>
            <w:r/>
            <w:r>
              <w:rPr>
                <w:sz w:val="18"/>
              </w:rPr>
              <w:t>200 / 4 / 0.05 / 7.49 (training-partition ratio) / 0.8 / 0.8</w:t>
            </w:r>
          </w:p>
        </w:tc>
        <w:tc>
          <w:tcPr>
            <w:tcW w:w="2232" w:type="dxa"/>
          </w:tcPr>
          <w:p>
            <w:r/>
            <w:r>
              <w:rPr>
                <w:sz w:val="18"/>
              </w:rPr>
              <w:t>Fixed a priori (literature-informed)</w:t>
            </w:r>
          </w:p>
        </w:tc>
      </w:tr>
      <w:tr w:rsidR="005227A2" w14:paraId="05CBCB70" w14:textId="77777777">
        <w:tc>
          <w:tcPr>
            <w:tcW w:w="1800" w:type="dxa"/>
          </w:tcPr>
          <w:p w14:paraId="295BE704" w14:textId="77777777" w:rsidR="005227A2" w:rsidRDefault="00000000">
            <w:r>
              <w:rPr>
                <w:sz w:val="18"/>
              </w:rPr>
              <w:t>Default XGBoost</w:t>
            </w:r>
          </w:p>
        </w:tc>
        <w:tc>
          <w:tcPr>
            <w:tcW w:w="2304" w:type="dxa"/>
          </w:tcPr>
          <w:p w14:paraId="45BA529A" w14:textId="77777777" w:rsidR="005227A2" w:rsidRDefault="00000000">
            <w:r>
              <w:rPr>
                <w:sz w:val="18"/>
              </w:rPr>
              <w:t>-</w:t>
            </w:r>
          </w:p>
        </w:tc>
        <w:tc>
          <w:tcPr>
            <w:tcW w:w="3024" w:type="dxa"/>
          </w:tcPr>
          <w:p w14:paraId="17FFC918" w14:textId="77777777" w:rsidR="005227A2" w:rsidRDefault="00000000">
            <w:r>
              <w:rPr>
                <w:sz w:val="18"/>
              </w:rPr>
              <w:t>Library defaults</w:t>
            </w:r>
          </w:p>
        </w:tc>
        <w:tc>
          <w:tcPr>
            <w:tcW w:w="2232" w:type="dxa"/>
          </w:tcPr>
          <w:p w14:paraId="4AD26DD1" w14:textId="77777777" w:rsidR="005227A2" w:rsidRDefault="00000000">
            <w:r>
              <w:rPr>
                <w:sz w:val="18"/>
              </w:rPr>
              <w:t>Fixed (baseline control)</w:t>
            </w:r>
          </w:p>
        </w:tc>
      </w:tr>
      <w:tr w:rsidR="005227A2" w14:paraId="68D324E9" w14:textId="77777777">
        <w:tc>
          <w:tcPr>
            <w:tcW w:w="1800" w:type="dxa"/>
          </w:tcPr>
          <w:p w14:paraId="7648395D" w14:textId="77777777" w:rsidR="005227A2" w:rsidRDefault="00000000">
            <w:r>
              <w:rPr>
                <w:sz w:val="18"/>
              </w:rPr>
              <w:t>TabTransformer</w:t>
            </w:r>
          </w:p>
        </w:tc>
        <w:tc>
          <w:tcPr>
            <w:tcW w:w="2304" w:type="dxa"/>
          </w:tcPr>
          <w:p w14:paraId="4BCD8F08" w14:textId="77777777" w:rsidR="005227A2" w:rsidRDefault="00000000">
            <w:r>
              <w:rPr>
                <w:sz w:val="18"/>
              </w:rPr>
              <w:t>embed dim / layers / heads / dropout / focal alpha, gamma</w:t>
            </w:r>
          </w:p>
        </w:tc>
        <w:tc>
          <w:tcPr>
            <w:tcW w:w="3024" w:type="dxa"/>
          </w:tcPr>
          <w:p w14:paraId="27F515A0" w14:textId="77777777" w:rsidR="005227A2" w:rsidRDefault="00000000">
            <w:r>
              <w:rPr>
                <w:sz w:val="18"/>
              </w:rPr>
              <w:t>32 / 6 / 8 / 0.2 / 0.84, 2.0</w:t>
            </w:r>
          </w:p>
        </w:tc>
        <w:tc>
          <w:tcPr>
            <w:tcW w:w="2232" w:type="dxa"/>
          </w:tcPr>
          <w:p w14:paraId="004B6E4D" w14:textId="77777777" w:rsidR="005227A2" w:rsidRDefault="00000000">
            <w:r>
              <w:rPr>
                <w:sz w:val="18"/>
              </w:rPr>
              <w:t>Fixed a priori (Gorishniy et al., 2021)</w:t>
            </w:r>
          </w:p>
        </w:tc>
      </w:tr>
      <w:tr w:rsidR="005227A2" w14:paraId="49927D8D" w14:textId="77777777">
        <w:tc>
          <w:tcPr>
            <w:tcW w:w="1800" w:type="dxa"/>
          </w:tcPr>
          <w:p>
            <w:r/>
            <w:r>
              <w:rPr>
                <w:sz w:val="18"/>
              </w:rPr>
              <w:t>SMOTE</w:t>
            </w:r>
          </w:p>
        </w:tc>
        <w:tc>
          <w:tcPr>
            <w:tcW w:w="2304" w:type="dxa"/>
          </w:tcPr>
          <w:p>
            <w:r/>
            <w:r>
              <w:rPr>
                <w:sz w:val="18"/>
              </w:rPr>
              <w:t>k / sampling_strategy</w:t>
            </w:r>
          </w:p>
        </w:tc>
        <w:tc>
          <w:tcPr>
            <w:tcW w:w="3024" w:type="dxa"/>
          </w:tcPr>
          <w:p>
            <w:r/>
            <w:r>
              <w:rPr>
                <w:sz w:val="18"/>
              </w:rPr>
              <w:t>k in {5, 3, 1} / 0.20</w:t>
            </w:r>
          </w:p>
        </w:tc>
        <w:tc>
          <w:tcPr>
            <w:tcW w:w="2232" w:type="dxa"/>
          </w:tcPr>
          <w:p>
            <w:r/>
            <w:r>
              <w:rPr>
                <w:sz w:val="18"/>
              </w:rPr>
              <w:t>k = 3 retained; layer effect isolated in R5</w:t>
            </w:r>
          </w:p>
        </w:tc>
      </w:tr>
    </w:tbl>
    <w:p w14:paraId="13E7675D" w14:textId="77777777" w:rsidR="005227A2" w:rsidRPr="004C1FB2" w:rsidRDefault="00000000" w:rsidP="004C1FB2">
      <w:pPr>
        <w:pStyle w:val="Heading2"/>
        <w:spacing w:before="260" w:after="100"/>
        <w:rPr>
          <w:b/>
          <w:bCs/>
          <w:color w:val="10243C"/>
          <w:sz w:val="25"/>
          <w:szCs w:val="25"/>
        </w:rPr>
      </w:pPr>
      <w:r>
        <w:rPr>
          <w:b/>
          <w:bCs/>
          <w:color w:val="10243C"/>
          <w:sz w:val="25"/>
          <w:szCs w:val="25"/>
        </w:rPr>
        <w:t>M14. Training Protocol, Seeds and Reproducibility</w:t>
      </w:r>
    </w:p>
    <w:p w14:paraId="2F7505CC" w14:textId="77777777" w:rsidR="005227A2" w:rsidRDefault="00000000">
      <w:r>
        <w:t>The tree-based models were trained by gradient boosting (200 estimators, learning rate 0.05, no stochastic optimiser or early-stopping schedule beyond the fixed estimator count). TabTransformer was trained with a focal-loss objective (α ≈ 0.84 from the class ratio, γ = 2.0), the AdamW optimiser (learning rate 1×10⁻⁴), a cosine-annealing schedule, early stopping, and batch size 32. All trainable models — the proposed and default XGBoost, the Decision Tree, and TabTransformer — were trained across five independent random seeds, {42, 123, 777, 2024, 9999}, and all primary metrics are reported as mean ± standard deviation across those seeds; the seed-42 run is the single-run reference used for the McNemar and bootstrap tests and the SHAP diagnostics (M16, M17). The Attendance Rule, having no trainable parameters, was evaluated once. No reported comparative figure is a single-run value; every aggregated metric spans the five seeds. The seed-42 run is the single-run reference for the McNemar and bootstrap tests, the confusion matrices, the SHAP attributions and the SHAPtoSMS ablation. Because every single-run result therefore rests on one seed drawn from the five, the seed-42 values are reported alongside the five-seed mean wherever a single-run figure is used in a comparison (Table 3 footnote), so a reader can see where that run sits in the seed distribution rather than having to infer it. The synthetic supplement is likewise generated under a fixed seed and committed as a versioned artefact, so the training pool is identical on every run (M4, M21).</w:t>
      </w:r>
    </w:p>
    <w:p w14:paraId="2F7505CC" w14:textId="77777777" w:rsidR="005227A2" w:rsidRDefault="00000000">
      <w:r>
        <w:t>Seed count and what it licenses. The five seeds above are the reporting basis for every aggregated metric in Table 3, and they are retained unchanged. Separately, and because a five-seed spread cannot establish that an effect keeps its sign, a ten-seed stability arm was run on the proposed model over seeds {42, 123, 777, 2024, 9999, 1, 7, 13, 31337, 555} — the five reporting seeds plus five further seeds — scoring the proposed model's AUC-PR against the continuous attendance ranker on the same partition at each seed. The arm is a stability diagnostic and is not a second set of headline numbers: no figure in Table 3 is drawn from it. Its outcome is reported in R3, and it is what governs whether any stability wording is available to this manuscript.</w:t>
      </w:r>
    </w:p>
    <w:p w14:paraId="376C20A0" w14:textId="77777777" w:rsidR="005227A2" w:rsidRPr="004C1FB2" w:rsidRDefault="00000000" w:rsidP="004C1FB2">
      <w:pPr>
        <w:pStyle w:val="Heading2"/>
        <w:spacing w:before="260" w:after="100"/>
        <w:rPr>
          <w:b/>
          <w:bCs/>
          <w:color w:val="10243C"/>
          <w:sz w:val="25"/>
          <w:szCs w:val="25"/>
        </w:rPr>
      </w:pPr>
      <w:r>
        <w:rPr>
          <w:b/>
          <w:bCs/>
          <w:color w:val="10243C"/>
          <w:sz w:val="25"/>
          <w:szCs w:val="25"/>
        </w:rPr>
        <w:t>M15. Evaluation Metrics and Metric-to-Stakeholder Alignment</w:t>
      </w:r>
    </w:p>
    <w:p w14:paraId="4A2C78D6" w14:textId="77777777" w:rsidR="005227A2" w:rsidRDefault="00000000">
      <w:r>
        <w:t>Given the severe imbalance of the held-out test set (241 non-dropout to 7 dropout; 2.8% positive), accuracy is not reported as a primary metric because it rewards majority-class prediction. The primary metric is the Area Under the Precision–Recall Curve (AUC-PR), named as primary, because — unlike AUC-ROC — it is sensitive to performance on the minority class at this degree of imbalance (Davis &amp; Goadrich, 2006). AUC-ROC, macro F1-score, F2-score, precision, and recall are reported as secondary metrics. In this domain the costlier error is a false negative: a genuinely at-risk student who is not flagged disengages without the early support the system exists to trigger, whereas a false positive incurs only an unnecessary teacher follow-up. The primary metric and the F2-weighted threshold both reflect this asymmetry by prioritising recall of the minority (dropout) class. The decision threshold was selected by the constrained F2 search on the validation partition (M13). For the SHAPtoSMS component the primary fidelity metrics are the Rank-Preservation Scores RPS@1 and RPS@2, reported alongside 160-character SMS compliance.</w:t>
      </w:r>
    </w:p>
    <w:p w14:paraId="4A2C78D6" w14:textId="77777777" w:rsidR="005227A2" w:rsidRDefault="00000000">
      <w:r>
        <w:rPr>
          <w:b w:val="0"/>
        </w:rPr>
        <w:t>Table 2b. Construct-to-feature-to-metric mapping. SDT is applied as an interpretive lens (Guiding Theories); the register variables are behavioural indicators consistent with, not measures of, the psychological needs. The directional column states the relationship the lens would anticipate; the observed directions are tested in R6.</w:t>
      </w:r>
    </w:p>
    <w:tbl>
      <w:tblPr>
        <w:tblW w:type="auto" w:w="0"/>
        <w:tblLook w:firstColumn="1" w:firstRow="1" w:lastColumn="0" w:lastRow="0" w:noHBand="0" w:noVBand="1" w:val="04A0"/>
      </w:tblPr>
      <w:tblGrid>
        <w:gridCol w:w="1981"/>
        <w:gridCol w:w="1981"/>
        <w:gridCol w:w="1981"/>
        <w:gridCol w:w="1981"/>
        <w:gridCol w:w="1981"/>
      </w:tblGrid>
      <w:tr>
        <w:tc>
          <w:tcPr>
            <w:tcW w:type="dxa" w:w="1981"/>
          </w:tcPr>
          <w:p>
            <w:r>
              <w:rPr>
                <w:b/>
              </w:rPr>
            </w:r>
            <w:r>
              <w:rPr>
                <w:b/>
                <w:sz w:val="18"/>
              </w:rPr>
              <w:t>SDT construct (lens)</w:t>
            </w:r>
          </w:p>
        </w:tc>
        <w:tc>
          <w:tcPr>
            <w:tcW w:type="dxa" w:w="1981"/>
          </w:tcPr>
          <w:p>
            <w:r>
              <w:rPr>
                <w:b/>
              </w:rPr>
            </w:r>
            <w:r>
              <w:rPr>
                <w:b/>
                <w:sz w:val="18"/>
              </w:rPr>
              <w:t>Observable register proxy</w:t>
            </w:r>
          </w:p>
        </w:tc>
        <w:tc>
          <w:tcPr>
            <w:tcW w:type="dxa" w:w="1981"/>
          </w:tcPr>
          <w:p>
            <w:r>
              <w:rPr>
                <w:b/>
              </w:rPr>
            </w:r>
            <w:r>
              <w:rPr>
                <w:b/>
                <w:sz w:val="18"/>
              </w:rPr>
              <w:t>Anticipated direction</w:t>
            </w:r>
          </w:p>
        </w:tc>
        <w:tc>
          <w:tcPr>
            <w:tcW w:type="dxa" w:w="1981"/>
          </w:tcPr>
          <w:p>
            <w:r>
              <w:rPr>
                <w:b/>
              </w:rPr>
            </w:r>
            <w:r>
              <w:rPr>
                <w:b/>
                <w:sz w:val="18"/>
              </w:rPr>
              <w:t>Reported quantity</w:t>
            </w:r>
          </w:p>
        </w:tc>
        <w:tc>
          <w:tcPr>
            <w:tcW w:type="dxa" w:w="1981"/>
          </w:tcPr>
          <w:p>
            <w:r>
              <w:rPr>
                <w:b/>
              </w:rPr>
            </w:r>
            <w:r>
              <w:rPr>
                <w:b/>
                <w:sz w:val="18"/>
              </w:rPr>
              <w:t>Validity threat for this proxy</w:t>
            </w:r>
          </w:p>
        </w:tc>
      </w:tr>
      <w:tr>
        <w:tc>
          <w:tcPr>
            <w:tcW w:type="dxa" w:w="1981"/>
          </w:tcPr>
          <w:p>
            <w:r/>
            <w:r>
              <w:rPr>
                <w:sz w:val="18"/>
              </w:rPr>
              <w:t>Relatedness</w:t>
            </w:r>
          </w:p>
        </w:tc>
        <w:tc>
          <w:tcPr>
            <w:tcW w:type="dxa" w:w="1981"/>
          </w:tcPr>
          <w:p>
            <w:r/>
            <w:r>
              <w:rPr>
                <w:sz w:val="18"/>
              </w:rPr>
              <w:t>attendance_rate</w:t>
            </w:r>
          </w:p>
        </w:tc>
        <w:tc>
          <w:tcPr>
            <w:tcW w:type="dxa" w:w="1981"/>
          </w:tcPr>
          <w:p>
            <w:r/>
            <w:r>
              <w:rPr>
                <w:sz w:val="18"/>
              </w:rPr>
              <w:t>Higher attendance → lower risk</w:t>
            </w:r>
          </w:p>
        </w:tc>
        <w:tc>
          <w:tcPr>
            <w:tcW w:type="dxa" w:w="1981"/>
          </w:tcPr>
          <w:p>
            <w:r/>
            <w:r>
              <w:rPr>
                <w:sz w:val="18"/>
              </w:rPr>
              <w:t>Mean |SHAP|; signed SHAP (R6); AUC-PR, recall</w:t>
            </w:r>
          </w:p>
        </w:tc>
        <w:tc>
          <w:tcPr>
            <w:tcW w:type="dxa" w:w="1981"/>
          </w:tcPr>
          <w:p>
            <w:r/>
            <w:r>
              <w:rPr>
                <w:sz w:val="18"/>
              </w:rPr>
              <w:t>Attendance is a teacher-recorded behavioural outcome with many non-motivational causes — illness, farm labour, transport failure, fee exclusion. It does not isolate relatedness.</w:t>
            </w:r>
          </w:p>
        </w:tc>
      </w:tr>
      <w:tr>
        <w:tc>
          <w:tcPr>
            <w:tcW w:type="dxa" w:w="1981"/>
          </w:tcPr>
          <w:p>
            <w:r/>
            <w:r>
              <w:rPr>
                <w:sz w:val="18"/>
              </w:rPr>
              <w:t>Competence</w:t>
            </w:r>
          </w:p>
        </w:tc>
        <w:tc>
          <w:tcPr>
            <w:tcW w:type="dxa" w:w="1981"/>
          </w:tcPr>
          <w:p>
            <w:r/>
            <w:r>
              <w:rPr>
                <w:sz w:val="18"/>
              </w:rPr>
              <w:t>exam_score</w:t>
            </w:r>
          </w:p>
        </w:tc>
        <w:tc>
          <w:tcPr>
            <w:tcW w:type="dxa" w:w="1981"/>
          </w:tcPr>
          <w:p>
            <w:r/>
            <w:r>
              <w:rPr>
                <w:sz w:val="18"/>
              </w:rPr>
              <w:t>Higher score → lower risk</w:t>
            </w:r>
          </w:p>
        </w:tc>
        <w:tc>
          <w:tcPr>
            <w:tcW w:type="dxa" w:w="1981"/>
          </w:tcPr>
          <w:p>
            <w:r/>
            <w:r>
              <w:rPr>
                <w:sz w:val="18"/>
              </w:rPr>
              <w:t>Mean |SHAP|; signed SHAP (R6); AUC-PR</w:t>
            </w:r>
          </w:p>
        </w:tc>
        <w:tc>
          <w:tcPr>
            <w:tcW w:type="dxa" w:w="1981"/>
          </w:tcPr>
          <w:p>
            <w:r/>
            <w:r>
              <w:rPr>
                <w:sz w:val="18"/>
              </w:rPr>
              <w:t>A single termly mark confounds attainment with teaching quality, marking variance and the two-scale recording error corrected in M6.</w:t>
            </w:r>
          </w:p>
        </w:tc>
      </w:tr>
      <w:tr>
        <w:tc>
          <w:tcPr>
            <w:tcW w:type="dxa" w:w="1981"/>
          </w:tcPr>
          <w:p>
            <w:r/>
            <w:r>
              <w:rPr>
                <w:sz w:val="18"/>
              </w:rPr>
              <w:t>Autonomy-relevant constraint</w:t>
            </w:r>
          </w:p>
        </w:tc>
        <w:tc>
          <w:tcPr>
            <w:tcW w:type="dxa" w:w="1981"/>
          </w:tcPr>
          <w:p>
            <w:r/>
            <w:r>
              <w:rPr>
                <w:sz w:val="18"/>
              </w:rPr>
              <w:t>distance_km</w:t>
            </w:r>
          </w:p>
        </w:tc>
        <w:tc>
          <w:tcPr>
            <w:tcW w:type="dxa" w:w="1981"/>
          </w:tcPr>
          <w:p>
            <w:r/>
            <w:r>
              <w:rPr>
                <w:sz w:val="18"/>
              </w:rPr>
              <w:t>Greater distance → higher risk</w:t>
            </w:r>
          </w:p>
        </w:tc>
        <w:tc>
          <w:tcPr>
            <w:tcW w:type="dxa" w:w="1981"/>
          </w:tcPr>
          <w:p>
            <w:r/>
            <w:r>
              <w:rPr>
                <w:sz w:val="18"/>
              </w:rPr>
              <w:t>Mean |SHAP|; signed SHAP (R6)</w:t>
            </w:r>
          </w:p>
        </w:tc>
        <w:tc>
          <w:tcPr>
            <w:tcW w:type="dxa" w:w="1981"/>
          </w:tcPr>
          <w:p>
            <w:r/>
            <w:r>
              <w:rPr>
                <w:sz w:val="18"/>
              </w:rPr>
              <w:t>Distance is a household/geographic constraint, not a property of the student’s motivation; SDT must strain to read it as an individual need.</w:t>
            </w:r>
          </w:p>
        </w:tc>
      </w:tr>
      <w:tr>
        <w:tc>
          <w:tcPr>
            <w:tcW w:type="dxa" w:w="1981"/>
          </w:tcPr>
          <w:p>
            <w:r/>
            <w:r>
              <w:rPr>
                <w:sz w:val="18"/>
              </w:rPr>
              <w:t>Autonomy-relevant constraint</w:t>
            </w:r>
          </w:p>
        </w:tc>
        <w:tc>
          <w:tcPr>
            <w:tcW w:type="dxa" w:w="1981"/>
          </w:tcPr>
          <w:p>
            <w:r/>
            <w:r>
              <w:rPr>
                <w:sz w:val="18"/>
              </w:rPr>
              <w:t>fee_payment_status</w:t>
            </w:r>
          </w:p>
        </w:tc>
        <w:tc>
          <w:tcPr>
            <w:tcW w:type="dxa" w:w="1981"/>
          </w:tcPr>
          <w:p>
            <w:r/>
            <w:r>
              <w:rPr>
                <w:sz w:val="18"/>
              </w:rPr>
              <w:t>Unpaid → higher risk</w:t>
            </w:r>
          </w:p>
        </w:tc>
        <w:tc>
          <w:tcPr>
            <w:tcW w:type="dxa" w:w="1981"/>
          </w:tcPr>
          <w:p>
            <w:r/>
            <w:r>
              <w:rPr>
                <w:sz w:val="18"/>
              </w:rPr>
              <w:t>Mean |SHAP| (R6)</w:t>
            </w:r>
          </w:p>
        </w:tc>
        <w:tc>
          <w:tcPr>
            <w:tcW w:type="dxa" w:w="1981"/>
          </w:tcPr>
          <w:p>
            <w:r/>
            <w:r>
              <w:rPr>
                <w:sz w:val="18"/>
              </w:rPr>
              <w:t>A household economic status attributed to an individual student; near-zero variance in the 2024 training partition (Table 1b), so it is largely uninformative here.</w:t>
            </w:r>
          </w:p>
        </w:tc>
      </w:tr>
      <w:tr>
        <w:tc>
          <w:tcPr>
            <w:tcW w:type="dxa" w:w="1981"/>
          </w:tcPr>
          <w:p>
            <w:r/>
            <w:r>
              <w:rPr>
                <w:sz w:val="18"/>
              </w:rPr>
              <w:t>Not mapped (contextual)</w:t>
            </w:r>
          </w:p>
        </w:tc>
        <w:tc>
          <w:tcPr>
            <w:tcW w:type="dxa" w:w="1981"/>
          </w:tcPr>
          <w:p>
            <w:r/>
            <w:r>
              <w:rPr>
                <w:sz w:val="18"/>
              </w:rPr>
              <w:t>grade_level</w:t>
            </w:r>
          </w:p>
        </w:tc>
        <w:tc>
          <w:tcPr>
            <w:tcW w:type="dxa" w:w="1981"/>
          </w:tcPr>
          <w:p>
            <w:r/>
            <w:r>
              <w:rPr>
                <w:sz w:val="18"/>
              </w:rPr>
              <w:t>None claimed</w:t>
            </w:r>
          </w:p>
        </w:tc>
        <w:tc>
          <w:tcPr>
            <w:tcW w:type="dxa" w:w="1981"/>
          </w:tcPr>
          <w:p>
            <w:r/>
            <w:r>
              <w:rPr>
                <w:sz w:val="18"/>
              </w:rPr>
              <w:t>Mean |SHAP| (R6)</w:t>
            </w:r>
          </w:p>
        </w:tc>
        <w:tc>
          <w:tcPr>
            <w:tcW w:type="dxa" w:w="1981"/>
          </w:tcPr>
          <w:p>
            <w:r/>
            <w:r>
              <w:rPr>
                <w:sz w:val="18"/>
              </w:rPr>
              <w:t>Perfectly confounded with academic_year; zero training variance, so no attribution is interpretable.</w:t>
            </w:r>
          </w:p>
        </w:tc>
      </w:tr>
      <w:tr>
        <w:tc>
          <w:tcPr>
            <w:tcW w:type="dxa" w:w="1981"/>
          </w:tcPr>
          <w:p>
            <w:r/>
            <w:r>
              <w:rPr>
                <w:sz w:val="18"/>
              </w:rPr>
              <w:t>Not mapped (contextual)</w:t>
            </w:r>
          </w:p>
        </w:tc>
        <w:tc>
          <w:tcPr>
            <w:tcW w:type="dxa" w:w="1981"/>
          </w:tcPr>
          <w:p>
            <w:r/>
            <w:r>
              <w:rPr>
                <w:sz w:val="18"/>
              </w:rPr>
              <w:t>gender</w:t>
            </w:r>
          </w:p>
        </w:tc>
        <w:tc>
          <w:tcPr>
            <w:tcW w:type="dxa" w:w="1981"/>
          </w:tcPr>
          <w:p>
            <w:r/>
            <w:r>
              <w:rPr>
                <w:sz w:val="18"/>
              </w:rPr>
              <w:t>None claimed</w:t>
            </w:r>
          </w:p>
        </w:tc>
        <w:tc>
          <w:tcPr>
            <w:tcW w:type="dxa" w:w="1981"/>
          </w:tcPr>
          <w:p>
            <w:r/>
            <w:r>
              <w:rPr>
                <w:sz w:val="18"/>
              </w:rPr>
              <w:t>Mean |SHAP| (R6)</w:t>
            </w:r>
          </w:p>
        </w:tc>
        <w:tc>
          <w:tcPr>
            <w:tcW w:type="dxa" w:w="1981"/>
          </w:tcPr>
          <w:p>
            <w:r>
              <w:t>SDT is silent on gender; no interpretive claim is made on its attribution. Additionally, gender is confounded with site (Cramer’s V = 0.4396): Ayaarno M/A Primary and JHS is single-sex, so a gender attribution on this panel is partly a site effect and cannot be read as a behavioural property of students (M3, R6).</w:t>
            </w:r>
          </w:p>
        </w:tc>
      </w:tr>
    </w:tbl>
    <w:p w14:paraId="272473FF" w14:textId="77777777" w:rsidR="005227A2" w:rsidRPr="004C1FB2" w:rsidRDefault="00000000" w:rsidP="004C1FB2">
      <w:pPr>
        <w:pStyle w:val="Heading2"/>
        <w:spacing w:before="260" w:after="100"/>
        <w:rPr>
          <w:b/>
          <w:bCs/>
          <w:color w:val="10243C"/>
          <w:sz w:val="25"/>
          <w:szCs w:val="25"/>
        </w:rPr>
      </w:pPr>
      <w:r>
        <w:rPr>
          <w:b/>
          <w:bCs/>
          <w:color w:val="10243C"/>
          <w:sz w:val="25"/>
          <w:szCs w:val="25"/>
        </w:rPr>
        <w:t>M16. Ablation and Statistical Comparison Protocol</w:t>
      </w:r>
    </w:p>
    <w:p w14:paraId="3C82D7B3" w14:textId="77777777" w:rsidR="005227A2" w:rsidRDefault="00000000">
      <w:r>
        <w:t>Two isolation experiments were declared before results, and a third and fourth were added on audit to isolate the imbalance layers individually. The engineered-component ablation for SHAPtoSMS compares the protocol as implemented — greedy packing in strict descending order of |φᵢ| — against a naive baseline that packs the same candidate feature set in a fixed canonical order; candidate selection, lexicalisation, and the character budget are held identical, so rank-preservation is the only mechanism reverted. The evaluation population is defined explicitly as the proposed XGBoost’s OWN seed-42 flagged set — the records whose predicted probability clears the proposed model’s seed-42 threshold — and the gold ranking is taken from the same model whose attributions are packed. This matters because an earlier draft defined the population by a comparator model’s operating threshold while packing the proposed model’s attributions, which scored the component against a cross-model reference; the corrected, same-model definition is used throughout, and the earlier cross-model population is reported alongside it in R5 as a sensitivity check. The supporting-system ablation compares the proposed XGBoost against the default XGBoost, which differ only in the imbalance-handling layers. Two further isolation experiments report each imbalance layer separately: Layer 1 is run with SMOTE removed and at raised sampling_strategy values, and Layer 2 is run at scale_pos_weight = 1 with F2 thresholding and at the full scale_pos_weight with a fixed 0.5 threshold, so that the contribution of each layer is measured rather than assumed. Pairwise model comparisons on the identical held-out test set used McNemar’s exact test for correlated proportions (McNemar, 1947), with the Benjamini–Hochberg false-discovery-rate procedure (Benjamini &amp; Hochberg, 1995) applied across the four comparisons at α = 0.05, and effect size reported as Cohen’s h. The direction of every discordance is reported, not only its significance (R4). Because McNemar operates at a single operating point, a threshold-free companion — a paired bootstrap 95% confidence interval on the AUC-PR delta between the proposed and default models (10,000 resamples) — is also reported, and any disagreement between the two is reported without silent reconciliation. Test assumptions (paired binary outcomes for McNemar; resampling with replacement for the bootstrap) were checked and reported as outcomes in the Results (R4).</w:t>
      </w:r>
    </w:p>
    <w:p w14:paraId="3C82D7B3" w14:textId="77777777" w:rsidR="005227A2" w:rsidRDefault="00000000">
      <w:r>
        <w:t>Detectable-effect declaration. Because both arms of every pairwise comparison score the same records, the comparisons are paired and their power is governed by the number of discordant pairs, not by the 248 test records. The minimum detectable effect was therefore computed on the paired design — the smallest discordant split an exact paired test can detect at 80% power and alpha = 0.05 — rather than with an independent-sample solver, which would overstate the available n. The result is reported in R4, and it is reported whether or not it favours the study: where the minimum detectable effect exceeds the observed separation, the comparison is described as inconclusive at this n and the number of discordant pairs that would have been required is stated. No comparison in this manuscript is described as having established the absence of a difference.</w:t>
      </w:r>
    </w:p>
    <w:p w14:paraId="0299D49C" w14:textId="77777777" w:rsidR="005227A2" w:rsidRPr="004C1FB2" w:rsidRDefault="00000000" w:rsidP="004C1FB2">
      <w:pPr>
        <w:pStyle w:val="Heading2"/>
        <w:spacing w:before="260" w:after="100"/>
        <w:rPr>
          <w:b/>
          <w:bCs/>
          <w:color w:val="10243C"/>
          <w:sz w:val="25"/>
          <w:szCs w:val="25"/>
        </w:rPr>
      </w:pPr>
      <w:r>
        <w:rPr>
          <w:b/>
          <w:bCs/>
          <w:color w:val="10243C"/>
          <w:sz w:val="25"/>
          <w:szCs w:val="25"/>
        </w:rPr>
        <w:t>M17. Interpretability and Explainability Protocol</w:t>
      </w:r>
    </w:p>
    <w:p w14:paraId="627E0B55" w14:textId="77777777" w:rsidR="005227A2" w:rsidRDefault="00000000">
      <w:r>
        <w:t>Explanations for the primary model were computed with SHAP using the exact TreeExplainer for tree ensembles (Lundberg &amp; Lee, 2017; shap library), over the full 248-row held-out test set rather than an arbitrary subsample. Explanations were therefore computed on held-out data only, and are reported both as mean |SHAP value| (magnitude) and as signed attributions (direction), so that the directional expectations set out in Table 2b can be tested rather than only illustrated (R6). For the engineered component two distinct fidelity quantities are reported under separate names, because an earlier draft described one and computed the other. Rank-Preservation Score (RPS@k) is the quantity Methods claims: it compares the order of the factors actually packed into the alert against the model’s own |SHAP| gold ranking, and asks whether the first k named factors match the first k ranked features. It measures whether the packing and lexicalisation stages preserve the attribution ordering, and it is the metric against which the ordering ablation is scored. Directional-Agreement Score (DAS@k) is the quantity the earlier implementation computed: it asks whether any of the top-k features by |SHAP| carries an attribution whose sign agrees with the record’s observed outcome. DAS is a property of the attributions and the outcome, not of the packer, and it is sensitive to class prevalence in the evaluated population; it is retained and reported because it is informative, but it is no longer labelled as rank preservation. Both are reported in R5 for both the rank-preserving protocol and the naive fixed-order baseline. Because a single evaluation dataset is used, per-dataset separation is trivially satisfied and no cross-dataset averaging occurs. The proposal’s originally-intended second explainability layer — categorical-feature attention weights from the TabTransformer encoder — is not reported here, as the attention-heatmap diagnostic was not produced; this deviation from the dual-layer design is disclosed rather than presented as complete.</w:t>
      </w:r>
    </w:p>
    <w:p w14:paraId="1885B199" w14:textId="77777777" w:rsidR="005227A2" w:rsidRPr="004C1FB2" w:rsidRDefault="00000000" w:rsidP="004C1FB2">
      <w:pPr>
        <w:pStyle w:val="Heading2"/>
        <w:spacing w:before="260" w:after="100"/>
        <w:rPr>
          <w:b/>
          <w:bCs/>
          <w:color w:val="10243C"/>
          <w:sz w:val="25"/>
          <w:szCs w:val="25"/>
        </w:rPr>
      </w:pPr>
      <w:r>
        <w:rPr>
          <w:b/>
          <w:bCs/>
          <w:color w:val="10243C"/>
          <w:sz w:val="25"/>
          <w:szCs w:val="25"/>
        </w:rPr>
        <w:t>M18. Generalisation and Transfer Protocol</w:t>
      </w:r>
    </w:p>
    <w:p w14:paraId="5BFAEC68" w14:textId="77777777" w:rsidR="005227A2" w:rsidRDefault="00000000">
      <w:r>
        <w:t>The targeted claim tier is Tier 1 (a bounded claim within the studied context), consistent with the TRAINING-ONLY AUGMENTATION strategy (M10). No cross-dataset transfer is claimed. The evidence procedure supporting a Tier 1 claim is substitute rigour in place of external validation: a temporal hold-out (train on 2024, test on 2025–2026), five-seed multi-seed reporting, a stratified 5-fold cross-validation stability diagnostic, and a perturbation-sensitivity analysis in which the three continuous features were perturbed with Gaussian noise reflecting plausible register and grading error (attendance_rate ± 0.02, exam_score ± 3.0, distance_km ± 0.5) across 100 trials. A leave-one-year-out cross-validation was attempted but is not computable on the present data, because the entire train+validation pool falls within a single academic year (2024). Leave-one-site-out validation, which an earlier version of this manuscript reported as blocked by the absence of a school identifier, is now available: the identifier has been recovered (M3) and the analysis is reported in R8. It is computable for 2 of the 4 sites and not for the other 2, which carry test-period records but no test-period dropout event, so ranking metrics are undefined on them; those folds are reported as not computable rather than filled with a floor value. Each fold trains on the training-period records of the other sites and tests on the test-period records of the held-out site, so the temporal firewall holds inside every fold. The synthetic supplement is excluded from leave-one-site-out training, because it was fitted on the whole training-period pool including the held-out site and would otherwise leak it. It is stated explicitly that the generalisability of EduTrace beyond the studied schools has not been established. The site count is now recorded — 4 sites (M3) — and site transfer is measured rather than assumed, but it is measured on 2 computable folds resting on 7 dropout events between them, which is a direction and not an estimate. The robustness checks therefore still characterise stability within, not beyond, the studied context, and the four sites are themselves a convenience set within one region. The inference boundary is stated explicitly: the claim covers next-year dropout-risk prediction for students who already have prior-year register history in the studied schools, and it does not cover new intakes, because no test record belongs to a student unseen in training (M9, R8). Two named ingredients were previously required to move beyond the Tier 1 ceiling: a school identifier on each record, enabling leave-one-site-out validation, and an independent out-of-region institutional dataset for cross-dataset transfer. The first has been delivered and the analysis run (R8). The second has not, and a third requirement is now visible that only the site-level analysis could expose: the present sites yield too few test-period dropout events for a site hold-out to estimate anything — 2 of 4 sites carry none at all — so additional dropout events, whether from more sites or more observation years, are a precondition for the site-transfer evidence to carry weight. The claim tier therefore remains Tier 1, and it remains a collection-round dependency rather than a wording change.</w:t>
      </w:r>
    </w:p>
    <w:p w14:paraId="444C49F7" w14:textId="77777777" w:rsidR="005227A2" w:rsidRPr="004C1FB2" w:rsidRDefault="00000000" w:rsidP="004C1FB2">
      <w:pPr>
        <w:pStyle w:val="Heading2"/>
        <w:spacing w:before="260" w:after="100"/>
        <w:rPr>
          <w:b/>
          <w:bCs/>
          <w:color w:val="10243C"/>
          <w:sz w:val="25"/>
          <w:szCs w:val="25"/>
        </w:rPr>
      </w:pPr>
      <w:r>
        <w:rPr>
          <w:b/>
          <w:bCs/>
          <w:color w:val="10243C"/>
          <w:sz w:val="25"/>
          <w:szCs w:val="25"/>
        </w:rPr>
        <w:t>M19. Computational Environment and Software Stack</w:t>
      </w:r>
    </w:p>
    <w:p w14:paraId="3DBE700F" w14:textId="77777777" w:rsidR="005227A2" w:rsidRDefault="00000000">
      <w:r>
        <w:t xml:space="preserve">Experiments were run on CPU under Python 3.11.15. The active software stack comprised numpy, pandas, scikit-learn, xgboost, imbalanced-learn, statsmodels, PyTorch, tab-transformer-pytorch and shap, with every version pinned by exact equality in requirements.txt at the repository root; no requirement is specified as a lower bound. SDV (CTGAN) is required only to regenerate the synthetic supplement and is pinned separately in requirements-synthesis.txt, because it constrains pandas to a different major version; regenerating the supplement is not part of reproducing any reported figure, since the supplement is committed as a data artefact. The reproduction path is EduTrace_Revised_Pipeline.py and notebooks/EduTrace_Main_3.ipynb, both committed in the tagged release — the pipeline at the repository root and the notebook under notebooks/. Both read ./data by relative path — no path points at a mounted drive, and no path requires editing after a clone — and the notebook is committed with a linear execution_count over its 9 code cells, so a reader who runs it top to bottom sees the stored outputs. No module in the tree shadows an installed package. Formal wall-clock training time was not benchmarked; as a low-connectivity deployability proxy, the serialised checkpoints exported from this run (results/model_artefacts.json) measure 1.19 MB for the TabTransformer comparator and 0.27 MB for the proposed XGBoost, both within the sub-10 MB target for offline transfer. These are measured on the artefacts in models/, which are exported from the locked run by export_models.py rather than carried over, so the demonstrator in app/ serves the model this manuscript reports.</w:t>
      </w:r>
    </w:p>
    <w:p w14:paraId="4DDDB56F" w14:textId="77777777" w:rsidR="005227A2" w:rsidRPr="004C1FB2" w:rsidRDefault="00000000" w:rsidP="004C1FB2">
      <w:pPr>
        <w:pStyle w:val="Heading2"/>
        <w:spacing w:before="260" w:after="100"/>
        <w:rPr>
          <w:b/>
          <w:bCs/>
          <w:color w:val="10243C"/>
          <w:sz w:val="25"/>
          <w:szCs w:val="25"/>
        </w:rPr>
      </w:pPr>
      <w:r>
        <w:rPr>
          <w:b/>
          <w:bCs/>
          <w:color w:val="10243C"/>
          <w:sz w:val="25"/>
          <w:szCs w:val="25"/>
        </w:rPr>
        <w:t>M20. Methodological Defence Paragraphs</w:t>
      </w:r>
    </w:p>
    <w:p w14:paraId="4D862FD3" w14:textId="77777777" w:rsidR="005227A2" w:rsidRDefault="00000000">
      <w:r>
        <w:t>Parsimony defence. XGBoost was selected over a single decision tree or logistic regression because dropout risk in this register arises from non-additive interactions among attendance, examination performance, and structural constraints that an additive linear model cannot represent, while gradient-boosted trees model such interactions and support exact, tree-native SHAP attribution; the simpler Decision Tree is nonetheless retained as an explicit comparator (M11) so the added complexity is itself tested rather than assumed.</w:t>
      </w:r>
    </w:p>
    <w:p w14:paraId="2FE59CF3" w14:textId="77777777" w:rsidR="005227A2" w:rsidRDefault="00000000">
      <w:r>
        <w:t>Metric defence. AUC-PR is the primary metric because the test set is 2.8% positive; accuracy and AUC-ROC can appear high while the minority (dropout) class is missed, and the real-world cost of a missed dropout exceeds that of an unnecessary follow-up, so a minority-sensitive metric and an F2-weighted threshold are the honest choice for this deployment context.</w:t>
      </w:r>
    </w:p>
    <w:p w14:paraId="16C2F451" w14:textId="77777777" w:rsidR="005227A2" w:rsidRDefault="00000000">
      <w:r>
        <w:t>Baseline-currency defence. The comparators span the fair state of the art for small-sample institutional tabular data: a classical interpretable tree (CART), a matched boosted-tree ablation control (default XGBoost), an attention-based Transformer (TabTransformer, 2020), and the deployed status-quo rule (attendance threshold). All five received identical data access. The threshold-tuning budget was identical for the three learners that have a tunable threshold — the proposed XGBoost, the default XGBoost and TabTransformer, each swept over the same 91-point grid — and did not extend to the remaining two: the Decision Tree is scored at the fixed default threshold and the Attendance rule's 0.70 cut is fixed by construction (M11, M13). No learner among the tunable three received a larger budget than another, and no arm received a hyperparameter search. The comparison among the tunable three therefore cannot be attributed to unequal resourcing; for the two fixed-threshold comparators the asymmetry is stated rather than absorbed into a blanket parity claim, and the per-arm budget is tabulated in results/c4_tuning_parity.csv.</w:t>
      </w:r>
    </w:p>
    <w:p w14:paraId="50237954" w14:textId="77777777" w:rsidR="005227A2" w:rsidRPr="004C1FB2" w:rsidRDefault="00000000" w:rsidP="004C1FB2">
      <w:pPr>
        <w:pStyle w:val="Heading2"/>
        <w:spacing w:before="260" w:after="100"/>
        <w:rPr>
          <w:b/>
          <w:bCs/>
          <w:color w:val="10243C"/>
          <w:sz w:val="25"/>
          <w:szCs w:val="25"/>
        </w:rPr>
      </w:pPr>
      <w:r>
        <w:rPr>
          <w:b/>
          <w:bCs/>
          <w:color w:val="10243C"/>
          <w:sz w:val="25"/>
          <w:szCs w:val="25"/>
        </w:rPr>
        <w:lastRenderedPageBreak/>
        <w:t>M21. Data and Code Availability</w:t>
      </w:r>
    </w:p>
    <w:p w14:paraId="7BF2644D" w14:textId="77777777" w:rsidR="005227A2" w:rsidRDefault="00000000">
      <w:r>
        <w:t>The complete codebase, trained model artefacts, fitted preprocessing objects, and results archive are published at https://github.com/ManuelBartimeus/EduTrace. The reported results correspond to a single locked run, and the version identifier for that run is the tagged release v1.1-round3 (81ffad3ee5b7eaddd77b20b80df65e0a653011cd), whose commit postdates every fix described in this manuscript. The run comprises the committed pipeline script, the seeded synthetic supplement (generated under seed 42 and committed as a data artefact rather than regenerated at run time), the synthetic-audit report, and the consolidated results file. The following artefacts are committed under results/ and each is the sole source for the figures attributed to it: results.json (every reported quantity); rps_results.json (the SHAPtoSMS ablation, with rank preservation and directional agreement under separate names); closeout_verdict.json (the C1-C6 clearance certificate, the verdict table and the null state); q23_imbalance_grid.csv (all 16 cells of the imbalance isolation grid); q24_rollback_comparison.csv and q24_cut_comparison.csv (the remediation rollback and the two temporal cuts); c4_tuning_parity.csv (the per-arm tuning budget); smote_nnaa.json (the privacy ladder); and nf1_guard_log.txt (the provenance guard's run log). Regenerating the supplement in-process without a fixed seed was a reproducibility defect in an earlier version of the pipeline and has been corrected; the number reconciliation in R11 traces every figure reported in this manuscript to that locked run. Bit-exact reproduction of the model-derived quantities requires the platform on which the locked run was produced; on other hardware the data- and partition-level quantities reproduce exactly while quantities derived from a fitted estimator differ, and REPRODUCIBILITY.md records that evidence together with the checks to apply in place of a bit-exact comparison. The field institutional records cannot be shared, consistent with the Ghana Data Protection Act, 2012 and the HuSSREC approval (M3, M5); the synthetic supplement and all code are shareable. A permanent archival DOI has not yet been registered; the tagged release commit hash is the interim version identifier, and a Zenodo DOI will be minted at acceptance.</w:t>
      </w:r>
    </w:p>
    <w:p w14:paraId="1CFEE78B" w14:textId="77777777" w:rsidR="005227A2" w:rsidRPr="004C1FB2" w:rsidRDefault="00000000" w:rsidP="004C1FB2">
      <w:pPr>
        <w:pStyle w:val="Heading2"/>
        <w:spacing w:before="260" w:after="100"/>
        <w:rPr>
          <w:b/>
          <w:bCs/>
          <w:color w:val="10243C"/>
          <w:sz w:val="25"/>
          <w:szCs w:val="25"/>
        </w:rPr>
      </w:pPr>
      <w:r>
        <w:rPr>
          <w:b/>
          <w:bCs/>
          <w:color w:val="10243C"/>
          <w:sz w:val="25"/>
          <w:szCs w:val="25"/>
        </w:rPr>
        <w:t>Methods Figures</w:t>
      </w:r>
    </w:p>
    <w:p w14:paraId="7A0585DA" w14:textId="77777777" w:rsidR="005227A2" w:rsidRDefault="00000000">
      <w:pPr>
        <w:jc w:val="center"/>
      </w:pPr>
      <w:r>
        <w:rPr>
          <w:noProof/>
        </w:rPr>
        <w:drawing>
          <wp:inline distT="0" distB="0" distL="0" distR="0" wp14:anchorId="60D16839" wp14:editId="5C983157">
            <wp:extent cx="5669280" cy="2055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7"/>
                    <a:stretch>
                      <a:fillRect/>
                    </a:stretch>
                  </pic:blipFill>
                  <pic:spPr>
                    <a:xfrm>
                      <a:off x="0" y="0"/>
                      <a:ext cx="5669280" cy="2055893"/>
                    </a:xfrm>
                    <a:prstGeom prst="rect">
                      <a:avLst/>
                    </a:prstGeom>
                  </pic:spPr>
                </pic:pic>
              </a:graphicData>
            </a:graphic>
          </wp:inline>
        </w:drawing>
      </w:r>
    </w:p>
    <w:p w14:paraId="40ECEB8A" w14:textId="77777777" w:rsidR="005227A2" w:rsidRDefault="00000000">
      <w:pPr>
        <w:jc w:val="center"/>
      </w:pPr>
      <w:r>
        <w:rPr>
          <w:i/>
          <w:sz w:val="18"/>
        </w:rPr>
        <w:t>Figure 1. EduTrace processing pipeline: data flow from institutional and synthetic records through preprocessing and the temporal split to the imbalance-aware XGBoost pipeline (primary) and the TabTransformer comparator, then SHAP attribution and the SHAPtoSMS 2G-deliverable alert protocol.</w:t>
      </w:r>
    </w:p>
    <w:p w14:paraId="5C14E3F9" w14:textId="77777777" w:rsidR="005227A2" w:rsidRDefault="00000000">
      <w:pPr>
        <w:jc w:val="center"/>
      </w:pPr>
      <w:r>
        <w:rPr>
          <w:noProof/>
        </w:rPr>
        <w:drawing>
          <wp:inline distT="0" distB="0" distL="0" distR="0" wp14:anchorId="55A9C041" wp14:editId="6C415BCC">
            <wp:extent cx="5669280" cy="2652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8"/>
                    <a:stretch>
                      <a:fillRect/>
                    </a:stretch>
                  </pic:blipFill>
                  <pic:spPr>
                    <a:xfrm>
                      <a:off x="0" y="0"/>
                      <a:ext cx="5669280" cy="2652599"/>
                    </a:xfrm>
                    <a:prstGeom prst="rect">
                      <a:avLst/>
                    </a:prstGeom>
                  </pic:spPr>
                </pic:pic>
              </a:graphicData>
            </a:graphic>
          </wp:inline>
        </w:drawing>
      </w:r>
    </w:p>
    <w:p w14:paraId="287AB54E" w14:textId="77777777" w:rsidR="005227A2" w:rsidRDefault="00000000">
      <w:pPr>
        <w:jc w:val="center"/>
      </w:pPr>
      <w:r>
        <w:rPr>
          <w:i/>
          <w:sz w:val="18"/>
        </w:rPr>
        <w:t>Figure 2. EduTrace system architecture (model and component detail).</w:t>
      </w:r>
    </w:p>
    <w:p w14:paraId="068A2FC1" w14:textId="77777777" w:rsidR="005227A2" w:rsidRDefault="00000000">
      <w:pPr>
        <w:jc w:val="center"/>
      </w:pPr>
      <w:r>
        <w:rPr>
          <w:noProof/>
        </w:rPr>
        <w:drawing>
          <wp:inline distT="0" distB="0" distL="0" distR="0" wp14:anchorId="226B8750" wp14:editId="1232D89D">
            <wp:extent cx="5669280" cy="1974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rtition.png"/>
                    <pic:cNvPicPr/>
                  </pic:nvPicPr>
                  <pic:blipFill>
                    <a:blip r:embed="rId9"/>
                    <a:stretch>
                      <a:fillRect/>
                    </a:stretch>
                  </pic:blipFill>
                  <pic:spPr>
                    <a:xfrm>
                      <a:off x="0" y="0"/>
                      <a:ext cx="5669280" cy="1974693"/>
                    </a:xfrm>
                    <a:prstGeom prst="rect">
                      <a:avLst/>
                    </a:prstGeom>
                  </pic:spPr>
                </pic:pic>
              </a:graphicData>
            </a:graphic>
          </wp:inline>
        </w:drawing>
      </w:r>
    </w:p>
    <w:p w14:paraId="7E56BE59" w14:textId="77777777" w:rsidR="005227A2" w:rsidRDefault="00000000">
      <w:pPr>
        <w:jc w:val="center"/>
      </w:pPr>
      <w:r>
        <w:rPr>
          <w:i/>
          <w:sz w:val="18"/>
        </w:rPr>
        <w:t>Figure 3. Temporal partition schematic: synthetic records are confined to the pre-2025 training period, so the held-out test set is 100% real by construction.</w:t>
      </w:r>
    </w:p>
    <w:p>
      <w:pPr>
        <w:pStyle w:val="Heading2"/>
      </w:pPr>
      <w:r>
        <w:t>Supervisor Countersignature — Not-Computable Declaration</w:t>
      </w:r>
    </w:p>
    <w:p>
      <w:pPr/>
      <w:r>
        <w:t>SCOPE NOTE. An earlier version of this declaration also covered the number of participating sites. That is no longer part of it: the school identifier has been recovered from the schools and the site count is now reported exactly as 4 (M3, Table 1b), and leave-one-site-out validation is reported in R8. The declaration below is narrowed to the one quantity that remains not computable.</w:t>
        <w:br/>
        <w:br/>
        <w:t xml:space="preserve">The student-disjoint sensitivity re-score specified in M9 is declared NOT COMPUTABLE on these data. The declaration rests on three statements, each verified against the analysed register: (i) M9 — all 155 students observed in the test years also appear in the 2024 training partition, so 0 of the 248 test records belong to a student unseen in training; (ii) R8 — the re-score is therefore not computable and no substitute is reported in its place; (iii) M18 — the inference boundary is that the claim covers next-year dropout-risk prediction for students who already have prior-year register history in the studied schools, and does not cover new intakes. Every use of the term held-out in the Results section is governed by the definition given at its first use in R1 — held out by academic year and not by student — and the tables and figure captions that report on the partition carry that qualifier with them. Pending countersignature, no sentence in this manuscript describes the partition as held out from students unseen in training, and none reports performance on it without that qualifier in force.</w:t>
        <w:br/>
        <w:br/>
        <w:t>Countersigned: ______________________________   Dr Eric Opoku Osei</w:t>
        <w:br/>
        <w:br/>
        <w:t>Date: ______________________________</w:t>
      </w:r>
    </w:p>
    <w:sectPr w:rsidR="005227A2">
      <w:headerReference w:type="default" r:id="rId10"/>
      <w:footerReference w:type="default" r:id="rId11"/>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F9B33" w14:textId="77777777" w:rsidR="001E2BE1" w:rsidRDefault="001E2BE1">
      <w:r>
        <w:separator/>
      </w:r>
    </w:p>
  </w:endnote>
  <w:endnote w:type="continuationSeparator" w:id="0">
    <w:p w14:paraId="5767DC2A" w14:textId="77777777" w:rsidR="001E2BE1" w:rsidRDefault="001E2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AAFD" w14:textId="77777777" w:rsidR="002729B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5264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A8596" w14:textId="77777777" w:rsidR="001E2BE1" w:rsidRDefault="001E2BE1">
      <w:r>
        <w:separator/>
      </w:r>
    </w:p>
  </w:footnote>
  <w:footnote w:type="continuationSeparator" w:id="0">
    <w:p w14:paraId="09E2D473" w14:textId="77777777" w:rsidR="001E2BE1" w:rsidRDefault="001E2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1AD2" w14:textId="77777777" w:rsidR="002729BD" w:rsidRDefault="00000000">
    <w:pPr>
      <w:jc w:val="right"/>
    </w:pPr>
    <w:r>
      <w:rPr>
        <w:color w:val="808080"/>
        <w:sz w:val="16"/>
        <w:szCs w:val="16"/>
      </w:rPr>
      <w:t>CAN-DO Lab · ML Methods Section Template · Phase 1 Step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5F2D"/>
    <w:multiLevelType w:val="hybridMultilevel"/>
    <w:tmpl w:val="1DB4F794"/>
    <w:lvl w:ilvl="0" w:tplc="7442A040">
      <w:start w:val="1"/>
      <w:numFmt w:val="decimal"/>
      <w:lvlText w:val="%1."/>
      <w:lvlJc w:val="left"/>
      <w:pPr>
        <w:ind w:left="400" w:hanging="220"/>
      </w:pPr>
    </w:lvl>
    <w:lvl w:ilvl="1" w:tplc="327C2AE4">
      <w:numFmt w:val="decimal"/>
      <w:lvlText w:val=""/>
      <w:lvlJc w:val="left"/>
    </w:lvl>
    <w:lvl w:ilvl="2" w:tplc="B1FCB23A">
      <w:numFmt w:val="decimal"/>
      <w:lvlText w:val=""/>
      <w:lvlJc w:val="left"/>
    </w:lvl>
    <w:lvl w:ilvl="3" w:tplc="E39EE4C8">
      <w:numFmt w:val="decimal"/>
      <w:lvlText w:val=""/>
      <w:lvlJc w:val="left"/>
    </w:lvl>
    <w:lvl w:ilvl="4" w:tplc="850E0510">
      <w:numFmt w:val="decimal"/>
      <w:lvlText w:val=""/>
      <w:lvlJc w:val="left"/>
    </w:lvl>
    <w:lvl w:ilvl="5" w:tplc="8EF86CBC">
      <w:numFmt w:val="decimal"/>
      <w:lvlText w:val=""/>
      <w:lvlJc w:val="left"/>
    </w:lvl>
    <w:lvl w:ilvl="6" w:tplc="D4AEBCE6">
      <w:numFmt w:val="decimal"/>
      <w:lvlText w:val=""/>
      <w:lvlJc w:val="left"/>
    </w:lvl>
    <w:lvl w:ilvl="7" w:tplc="77404388">
      <w:numFmt w:val="decimal"/>
      <w:lvlText w:val=""/>
      <w:lvlJc w:val="left"/>
    </w:lvl>
    <w:lvl w:ilvl="8" w:tplc="22BE1480">
      <w:numFmt w:val="decimal"/>
      <w:lvlText w:val=""/>
      <w:lvlJc w:val="left"/>
    </w:lvl>
  </w:abstractNum>
  <w:abstractNum w:abstractNumId="1" w15:restartNumberingAfterBreak="0">
    <w:nsid w:val="14301D9E"/>
    <w:multiLevelType w:val="hybridMultilevel"/>
    <w:tmpl w:val="103AFEA2"/>
    <w:lvl w:ilvl="0" w:tplc="0A5AA20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A8E010A"/>
    <w:multiLevelType w:val="hybridMultilevel"/>
    <w:tmpl w:val="2A30E50E"/>
    <w:lvl w:ilvl="0" w:tplc="E07A504A">
      <w:start w:val="1"/>
      <w:numFmt w:val="bullet"/>
      <w:lvlText w:val="▪"/>
      <w:lvlJc w:val="left"/>
      <w:pPr>
        <w:ind w:left="400" w:hanging="200"/>
      </w:pPr>
    </w:lvl>
    <w:lvl w:ilvl="1" w:tplc="BABAEA9C">
      <w:start w:val="1"/>
      <w:numFmt w:val="bullet"/>
      <w:lvlText w:val="–"/>
      <w:lvlJc w:val="left"/>
      <w:pPr>
        <w:ind w:left="760" w:hanging="200"/>
      </w:pPr>
    </w:lvl>
    <w:lvl w:ilvl="2" w:tplc="F02A0CF6">
      <w:numFmt w:val="decimal"/>
      <w:lvlText w:val=""/>
      <w:lvlJc w:val="left"/>
    </w:lvl>
    <w:lvl w:ilvl="3" w:tplc="9B1CF76C">
      <w:numFmt w:val="decimal"/>
      <w:lvlText w:val=""/>
      <w:lvlJc w:val="left"/>
    </w:lvl>
    <w:lvl w:ilvl="4" w:tplc="A75861DE">
      <w:numFmt w:val="decimal"/>
      <w:lvlText w:val=""/>
      <w:lvlJc w:val="left"/>
    </w:lvl>
    <w:lvl w:ilvl="5" w:tplc="E758C7DE">
      <w:numFmt w:val="decimal"/>
      <w:lvlText w:val=""/>
      <w:lvlJc w:val="left"/>
    </w:lvl>
    <w:lvl w:ilvl="6" w:tplc="1674AE3E">
      <w:numFmt w:val="decimal"/>
      <w:lvlText w:val=""/>
      <w:lvlJc w:val="left"/>
    </w:lvl>
    <w:lvl w:ilvl="7" w:tplc="068213BE">
      <w:numFmt w:val="decimal"/>
      <w:lvlText w:val=""/>
      <w:lvlJc w:val="left"/>
    </w:lvl>
    <w:lvl w:ilvl="8" w:tplc="B366DC96">
      <w:numFmt w:val="decimal"/>
      <w:lvlText w:val=""/>
      <w:lvlJc w:val="left"/>
    </w:lvl>
  </w:abstractNum>
  <w:abstractNum w:abstractNumId="3" w15:restartNumberingAfterBreak="0">
    <w:nsid w:val="2AAC52CA"/>
    <w:multiLevelType w:val="hybridMultilevel"/>
    <w:tmpl w:val="AD0E6C5C"/>
    <w:lvl w:ilvl="0" w:tplc="7872102E">
      <w:start w:val="1"/>
      <w:numFmt w:val="bullet"/>
      <w:lvlText w:val="●"/>
      <w:lvlJc w:val="left"/>
      <w:pPr>
        <w:ind w:left="720" w:hanging="360"/>
      </w:pPr>
    </w:lvl>
    <w:lvl w:ilvl="1" w:tplc="27ECFFE0">
      <w:start w:val="1"/>
      <w:numFmt w:val="bullet"/>
      <w:lvlText w:val="○"/>
      <w:lvlJc w:val="left"/>
      <w:pPr>
        <w:ind w:left="1440" w:hanging="360"/>
      </w:pPr>
    </w:lvl>
    <w:lvl w:ilvl="2" w:tplc="EA266CB0">
      <w:start w:val="1"/>
      <w:numFmt w:val="bullet"/>
      <w:lvlText w:val="■"/>
      <w:lvlJc w:val="left"/>
      <w:pPr>
        <w:ind w:left="2160" w:hanging="360"/>
      </w:pPr>
    </w:lvl>
    <w:lvl w:ilvl="3" w:tplc="F4FE43C4">
      <w:start w:val="1"/>
      <w:numFmt w:val="bullet"/>
      <w:lvlText w:val="●"/>
      <w:lvlJc w:val="left"/>
      <w:pPr>
        <w:ind w:left="2880" w:hanging="360"/>
      </w:pPr>
    </w:lvl>
    <w:lvl w:ilvl="4" w:tplc="12941738">
      <w:start w:val="1"/>
      <w:numFmt w:val="bullet"/>
      <w:lvlText w:val="○"/>
      <w:lvlJc w:val="left"/>
      <w:pPr>
        <w:ind w:left="3600" w:hanging="360"/>
      </w:pPr>
    </w:lvl>
    <w:lvl w:ilvl="5" w:tplc="1E3AD6EE">
      <w:start w:val="1"/>
      <w:numFmt w:val="bullet"/>
      <w:lvlText w:val="■"/>
      <w:lvlJc w:val="left"/>
      <w:pPr>
        <w:ind w:left="4320" w:hanging="360"/>
      </w:pPr>
    </w:lvl>
    <w:lvl w:ilvl="6" w:tplc="E744A4F8">
      <w:start w:val="1"/>
      <w:numFmt w:val="bullet"/>
      <w:lvlText w:val="●"/>
      <w:lvlJc w:val="left"/>
      <w:pPr>
        <w:ind w:left="5040" w:hanging="360"/>
      </w:pPr>
    </w:lvl>
    <w:lvl w:ilvl="7" w:tplc="713A470C">
      <w:start w:val="1"/>
      <w:numFmt w:val="bullet"/>
      <w:lvlText w:val="●"/>
      <w:lvlJc w:val="left"/>
      <w:pPr>
        <w:ind w:left="5760" w:hanging="360"/>
      </w:pPr>
    </w:lvl>
    <w:lvl w:ilvl="8" w:tplc="1400908E">
      <w:start w:val="1"/>
      <w:numFmt w:val="bullet"/>
      <w:lvlText w:val="●"/>
      <w:lvlJc w:val="left"/>
      <w:pPr>
        <w:ind w:left="6480" w:hanging="360"/>
      </w:pPr>
    </w:lvl>
  </w:abstractNum>
  <w:num w:numId="1" w16cid:durableId="1626229159">
    <w:abstractNumId w:val="3"/>
    <w:lvlOverride w:ilvl="0">
      <w:startOverride w:val="1"/>
    </w:lvlOverride>
  </w:num>
  <w:num w:numId="2" w16cid:durableId="499924763">
    <w:abstractNumId w:val="0"/>
    <w:lvlOverride w:ilvl="0">
      <w:startOverride w:val="1"/>
    </w:lvlOverride>
  </w:num>
  <w:num w:numId="3" w16cid:durableId="172569107">
    <w:abstractNumId w:val="2"/>
    <w:lvlOverride w:ilvl="0">
      <w:startOverride w:val="1"/>
    </w:lvlOverride>
  </w:num>
  <w:num w:numId="4" w16cid:durableId="1931622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9BD"/>
    <w:rsid w:val="001D6F9C"/>
    <w:rsid w:val="001E2BE1"/>
    <w:rsid w:val="002729BD"/>
    <w:rsid w:val="003156D3"/>
    <w:rsid w:val="003353A0"/>
    <w:rsid w:val="003B09E4"/>
    <w:rsid w:val="003B0BA5"/>
    <w:rsid w:val="004C1FB2"/>
    <w:rsid w:val="004D4A91"/>
    <w:rsid w:val="0051621D"/>
    <w:rsid w:val="005227A2"/>
    <w:rsid w:val="00652644"/>
    <w:rsid w:val="008A72D4"/>
    <w:rsid w:val="008E1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6063"/>
  <w15:docId w15:val="{7D0AFE13-2C92-4161-994A-03D6B7A3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C1FB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5174</Words>
  <Characters>29495</Characters>
  <Application>Microsoft Office Word</Application>
  <DocSecurity>0</DocSecurity>
  <Lines>245</Lines>
  <Paragraphs>69</Paragraphs>
  <ScaleCrop>false</ScaleCrop>
  <Company/>
  <LinksUpToDate>false</LinksUpToDate>
  <CharactersWithSpaces>34600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Bartimeus</cp:lastModifiedBy>
  <cp:revision>3</cp:revision>
  <dcterms:created xsi:type="dcterms:W3CDTF">2026-08-07T20:02:00Z</dcterms:created>
  <dcterms:modified xsi:type="dcterms:W3CDTF">2026-08-07T20:11:00Z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1b5a0509-58d5-4b94-87c2-dea7ce96d13c</vt:lpwstr>
  </property>
</Properties>
</file>