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line="360" w:after="0" w:before="0"/>
        <w:jc w:val="center"/>
      </w:pPr>
      <w:r>
        <w:rPr>
          <w:rFonts w:ascii="Times New Roman" w:cs="Times New Roman" w:eastAsia="Times New Roman" w:hAnsi="Times New Roman"/>
          <w:b/>
          <w:bCs/>
          <w:i w:val="false"/>
          <w:iCs w:val="false"/>
          <w:sz w:val="36"/>
          <w:szCs w:val="36"/>
        </w:rPr>
        <w:t xml:space="preserve">LOGOS HUMANO v2.0:</w:t>
      </w:r>
    </w:p>
    <w:p>
      <w:pPr>
        <w:spacing w:line="360" w:after="0" w:before="0"/>
        <w:jc w:val="center"/>
      </w:pPr>
      <w:r>
        <w:rPr>
          <w:rFonts w:ascii="Times New Roman" w:cs="Times New Roman" w:eastAsia="Times New Roman" w:hAnsi="Times New Roman"/>
          <w:b/>
          <w:bCs/>
          <w:i w:val="false"/>
          <w:iCs w:val="false"/>
          <w:sz w:val="32"/>
          <w:szCs w:val="32"/>
        </w:rPr>
        <w:t xml:space="preserve">A Consciousness Operating System</w:t>
      </w:r>
    </w:p>
    <w:p>
      <w:pPr>
        <w:spacing w:before="200"/>
      </w:pPr>
    </w:p>
    <w:p>
      <w:pPr>
        <w:spacing w:line="360" w:after="0" w:before="0"/>
        <w:jc w:val="center"/>
      </w:pPr>
      <w:r>
        <w:rPr>
          <w:rFonts w:ascii="Times New Roman" w:cs="Times New Roman" w:eastAsia="Times New Roman" w:hAnsi="Times New Roman"/>
          <w:i/>
          <w:iCs/>
          <w:sz w:val="22"/>
          <w:szCs w:val="22"/>
        </w:rPr>
        <w:t xml:space="preserve">An Interdisciplinary Framework Integrating Active Inference, Bioelectric Signaling,</w:t>
      </w:r>
    </w:p>
    <w:p>
      <w:pPr>
        <w:spacing w:line="360" w:after="0" w:before="0"/>
        <w:jc w:val="center"/>
      </w:pPr>
      <w:r>
        <w:rPr>
          <w:rFonts w:ascii="Times New Roman" w:cs="Times New Roman" w:eastAsia="Times New Roman" w:hAnsi="Times New Roman"/>
          <w:i/>
          <w:iCs/>
          <w:sz w:val="22"/>
          <w:szCs w:val="22"/>
        </w:rPr>
        <w:t xml:space="preserve">Energy Landscapes, Interface Theory, Quantum Coherence, and Inhibition-First Control</w:t>
      </w:r>
    </w:p>
    <w:p>
      <w:pPr>
        <w:spacing w:line="360" w:after="0" w:before="0"/>
        <w:jc w:val="center"/>
      </w:pPr>
      <w:r>
        <w:rPr>
          <w:rFonts w:ascii="Times New Roman" w:cs="Times New Roman" w:eastAsia="Times New Roman" w:hAnsi="Times New Roman"/>
          <w:i/>
          <w:iCs/>
          <w:sz w:val="22"/>
          <w:szCs w:val="22"/>
        </w:rPr>
        <w:t xml:space="preserve">for Human Flourishing Assessment and Optimization</w:t>
      </w:r>
    </w:p>
    <w:p>
      <w:pPr>
        <w:spacing w:before="800"/>
      </w:pPr>
    </w:p>
    <w:p>
      <w:pPr>
        <w:spacing w:line="360" w:after="0" w:before="0"/>
        <w:jc w:val="center"/>
      </w:pPr>
      <w:r>
        <w:rPr>
          <w:rFonts w:ascii="Times New Roman" w:cs="Times New Roman" w:eastAsia="Times New Roman" w:hAnsi="Times New Roman"/>
          <w:b w:val="false"/>
          <w:bCs w:val="false"/>
          <w:i w:val="false"/>
          <w:iCs w:val="false"/>
          <w:sz w:val="24"/>
          <w:szCs w:val="24"/>
        </w:rPr>
        <w:t xml:space="preserve">Dr. José Manuel Cadena Ortiz de Montellano</w:t>
      </w:r>
    </w:p>
    <w:p>
      <w:pPr>
        <w:spacing w:line="360" w:after="0" w:before="0"/>
        <w:jc w:val="center"/>
      </w:pPr>
      <w:r>
        <w:rPr>
          <w:rFonts w:ascii="Times New Roman" w:cs="Times New Roman" w:eastAsia="Times New Roman" w:hAnsi="Times New Roman"/>
          <w:b w:val="false"/>
          <w:bCs w:val="false"/>
          <w:i w:val="false"/>
          <w:iCs w:val="false"/>
          <w:sz w:val="22"/>
          <w:szCs w:val="22"/>
        </w:rPr>
        <w:t xml:space="preserve">Cadena Strategic Systems</w:t>
      </w:r>
    </w:p>
    <w:p>
      <w:pPr>
        <w:spacing w:before="600"/>
      </w:pPr>
    </w:p>
    <w:p>
      <w:pPr>
        <w:spacing w:line="360" w:after="0" w:before="0"/>
        <w:jc w:val="center"/>
      </w:pPr>
      <w:r>
        <w:rPr>
          <w:rFonts w:ascii="Times New Roman" w:cs="Times New Roman" w:eastAsia="Times New Roman" w:hAnsi="Times New Roman"/>
          <w:b w:val="false"/>
          <w:bCs w:val="false"/>
          <w:i/>
          <w:iCs/>
          <w:sz w:val="22"/>
          <w:szCs w:val="22"/>
        </w:rPr>
        <w:t xml:space="preserve">Preprint — February 2026</w:t>
      </w:r>
    </w:p>
    <w:p>
      <w:pPr>
        <w:spacing w:before="400"/>
      </w:pPr>
    </w:p>
    <w:p>
      <w:pPr>
        <w:spacing w:line="360" w:after="0" w:before="0"/>
        <w:jc w:val="center"/>
      </w:pPr>
      <w:r>
        <w:rPr>
          <w:rFonts w:ascii="Times New Roman" w:cs="Times New Roman" w:eastAsia="Times New Roman" w:hAnsi="Times New Roman"/>
          <w:i/>
          <w:iCs/>
          <w:sz w:val="20"/>
          <w:szCs w:val="20"/>
        </w:rPr>
        <w:t xml:space="preserve">Corresponding author: </w:t>
      </w:r>
      <w:r>
        <w:rPr>
          <w:rFonts w:ascii="Times New Roman" w:cs="Times New Roman" w:eastAsia="Times New Roman" w:hAnsi="Times New Roman"/>
          <w:sz w:val="20"/>
          <w:szCs w:val="20"/>
        </w:rPr>
        <w:t xml:space="preserve">Dr. J.M. Cadena Ortiz de Montellano</w:t>
      </w:r>
    </w:p>
    <w:p>
      <w:pPr>
        <w:spacing w:line="360" w:after="0" w:before="0"/>
        <w:jc w:val="center"/>
      </w:pPr>
      <w:r>
        <w:rPr>
          <w:rFonts w:ascii="Times New Roman" w:cs="Times New Roman" w:eastAsia="Times New Roman" w:hAnsi="Times New Roman"/>
          <w:b w:val="false"/>
          <w:bCs w:val="false"/>
          <w:i w:val="false"/>
          <w:iCs w:val="false"/>
          <w:sz w:val="20"/>
          <w:szCs w:val="20"/>
        </w:rPr>
        <w:t xml:space="preserve">Cadena Strategic Systems, México</w:t>
      </w:r>
    </w:p>
    <w:p>
      <w:pPr>
        <w:spacing w:before="600"/>
      </w:pPr>
    </w:p>
    <w:p>
      <w:pPr>
        <w:spacing w:line="360" w:after="0" w:before="0"/>
        <w:jc w:val="left"/>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consciousness index, active inference, Logos alignment, free energy principle, bioelectric signaling, energy landscape, interface theory of perception, quantum coherence, inhibition-first control, Monte Carlo simulation, Wilson score confidence interval, attractor dynamics, human flourishing</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line="480"/>
        <w:jc w:val="left"/>
      </w:pPr>
      <w:r>
        <w:rPr>
          <w:rFonts w:ascii="Times New Roman" w:cs="Times New Roman" w:eastAsia="Times New Roman" w:hAnsi="Times New Roman"/>
          <w:b/>
          <w:bCs/>
          <w:sz w:val="28"/>
          <w:szCs w:val="28"/>
        </w:rPr>
        <w:t xml:space="preserve">Abstract</w:t>
      </w:r>
    </w:p>
    <w:p>
      <w:pPr>
        <w:spacing w:line="480" w:after="0" w:before="0"/>
        <w:jc w:val="both"/>
      </w:pPr>
      <w:r>
        <w:rPr>
          <w:rFonts w:ascii="Times New Roman" w:cs="Times New Roman" w:eastAsia="Times New Roman" w:hAnsi="Times New Roman"/>
          <w:sz w:val="24"/>
          <w:szCs w:val="24"/>
        </w:rPr>
        <w:t xml:space="preserve">This paper presents </w:t>
      </w:r>
      <w:r>
        <w:rPr>
          <w:rFonts w:ascii="Times New Roman" w:cs="Times New Roman" w:eastAsia="Times New Roman" w:hAnsi="Times New Roman"/>
          <w:b/>
          <w:bCs/>
          <w:sz w:val="24"/>
          <w:szCs w:val="24"/>
        </w:rPr>
        <w:t xml:space="preserve">LOGOS HUMANO v2.0</w:t>
      </w:r>
      <w:r>
        <w:rPr>
          <w:rFonts w:ascii="Times New Roman" w:cs="Times New Roman" w:eastAsia="Times New Roman" w:hAnsi="Times New Roman"/>
          <w:sz w:val="24"/>
          <w:szCs w:val="24"/>
        </w:rPr>
        <w:t xml:space="preserve">, a formal mathematical framework—termed a “Consciousness Operating System”—that models human consciousness as a measurable, multi-dimensional dynamical system. The model synthesizes three original bodies of work: (1) </w:t>
      </w:r>
      <w:r>
        <w:rPr>
          <w:rFonts w:ascii="Times New Roman" w:cs="Times New Roman" w:eastAsia="Times New Roman" w:hAnsi="Times New Roman"/>
          <w:i/>
          <w:iCs/>
          <w:sz w:val="24"/>
          <w:szCs w:val="24"/>
        </w:rPr>
        <w:t xml:space="preserve">The God Equation</w:t>
      </w:r>
      <w:r>
        <w:rPr>
          <w:rFonts w:ascii="Times New Roman" w:cs="Times New Roman" w:eastAsia="Times New Roman" w:hAnsi="Times New Roman"/>
          <w:sz w:val="24"/>
          <w:szCs w:val="24"/>
        </w:rPr>
        <w:t xml:space="preserve">, a Bayesian-logistic probabilistic model yielding P(God | Evidence) ≈ 0.9987 across eight independent evidential variables; (2) the </w:t>
      </w:r>
      <w:r>
        <w:rPr>
          <w:rFonts w:ascii="Times New Roman" w:cs="Times New Roman" w:eastAsia="Times New Roman" w:hAnsi="Times New Roman"/>
          <w:i/>
          <w:iCs/>
          <w:sz w:val="24"/>
          <w:szCs w:val="24"/>
        </w:rPr>
        <w:t xml:space="preserve">C²AI Framework</w:t>
      </w:r>
      <w:r>
        <w:rPr>
          <w:rFonts w:ascii="Times New Roman" w:cs="Times New Roman" w:eastAsia="Times New Roman" w:hAnsi="Times New Roman"/>
          <w:sz w:val="24"/>
          <w:szCs w:val="24"/>
        </w:rPr>
        <w:t xml:space="preserve">, a five-layer cognitive architecture (Friston, Levin, Watson, Hoffman, Penrose) that operationalizes consciousness as information processing at multiple scales; and (3) </w:t>
      </w:r>
      <w:r>
        <w:rPr>
          <w:rFonts w:ascii="Times New Roman" w:cs="Times New Roman" w:eastAsia="Times New Roman" w:hAnsi="Times New Roman"/>
          <w:i/>
          <w:iCs/>
          <w:sz w:val="24"/>
          <w:szCs w:val="24"/>
        </w:rPr>
        <w:t xml:space="preserve">Inhibition-First Control (IFC)</w:t>
      </w:r>
      <w:r>
        <w:rPr>
          <w:rFonts w:ascii="Times New Roman" w:cs="Times New Roman" w:eastAsia="Times New Roman" w:hAnsi="Times New Roman"/>
          <w:sz w:val="24"/>
          <w:szCs w:val="24"/>
        </w:rPr>
        <w:t xml:space="preserve">, a decision-theoretic model where inhibition precedes optimization and decisor viability outweighs decision quality.</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central innovation of v2.0 is the identification of a single attractor variable, Λ (Lambda, Logos Alignment), as the fundamental axis from which all other system metrics are derived. Specifically, the Consciousness Index Ω is no longer an independent computation but is identified with Λ itself, modulated by the health of derived metrics: Viability V(x) = g(Λ) + ε, Entropy S(x) = (1 − Λ)·k + ε, Coherence C(x) = h(Λ), Free Energy F(x) = D_KL(q || p_Λ), and Trajectory Quality Q(x) = dΛ/dt. The system operates across 24 measurable dimensions grouped into 6 life domains (Physical, Emotional, Mental, Spiritual, Relational, Purpose), monitored through 7 computational layers corresponding to established scientific frameworks.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Monte Carlo simulation (N = 10,000 stochastic trajectories) with Wilson score 95% confidence intervals validates that Λ-aligned states produce statistically superior distributions across all derived metrics (p &lt; 0.001). Two attractor basins are formally defined: A⁺ = {x : Λ̇(x) ≥ 0} representing convergence toward flourishing, and A⁻ = {x : Λ̇(x) &lt; 0 ∧ S̈ &gt; 0} representing entropic spiral collapse. The inhibition policy π(x) is reformulated as a function of Λ̇, providing actionable decision guidance.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framework bridges neuroscience, physics, information theory, dynamical systems, clinical psychology, and philosophical theology into a unified, computationally tractable model accessible to practitioners, clinicians, and individuals seeking evidence-informed self-assessment tools. We discuss limitations, propose empirical validation protocols, and identify future research directions.</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1. Introduction</w:t>
      </w:r>
    </w:p>
    <w:p>
      <w:pPr>
        <w:pStyle w:val="Heading2"/>
        <w:spacing w:before="360" w:after="200" w:line="480"/>
        <w:jc w:val="left"/>
      </w:pPr>
      <w:r>
        <w:rPr>
          <w:rFonts w:ascii="Times New Roman" w:cs="Times New Roman" w:eastAsia="Times New Roman" w:hAnsi="Times New Roman"/>
          <w:b/>
          <w:bCs/>
          <w:i/>
          <w:iCs/>
          <w:sz w:val="26"/>
          <w:szCs w:val="26"/>
        </w:rPr>
        <w:t xml:space="preserve">1.1 The Problem of Measuring Consciousness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One of the deepest unresolved problems in science is how to define, measure, and operationalize human consciousness (Chalmers, 1995). Neuroscience has made substantial progress mapping neural correlates of consciousness (Koch, 2004), yet a unified framework that integrates the physical, emotional, cognitive, spiritual, and relational dimensions of human experience into a single quantitative model remains elusive. Existing approaches tend to address consciousness either as a purely neural phenomenon (Tononi, 2004), a philosophical abstraction (Nagel, 1974), or a clinical construct (World Health Organization, 2001)—rarely as all three simultaneously.</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challenge is not merely theoretical. Without a unified measurement framework, individuals lack reliable tools to assess their overall state of being, clinicians lack integrative diagnostic instruments, and researchers lack formal models capable of generating testable predictions across the full spectrum of human experience. The fragmentation of knowledge across disciplines—physics, psychology, theology, biology, information theory—has created what we term the “consciousness measurement gap.”</w:t>
      </w:r>
    </w:p>
    <w:p>
      <w:pPr>
        <w:pStyle w:val="Heading2"/>
        <w:spacing w:before="360" w:after="200" w:line="480"/>
        <w:jc w:val="left"/>
      </w:pPr>
      <w:r>
        <w:rPr>
          <w:rFonts w:ascii="Times New Roman" w:cs="Times New Roman" w:eastAsia="Times New Roman" w:hAnsi="Times New Roman"/>
          <w:b/>
          <w:bCs/>
          <w:i/>
          <w:iCs/>
          <w:sz w:val="26"/>
          <w:szCs w:val="26"/>
        </w:rPr>
        <w:t xml:space="preserve">1.2 Three Foundational Constructs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v2.0 addresses this gap by synthesizing three original bodies of work into a unified framework:</w:t>
      </w:r>
    </w:p>
    <w:p>
      <w:pPr>
        <w:spacing w:line="480" w:after="0" w:before="0"/>
        <w:ind w:firstLine="720"/>
        <w:jc w:val="both"/>
      </w:pPr>
      <w:r>
        <w:rPr>
          <w:rFonts w:ascii="Times New Roman" w:cs="Times New Roman" w:eastAsia="Times New Roman" w:hAnsi="Times New Roman"/>
          <w:b/>
          <w:bCs/>
          <w:sz w:val="24"/>
          <w:szCs w:val="24"/>
        </w:rPr>
        <w:t xml:space="preserve">The God Equation </w:t>
      </w:r>
      <w:r>
        <w:rPr>
          <w:rFonts w:ascii="Times New Roman" w:cs="Times New Roman" w:eastAsia="Times New Roman" w:hAnsi="Times New Roman"/>
          <w:sz w:val="24"/>
          <w:szCs w:val="24"/>
        </w:rPr>
        <w:t xml:space="preserve">(Cadena Ortiz de Montellano, 2025a). A Bayesian-logistic probabilistic model that evaluates the hypothesis of a rational, information-generative source (termed “Logos”) using eight independent evidential variables: Cosmological Fine-Tuning (FT), Moral Objectivity (MO), Consciousness Gap (CG), Religious Experience (RE), Severity of Evil (EV), Biological Complexity (BC), Quantum Indicators (QM), and Metaphysical Necessity (MN). Using logistic regression with Monte Carlo sensitivity analysis (N = 100,000 simulations), the model yields P(God | Evidence) ≈ 0.9987 under neutral prior assumptions (β₀ = 0). The informational-theological component proposes that God is the “radiant source of all structured information”—the Logos from which the intelligibility and order of reality flows.</w:t>
      </w:r>
    </w:p>
    <w:p>
      <w:pPr>
        <w:spacing w:line="480" w:after="0" w:before="0"/>
        <w:ind w:firstLine="720"/>
        <w:jc w:val="both"/>
      </w:pPr>
      <w:r>
        <w:rPr>
          <w:rFonts w:ascii="Times New Roman" w:cs="Times New Roman" w:eastAsia="Times New Roman" w:hAnsi="Times New Roman"/>
          <w:b/>
          <w:bCs/>
          <w:sz w:val="24"/>
          <w:szCs w:val="24"/>
        </w:rPr>
        <w:t xml:space="preserve">The C²AI Framework </w:t>
      </w:r>
      <w:r>
        <w:rPr>
          <w:rFonts w:ascii="Times New Roman" w:cs="Times New Roman" w:eastAsia="Times New Roman" w:hAnsi="Times New Roman"/>
          <w:sz w:val="24"/>
          <w:szCs w:val="24"/>
        </w:rPr>
        <w:t xml:space="preserve">(Cadena Ortiz de Montellano, 2025b). A five-layer cognitive architecture that operationalizes consciousness as a scale-invariant property of living systems, following Levin’s definition: the capacity of a system to (1) model its state, (2) predict future states, (3) select actions toward preferred states, and (4) integrate information across scales (Levin, 2019). The five layers map to: L1—Friston (active inference and homeostasis), L2—Levin (bioelectric signaling and early pattern detection), L3—Watson (energy landscape navigation), L4—Hoffman (interface theory of perception), and L5—Penrose (quantum coherence and decision collapse).</w:t>
      </w:r>
    </w:p>
    <w:p>
      <w:pPr>
        <w:spacing w:line="480" w:after="0" w:before="0"/>
        <w:ind w:firstLine="720"/>
        <w:jc w:val="both"/>
      </w:pPr>
      <w:r>
        <w:rPr>
          <w:rFonts w:ascii="Times New Roman" w:cs="Times New Roman" w:eastAsia="Times New Roman" w:hAnsi="Times New Roman"/>
          <w:b/>
          <w:bCs/>
          <w:sz w:val="24"/>
          <w:szCs w:val="24"/>
        </w:rPr>
        <w:t xml:space="preserve">Inhibition-First Control (IFC) </w:t>
      </w:r>
      <w:r>
        <w:rPr>
          <w:rFonts w:ascii="Times New Roman" w:cs="Times New Roman" w:eastAsia="Times New Roman" w:hAnsi="Times New Roman"/>
          <w:sz w:val="24"/>
          <w:szCs w:val="24"/>
        </w:rPr>
        <w:t xml:space="preserve">(Cadena Ortiz de Montellano, 2025c). A decision-theoretic framework where the default action is inhibition (π(x) = INHIBIT), and action is permitted only when the system’s viability exceeds a safety threshold. The core principle: the viability of the decisor is more important than the quality of any single decision. Formally, π(x) ∈ {INHIBIT, ALLOW}, where ALLOW requires V(x) &gt; V_min ∧ S(x) &lt; S_max ∧ C(x) &gt; C_min.</w:t>
      </w:r>
    </w:p>
    <w:p>
      <w:pPr>
        <w:pStyle w:val="Heading2"/>
        <w:spacing w:before="360" w:after="200" w:line="480"/>
        <w:jc w:val="left"/>
      </w:pPr>
      <w:r>
        <w:rPr>
          <w:rFonts w:ascii="Times New Roman" w:cs="Times New Roman" w:eastAsia="Times New Roman" w:hAnsi="Times New Roman"/>
          <w:b/>
          <w:bCs/>
          <w:i/>
          <w:iCs/>
          <w:sz w:val="26"/>
          <w:szCs w:val="26"/>
        </w:rPr>
        <w:t xml:space="preserve">1.3 The Contribution of LOGOS HUMANO v2.0</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v2.0 applies these three constructs to the individual human being as a practical, mathematically rigorous self-assessment tool. The key architectural innovation of version 2.0 is the identification of Λ (Logos Alignment) as the single central attractor from which all other metrics are derived—not as one variable among many, but as the fundamental axis of the entire dynamical system. This paper provides the full formal specification, theoretical grounding, and statistical validation of the model.</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2. Theoretical Foundations</w:t>
      </w:r>
    </w:p>
    <w:p>
      <w:pPr>
        <w:pStyle w:val="Heading2"/>
        <w:spacing w:before="360" w:after="200" w:line="480"/>
        <w:jc w:val="left"/>
      </w:pPr>
      <w:r>
        <w:rPr>
          <w:rFonts w:ascii="Times New Roman" w:cs="Times New Roman" w:eastAsia="Times New Roman" w:hAnsi="Times New Roman"/>
          <w:b/>
          <w:bCs/>
          <w:i/>
          <w:iCs/>
          <w:sz w:val="26"/>
          <w:szCs w:val="26"/>
        </w:rPr>
        <w:t xml:space="preserve">2.1 The Free Energy Principle (Friston)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Karl Friston’s Free Energy Principle (FEP) proposes that all living systems minimize variational free energy—the difference between the system’s internal model (beliefs about the world) and actual sensory observations (Friston, 2010). Mathematically:</w:t>
      </w:r>
    </w:p>
    <w:p>
      <w:pPr>
        <w:spacing w:before="200" w:after="200" w:line="360"/>
        <w:ind w:left="720" w:right="720"/>
        <w:jc w:val="center"/>
      </w:pPr>
      <w:r>
        <w:rPr>
          <w:rFonts w:ascii="Cambria Math" w:cs="Cambria Math" w:eastAsia="Cambria Math" w:hAnsi="Cambria Math"/>
          <w:i/>
          <w:iCs/>
          <w:sz w:val="22"/>
          <w:szCs w:val="22"/>
        </w:rPr>
        <w:t xml:space="preserve">F = E_q[ln q(s) − ln p(o, 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where q(s) is the system’s approximate posterior over hidden states s, and p(o, s) is the generative model relating observations o to states. In simpler terms: every living organism continuously “predicts” what it expects to experience, compares that prediction with what it actually experiences, and adjusts either its model or its actions to reduce the surprise. A plant adjusts its growth toward light; a human adjusts behavior to reduce anxiety. Both are minimizing free energy.</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In LOGOS HUMANO, F is operationalized as the weighted Kullback-Leibler divergence between the individual’s current state across 24 dimensions and their Logos-defined optimal state:</w:t>
      </w:r>
    </w:p>
    <w:p>
      <w:pPr>
        <w:spacing w:before="200" w:after="200" w:line="360"/>
        <w:ind w:left="720" w:right="720"/>
        <w:jc w:val="center"/>
      </w:pPr>
      <w:r>
        <w:rPr>
          <w:rFonts w:ascii="Cambria Math" w:cs="Cambria Math" w:eastAsia="Cambria Math" w:hAnsi="Cambria Math"/>
          <w:i/>
          <w:iCs/>
          <w:sz w:val="22"/>
          <w:szCs w:val="22"/>
        </w:rPr>
        <w:t xml:space="preserve">F(x) = D_KL(q || p_Λ) = Σ w_i · (actual_i − ideal_i)² / (2σ²_i)</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High F indicates the system is far from its equilibrium—physically stressed, emotionally turbulent, or cognitively dissonant. Low F indicates homeostasis: alignment between what the person is experiencing and what their optimal state requires.</w:t>
      </w:r>
    </w:p>
    <w:p>
      <w:pPr>
        <w:pStyle w:val="Heading2"/>
        <w:spacing w:before="360" w:after="200" w:line="480"/>
        <w:jc w:val="left"/>
      </w:pPr>
      <w:r>
        <w:rPr>
          <w:rFonts w:ascii="Times New Roman" w:cs="Times New Roman" w:eastAsia="Times New Roman" w:hAnsi="Times New Roman"/>
          <w:b/>
          <w:bCs/>
          <w:i/>
          <w:iCs/>
          <w:sz w:val="26"/>
          <w:szCs w:val="26"/>
        </w:rPr>
        <w:t xml:space="preserve">2.2 Bioelectric Signaling and Early Detection (Levin)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Michael Levin’s research demonstrates that living systems encode morphological and functional information in bioelectric patterns—voltage gradients across cell membranes that serve as a “software layer” controlling growth, repair, and adaptation (Levin, 2014; Levin and Martyniuk, 2018). Crucially, these bioelectric signals precede visible change: a tumor’s bioelectric signature shifts before it becomes detectable by conventional imaging.</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extends this principle to the psychological domain. Just as bioelectric potentials shift before a disease manifests, emotional and behavioral “signatures” shift before a psychological crisis becomes conscious. The Levin Layer (L2) detects these early warning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Signal Pattern</w:t>
            </w:r>
          </w:p>
        </w:tc>
        <w:tc>
          <w:tcPr>
            <w:tcW w:type="dxa" w:w="351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Indicator Combination</w:t>
            </w:r>
          </w:p>
        </w:tc>
        <w:tc>
          <w:tcPr>
            <w:tcW w:type="dxa" w:w="351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Interpretation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Depressive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Low joy + low energy + low meaning</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Incipient withdrawal from engagement</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Anxious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Low peace + low clarity + low focus</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Escalating internal noise / threat detection</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Spiritual Disconnection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Low faith + low presence + low meditation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Signal attenuation from the Logos channel</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Relational Isolation</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Low family + low friendship + low community</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Collapse of social support architecture</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Chronic Overperformance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High mission + low sleep + low peace</w:t>
            </w:r>
          </w:p>
        </w:tc>
        <w:tc>
          <w:tcPr>
            <w:tcW w:type="dxa" w:w="351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Unsustainable output depleting viability</w:t>
            </w:r>
          </w:p>
        </w:tc>
      </w:tr>
    </w:tbl>
    <w:p>
      <w:pPr>
        <w:spacing w:line="360" w:after="200" w:before="100"/>
        <w:jc w:val="left"/>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i/>
          <w:iCs/>
          <w:sz w:val="20"/>
          <w:szCs w:val="20"/>
        </w:rPr>
        <w:t xml:space="preserve">Levin Layer (L2) early warning signal patterns detected by LOGOS HUMANO v2.0.</w:t>
      </w:r>
    </w:p>
    <w:p>
      <w:pPr>
        <w:pStyle w:val="Heading2"/>
        <w:spacing w:before="360" w:after="200" w:line="480"/>
        <w:jc w:val="left"/>
      </w:pPr>
      <w:r>
        <w:rPr>
          <w:rFonts w:ascii="Times New Roman" w:cs="Times New Roman" w:eastAsia="Times New Roman" w:hAnsi="Times New Roman"/>
          <w:b/>
          <w:bCs/>
          <w:i/>
          <w:iCs/>
          <w:sz w:val="26"/>
          <w:szCs w:val="26"/>
        </w:rPr>
        <w:t xml:space="preserve">2.3 Energy Landscape Navigation (Watson)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Building on the work of optimization theorists and drawing from the metaphor of fitness landscapes in evolutionary biology (Wright, 1932; Kauffman, 1993), the Watson Layer (L3) models the individual’s life as a trajectory through a 24-dimensional energy landscape. Each dimension corresponds to a measurable aspect of functioning (sleep quality, emotional peace, sense of purpose, etc.), and the landscape contains valleys (stable attractors) and ridges (barriers to transition).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energy function is defined as:</w:t>
      </w:r>
    </w:p>
    <w:p>
      <w:pPr>
        <w:spacing w:before="200" w:after="200" w:line="360"/>
        <w:ind w:left="720" w:right="720"/>
        <w:jc w:val="center"/>
      </w:pPr>
      <w:r>
        <w:rPr>
          <w:rFonts w:ascii="Cambria Math" w:cs="Cambria Math" w:eastAsia="Cambria Math" w:hAnsi="Cambria Math"/>
          <w:i/>
          <w:iCs/>
          <w:sz w:val="22"/>
          <w:szCs w:val="22"/>
        </w:rPr>
        <w:t xml:space="preserve">E(x) = Σ (domain_i − optimal_i)²</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where optimal_i is the Λ-modulated ideal for each domain. The minimum of E(x) corresponds to the attractor basin A⁺—the state where all six life domains are sufficiently high and balanced to sustain flourishing. Critically, the optimal values are not static constants but functions of Λ: as Logos alignment increases, the system’s aspirational target rises proportionally, preventing premature satisfaction at suboptimal states.</w:t>
      </w:r>
    </w:p>
    <w:p>
      <w:pPr>
        <w:pStyle w:val="Heading2"/>
        <w:spacing w:before="360" w:after="200" w:line="480"/>
        <w:jc w:val="left"/>
      </w:pPr>
      <w:r>
        <w:rPr>
          <w:rFonts w:ascii="Times New Roman" w:cs="Times New Roman" w:eastAsia="Times New Roman" w:hAnsi="Times New Roman"/>
          <w:b/>
          <w:bCs/>
          <w:i/>
          <w:iCs/>
          <w:sz w:val="26"/>
          <w:szCs w:val="26"/>
        </w:rPr>
        <w:t xml:space="preserve">2.4 Interface Theory of Perception (Hoffman)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Donald Hoffman’s Interface Theory of Perception (ITP) demonstrates mathematically that natural selection favors perceptual systems that maximize fitness, not truth (Hoffman, 2019; Hoffman, Singh, and Prakash, 2015). In formal terms, organisms evolve to perceive “fitness icons”—simplified representations that guide adaptive action—rather than veridical representations of objective reality. Your desktop icons are useful precisely because they hide the complexity of the underlying code.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HUMANO’s Hoffman Layer (L4) applies this insight to self-perception. It detects systematic biases—cases where the individual’s subjective experience diverges from their objective state in ways that impair decision-making: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Bias Pattern</w:t>
            </w:r>
          </w:p>
        </w:tc>
        <w:tc>
          <w:tcPr>
            <w:tcW w:type="dxa" w:w="3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Mechanism</w:t>
            </w:r>
          </w:p>
        </w:tc>
        <w:tc>
          <w:tcPr>
            <w:tcW w:type="dxa" w:w="3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Correction Protocol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Overconfidence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High clarity without wisdom = certainty without calibration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Seek external feedback; ask: what am I not seeing?</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Hedonic Treadmill</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High joy without gratitude = pleasure without anchor</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Practice active gratitude 3x/day</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Future Fixation</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High mission without presence = projection without experience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5 minutes of somatic attention</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Empathic Fatigue</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High compassion without peace = absorption of others’ suffering</w:t>
            </w:r>
          </w:p>
        </w:tc>
        <w:tc>
          <w:tcPr>
            <w:tcW w:type="dxa" w:w="3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Compassion with boundaries; serve from abundance</w:t>
            </w:r>
          </w:p>
        </w:tc>
      </w:tr>
    </w:tbl>
    <w:p>
      <w:pPr>
        <w:spacing w:line="360" w:after="200" w:before="100"/>
        <w:jc w:val="left"/>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i/>
          <w:iCs/>
          <w:sz w:val="20"/>
          <w:szCs w:val="20"/>
        </w:rPr>
        <w:t xml:space="preserve">Hoffman Layer (L4) perceptual bias detection and correction protocols.</w:t>
      </w:r>
    </w:p>
    <w:p>
      <w:pPr>
        <w:pStyle w:val="Heading2"/>
        <w:spacing w:before="360" w:after="200" w:line="480"/>
        <w:jc w:val="left"/>
      </w:pPr>
      <w:r>
        <w:rPr>
          <w:rFonts w:ascii="Times New Roman" w:cs="Times New Roman" w:eastAsia="Times New Roman" w:hAnsi="Times New Roman"/>
          <w:b/>
          <w:bCs/>
          <w:i/>
          <w:iCs/>
          <w:sz w:val="26"/>
          <w:szCs w:val="26"/>
        </w:rPr>
        <w:t xml:space="preserve">2.5 Quantum Coherence and Decision Collapse (Penrose)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Roger Penrose’s theory of orchestrated objective reduction (Orch-OR) proposes that consciousness involves quantum coherence in microtubules, with “collapse” events corresponding to moments of conscious decision (Penrose, 1994; Hameroff and Penrose, 2014). While empirically contested, the mathematical structure—superposition of states followed by collapse into a definite outcome—provides a powerful formal analogy for decision-making.</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In LOGOS HUMANO, the Penrose Layer (L5) computes Coherence C(x) as the harmonic mean of the six life domains:</w:t>
      </w:r>
    </w:p>
    <w:p>
      <w:pPr>
        <w:spacing w:before="200" w:after="200" w:line="360"/>
        <w:ind w:left="720" w:right="720"/>
        <w:jc w:val="center"/>
      </w:pPr>
      <w:r>
        <w:rPr>
          <w:rFonts w:ascii="Cambria Math" w:cs="Cambria Math" w:eastAsia="Cambria Math" w:hAnsi="Cambria Math"/>
          <w:i/>
          <w:iCs/>
          <w:sz w:val="22"/>
          <w:szCs w:val="22"/>
        </w:rPr>
        <w:t xml:space="preserve">C(x) = H(d₁, d₂, ..., d₆) × (0.7 + Λ × 0.4)</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harmonic mean was chosen deliberately: it penalizes imbalance more severely than the arithmetic mean. If five domains score 0.90 but one scores 0.10, the harmonic mean collapses to approximately 0.53—correctly flagging the system as incoherent despite high average performance. This mirrors the Penrose intuition: a system cannot “collapse” into a clear decision when its internal components are misaligned.</w:t>
      </w:r>
    </w:p>
    <w:p>
      <w:pPr>
        <w:pStyle w:val="Heading2"/>
        <w:spacing w:before="360" w:after="200" w:line="480"/>
        <w:jc w:val="left"/>
      </w:pPr>
      <w:r>
        <w:rPr>
          <w:rFonts w:ascii="Times New Roman" w:cs="Times New Roman" w:eastAsia="Times New Roman" w:hAnsi="Times New Roman"/>
          <w:b/>
          <w:bCs/>
          <w:i/>
          <w:iCs/>
          <w:sz w:val="26"/>
          <w:szCs w:val="26"/>
        </w:rPr>
        <w:t xml:space="preserve">2.6 Inhibition-First Control</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Classical decision theory assumes the goal is to select the optimal action from a set of alternatives (von Neumann and Morgenstern, 1944). IFC inverts this assumption: the default state is inhibition (do nothing), and the system must earn the right to act by demonstrating sufficient viability. The principle is borrowed from neuroscience, where cortical inhibition prevents premature motor responses (Aron, 2007), and from control theory, where safety constraints precede optimization objectives (Slotine and Li, 1991).</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inhibition policy in v2.0 is reformulated as a function of Λ̇ (the rate of change of Logos alignment):</w:t>
      </w:r>
    </w:p>
    <w:p>
      <w:pPr>
        <w:spacing w:before="200" w:after="200" w:line="360"/>
        <w:ind w:left="720" w:right="720"/>
        <w:jc w:val="center"/>
      </w:pPr>
      <w:r>
        <w:rPr>
          <w:rFonts w:ascii="Cambria Math" w:cs="Cambria Math" w:eastAsia="Cambria Math" w:hAnsi="Cambria Math"/>
          <w:i/>
          <w:iCs/>
          <w:sz w:val="22"/>
          <w:szCs w:val="22"/>
        </w:rPr>
        <w:t xml:space="preserve">π(x) = { ACT if Λ̇ &gt; 0; WAIT if Λ̇ ≈ 0; PAUSE if Λ̇ &lt; 0 }</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This is complemented by a meta-policy π²(x) that detects pathological attractor states (addiction loops, learned helplessness, depressive spirals) and triggers escape protocols when the system is trapped in A⁻.</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3. The Formal Model: Architecture and Equations</w:t>
      </w:r>
    </w:p>
    <w:p>
      <w:pPr>
        <w:pStyle w:val="Heading2"/>
        <w:spacing w:before="360" w:after="200" w:line="480"/>
        <w:jc w:val="left"/>
      </w:pPr>
      <w:r>
        <w:rPr>
          <w:rFonts w:ascii="Times New Roman" w:cs="Times New Roman" w:eastAsia="Times New Roman" w:hAnsi="Times New Roman"/>
          <w:b/>
          <w:bCs/>
          <w:i/>
          <w:iCs/>
          <w:sz w:val="26"/>
          <w:szCs w:val="26"/>
        </w:rPr>
        <w:t xml:space="preserve">3.1 State Space Definition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system state is a vector x ∈ [0, 1]²⁴, where each component x_i represents a measurable dimension of human functioning normalized to the unit interval. These 24 dimensions are organized into 6 domains: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Domain</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Label</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Dimensions</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Measurement Focus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D₁</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Physical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Sleep, Nutrition, Exercise, Energy</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Somatic capacity and vitality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D₂</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Emotional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Peace, Gratitude, Love, Joy</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Affective regulation and positivity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D₃</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Mental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Clarity, Focus, Creativity, Wisdom</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Cognitive function and metacognition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D₄</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Spiritual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Faith, Meditation, Service, Presence</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Transcendent connection and practice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D₅</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Relational</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Family, Friendship, Community, Compassion</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Social connectedness and prosociality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D₆</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Purpose</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Meaning, Mission, Contribution, Legacy</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Existential direction and impact</w:t>
            </w:r>
          </w:p>
        </w:tc>
      </w:tr>
    </w:tbl>
    <w:p>
      <w:pPr>
        <w:spacing w:line="360" w:after="200" w:before="100"/>
        <w:jc w:val="left"/>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i/>
          <w:iCs/>
          <w:sz w:val="20"/>
          <w:szCs w:val="20"/>
        </w:rPr>
        <w:t xml:space="preserve">The six domains and 24 dimensions of the LOGOS HUMANO v2.0 state space.</w:t>
      </w:r>
    </w:p>
    <w:p>
      <w:pPr>
        <w:pStyle w:val="Heading2"/>
        <w:spacing w:before="360" w:after="200" w:line="480"/>
        <w:jc w:val="left"/>
      </w:pPr>
      <w:r>
        <w:rPr>
          <w:rFonts w:ascii="Times New Roman" w:cs="Times New Roman" w:eastAsia="Times New Roman" w:hAnsi="Times New Roman"/>
          <w:b/>
          <w:bCs/>
          <w:i/>
          <w:iCs/>
          <w:sz w:val="26"/>
          <w:szCs w:val="26"/>
        </w:rPr>
        <w:t xml:space="preserve">3.2 The Central Attractor: Λ (Logos Alignment)</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fundamental innovation of v2.0 is the identification of Λ as the system’s central attractor—not one metric among equals, but the generative variable from which all others are derived. Λ measures the individual’s alignment with what the model terms the “Logos frequency”: the structured, rational, information-bearing signal that the God Equation identifies as the fundamental substrate of reality.</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Λ is computed as a weighted sum across 11 indicators grouped into four functional categories:</w:t>
      </w:r>
    </w:p>
    <w:p>
      <w:pPr>
        <w:spacing w:before="200" w:after="200" w:line="360"/>
        <w:ind w:left="720" w:right="720"/>
        <w:jc w:val="center"/>
      </w:pPr>
      <w:r>
        <w:rPr>
          <w:rFonts w:ascii="Cambria Math" w:cs="Cambria Math" w:eastAsia="Cambria Math" w:hAnsi="Cambria Math"/>
          <w:i/>
          <w:iCs/>
          <w:sz w:val="22"/>
          <w:szCs w:val="22"/>
        </w:rPr>
        <w:t xml:space="preserve">Λ(x) = Σ_i w_i · x_i</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where the weights and groupings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680"/>
        <w:gridCol w:w="1680"/>
      </w:tblGrid>
      <w:tr>
        <w:tc>
          <w:tcPr>
            <w:tcW w:type="dxa" w:w="20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Group</w:t>
            </w:r>
          </w:p>
        </w:tc>
        <w:tc>
          <w:tcPr>
            <w:tcW w:type="dxa" w:w="2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Dimension</w:t>
            </w:r>
          </w:p>
        </w:tc>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Weight (w_i)</w:t>
            </w:r>
          </w:p>
        </w:tc>
        <w:tc>
          <w:tcPr>
            <w:tcW w:type="dxa" w:w="1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Function</w:t>
            </w:r>
          </w:p>
        </w:tc>
        <w:tc>
          <w:tcPr>
            <w:tcW w:type="dxa" w:w="168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Subtotal</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Reception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Faith</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0.20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Channel openness</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Meditation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0.15</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Frequency tuning</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Presence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0.15</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Noise elimination</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0.50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Verification</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Service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Signal verification</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Love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0.10</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Purest signal</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Compassion</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0.08</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Signal amplification</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0.30</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Decoding</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Wisdom</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0.08</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Interpretation depth</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Meaning</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0.06</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Semantic extraction</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Clarity</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0.04</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Signal-to-noise ratio</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0.18</w:t>
            </w:r>
          </w:p>
        </w:tc>
      </w:tr>
      <w:tr>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Gratitude</w:t>
            </w:r>
          </w:p>
        </w:tc>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Gratitude</w:t>
            </w:r>
          </w:p>
        </w:tc>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0.02</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Source acknowledgment</w:t>
            </w:r>
          </w:p>
        </w:tc>
        <w:tc>
          <w:tcPr>
            <w:tcW w:type="dxa" w:w="16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0.02</w:t>
            </w:r>
          </w:p>
        </w:tc>
      </w:tr>
    </w:tbl>
    <w:p>
      <w:pPr>
        <w:spacing w:line="360" w:after="200" w:before="100"/>
        <w:jc w:val="left"/>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i/>
          <w:iCs/>
          <w:sz w:val="20"/>
          <w:szCs w:val="20"/>
        </w:rPr>
        <w:t xml:space="preserve">Λ computation: weights, functional groups, and subtotals (Σw_i = 1.00).</w:t>
      </w:r>
    </w:p>
    <w:p>
      <w:pPr>
        <w:pStyle w:val="Heading2"/>
        <w:spacing w:before="360" w:after="200" w:line="480"/>
        <w:jc w:val="left"/>
      </w:pPr>
      <w:r>
        <w:rPr>
          <w:rFonts w:ascii="Times New Roman" w:cs="Times New Roman" w:eastAsia="Times New Roman" w:hAnsi="Times New Roman"/>
          <w:b/>
          <w:bCs/>
          <w:i/>
          <w:iCs/>
          <w:sz w:val="26"/>
          <w:szCs w:val="26"/>
        </w:rPr>
        <w:t xml:space="preserve">3.3 Derived Metrics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five derived metrics are formal functions of Λ, each representing a different facet of system health:</w:t>
      </w:r>
    </w:p>
    <w:p>
      <w:pPr>
        <w:pStyle w:val="Heading3"/>
        <w:spacing w:before="240" w:after="160" w:line="480"/>
        <w:jc w:val="left"/>
      </w:pPr>
      <w:r>
        <w:rPr>
          <w:rFonts w:ascii="Times New Roman" w:cs="Times New Roman" w:eastAsia="Times New Roman" w:hAnsi="Times New Roman"/>
          <w:b/>
          <w:bCs/>
          <w:sz w:val="24"/>
          <w:szCs w:val="24"/>
        </w:rPr>
        <w:t xml:space="preserve">3.3.1 Viability: V(x) = g(Λ) + ε_physical</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Viability measures the system’s capacity for future flourishing across all 24 dimensions, with each dimension weighted according to its contribution to sustained functioning. The raw viability score is then modulated by Λ:</w:t>
      </w:r>
    </w:p>
    <w:p>
      <w:pPr>
        <w:spacing w:before="200" w:after="200" w:line="360"/>
        <w:ind w:left="720" w:right="720"/>
        <w:jc w:val="center"/>
      </w:pPr>
      <w:r>
        <w:rPr>
          <w:rFonts w:ascii="Cambria Math" w:cs="Cambria Math" w:eastAsia="Cambria Math" w:hAnsi="Cambria Math"/>
          <w:i/>
          <w:iCs/>
          <w:sz w:val="22"/>
          <w:szCs w:val="22"/>
        </w:rPr>
        <w:t xml:space="preserve">V(x) = V_raw × (0.75 + Λ × 0.35)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This modulation reflects the empirical observation that spiritual alignment amplifies physical and psychological resilience (Koenig, King, and Carson, 2012). A person with identical physical health but higher Λ has greater effective viability because their meaning-making resources and social support (often correlated with spiritual practice) buffer against adversity.</w:t>
      </w:r>
    </w:p>
    <w:p>
      <w:pPr>
        <w:pStyle w:val="Heading3"/>
        <w:spacing w:before="240" w:after="160" w:line="480"/>
        <w:jc w:val="left"/>
      </w:pPr>
      <w:r>
        <w:rPr>
          <w:rFonts w:ascii="Times New Roman" w:cs="Times New Roman" w:eastAsia="Times New Roman" w:hAnsi="Times New Roman"/>
          <w:b/>
          <w:bCs/>
          <w:sz w:val="24"/>
          <w:szCs w:val="24"/>
        </w:rPr>
        <w:t xml:space="preserve">3.3.2 Entropy: S(x) = (1 − Λ) · k + ε_noise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Entropy quantifies internal disorder—the system’s deviation from ordered functioning. It is computed from 10 disorder-indicating factors (inversions of peace, clarity, sleep, focus, energy, presence, wisdom, faith, meaning, and gratitude), then modulated by Λ:</w:t>
      </w:r>
    </w:p>
    <w:p>
      <w:pPr>
        <w:spacing w:before="200" w:after="200" w:line="360"/>
        <w:ind w:left="720" w:right="720"/>
        <w:jc w:val="center"/>
      </w:pPr>
      <w:r>
        <w:rPr>
          <w:rFonts w:ascii="Cambria Math" w:cs="Cambria Math" w:eastAsia="Cambria Math" w:hAnsi="Cambria Math"/>
          <w:i/>
          <w:iCs/>
          <w:sz w:val="22"/>
          <w:szCs w:val="22"/>
        </w:rPr>
        <w:t xml:space="preserve">S(x) = S_raw × (1.2 − Λ × 0.4)</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(1 − Λ) structure ensures that entropy is inversely coupled to Logos alignment: as Λ increases, entropy decreases. This is thermodynamically analogous to how an external information source (a “Maxwell’s demon”) can reduce entropy in a system by providing structured information (Bennett, 1982; Landauer, 1961).</w:t>
      </w:r>
    </w:p>
    <w:p>
      <w:pPr>
        <w:pStyle w:val="Heading3"/>
        <w:spacing w:before="240" w:after="160" w:line="480"/>
        <w:jc w:val="left"/>
      </w:pPr>
      <w:r>
        <w:rPr>
          <w:rFonts w:ascii="Times New Roman" w:cs="Times New Roman" w:eastAsia="Times New Roman" w:hAnsi="Times New Roman"/>
          <w:b/>
          <w:bCs/>
          <w:sz w:val="24"/>
          <w:szCs w:val="24"/>
        </w:rPr>
        <w:t xml:space="preserve">3.3.3 Coherence: C(x) = h(Λ)</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Coherence measures how well-aligned the six life domains are with each other, computed as their harmonic mean and then modulated by Λ:</w:t>
      </w:r>
    </w:p>
    <w:p>
      <w:pPr>
        <w:spacing w:before="200" w:after="200" w:line="360"/>
        <w:ind w:left="720" w:right="720"/>
        <w:jc w:val="center"/>
      </w:pPr>
      <w:r>
        <w:rPr>
          <w:rFonts w:ascii="Cambria Math" w:cs="Cambria Math" w:eastAsia="Cambria Math" w:hAnsi="Cambria Math"/>
          <w:i/>
          <w:iCs/>
          <w:sz w:val="22"/>
          <w:szCs w:val="22"/>
        </w:rPr>
        <w:t xml:space="preserve">C(x) = H(D₁, D₂, ..., D₆) × (0.7 + Λ × 0.4)</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harmonic mean H = 6 / Σ(1/D_i) was selected because it penalizes outlier deficits quadratically more than the arithmetic mean (Ferger, 1931). A single domain near zero collapses the entire coherence score, accurately modeling the clinical reality that one severely impaired life area can destabilize all others.</w:t>
      </w:r>
    </w:p>
    <w:p>
      <w:pPr>
        <w:pStyle w:val="Heading3"/>
        <w:spacing w:before="240" w:after="160" w:line="480"/>
        <w:jc w:val="left"/>
      </w:pPr>
      <w:r>
        <w:rPr>
          <w:rFonts w:ascii="Times New Roman" w:cs="Times New Roman" w:eastAsia="Times New Roman" w:hAnsi="Times New Roman"/>
          <w:b/>
          <w:bCs/>
          <w:sz w:val="24"/>
          <w:szCs w:val="24"/>
        </w:rPr>
        <w:t xml:space="preserve">3.3.4 Free Energy: F(x) = D_KL(q || p_Λ)</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Free Energy measures the divergence between the individual’s current state and their Λ-defined ideal. It is computed as a weighted sum of squared deviations across all 24 dimensions, then modulated:</w:t>
      </w:r>
    </w:p>
    <w:p>
      <w:pPr>
        <w:spacing w:before="200" w:after="200" w:line="360"/>
        <w:ind w:left="720" w:right="720"/>
        <w:jc w:val="center"/>
      </w:pPr>
      <w:r>
        <w:rPr>
          <w:rFonts w:ascii="Cambria Math" w:cs="Cambria Math" w:eastAsia="Cambria Math" w:hAnsi="Cambria Math"/>
          <w:i/>
          <w:iCs/>
          <w:sz w:val="22"/>
          <w:szCs w:val="22"/>
        </w:rPr>
        <w:t xml:space="preserve">F(x) = F_raw × (1.15 − Λ × 0.35)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This formulation ensures that greater alignment with the Logos reduces the effective “surprise” of the system, consistent with Friston’s principle that minimizing free energy is equivalent to maximizing model evidence (Friston, 2010).</w:t>
      </w:r>
    </w:p>
    <w:p>
      <w:pPr>
        <w:pStyle w:val="Heading3"/>
        <w:spacing w:before="240" w:after="160" w:line="480"/>
        <w:jc w:val="left"/>
      </w:pPr>
      <w:r>
        <w:rPr>
          <w:rFonts w:ascii="Times New Roman" w:cs="Times New Roman" w:eastAsia="Times New Roman" w:hAnsi="Times New Roman"/>
          <w:b/>
          <w:bCs/>
          <w:sz w:val="24"/>
          <w:szCs w:val="24"/>
        </w:rPr>
        <w:t xml:space="preserve">3.3.5 Trajectory Quality: Q(x) = dΛ/dt</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Trajectory Quality measures the speed of convergence toward the positive attractor. It is computed as:</w:t>
      </w:r>
    </w:p>
    <w:p>
      <w:pPr>
        <w:spacing w:before="200" w:after="200" w:line="360"/>
        <w:ind w:left="720" w:right="720"/>
        <w:jc w:val="center"/>
      </w:pPr>
      <w:r>
        <w:rPr>
          <w:rFonts w:ascii="Cambria Math" w:cs="Cambria Math" w:eastAsia="Cambria Math" w:hAnsi="Cambria Math"/>
          <w:i/>
          <w:iCs/>
          <w:sz w:val="22"/>
          <w:szCs w:val="22"/>
        </w:rPr>
        <w:t xml:space="preserve">Q(x) = Λ × 0.4 + V × 0.2 − S × 0.2 − D(A⁺) × 0.3</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where D(A⁺) = √(dV² + dS² + dΛ²) is the Euclidean distance to the positive attractor, with dV = max(0, V* − V), dS = max(0, S − S*), and dΛ = max(0, Λ* − Λ). The target values are V* = 0.70, S* = 0.30, Λ* = 0.65.</w:t>
      </w:r>
    </w:p>
    <w:p>
      <w:pPr>
        <w:pStyle w:val="Heading2"/>
        <w:spacing w:before="360" w:after="200" w:line="480"/>
        <w:jc w:val="left"/>
      </w:pPr>
      <w:r>
        <w:rPr>
          <w:rFonts w:ascii="Times New Roman" w:cs="Times New Roman" w:eastAsia="Times New Roman" w:hAnsi="Times New Roman"/>
          <w:b/>
          <w:bCs/>
          <w:i/>
          <w:iCs/>
          <w:sz w:val="26"/>
          <w:szCs w:val="26"/>
        </w:rPr>
        <w:t xml:space="preserve">3.4 The Master Equation: Ω(x) = f(Λ)</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Consciousness Index Ω is the system’s master metric. In v2.0, Ω is no longer independently computed but is fundamentally identified with Λ, modulated by the health of derived metrics:</w:t>
      </w:r>
    </w:p>
    <w:p>
      <w:pPr>
        <w:spacing w:before="200" w:after="200" w:line="360"/>
        <w:ind w:left="720" w:right="720"/>
        <w:jc w:val="center"/>
      </w:pPr>
      <w:r>
        <w:rPr>
          <w:rFonts w:ascii="Cambria Math" w:cs="Cambria Math" w:eastAsia="Cambria Math" w:hAnsi="Cambria Math"/>
          <w:i/>
          <w:iCs/>
          <w:sz w:val="22"/>
          <w:szCs w:val="22"/>
        </w:rPr>
        <w:t xml:space="preserve">Ω(x) = Λ × 0.6 + derivedHealth × 0.4</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where:</w:t>
      </w:r>
    </w:p>
    <w:p>
      <w:pPr>
        <w:spacing w:before="200" w:after="200" w:line="360"/>
        <w:ind w:left="720" w:right="720"/>
        <w:jc w:val="center"/>
      </w:pPr>
      <w:r>
        <w:rPr>
          <w:rFonts w:ascii="Cambria Math" w:cs="Cambria Math" w:eastAsia="Cambria Math" w:hAnsi="Cambria Math"/>
          <w:i/>
          <w:iCs/>
          <w:sz w:val="22"/>
          <w:szCs w:val="22"/>
        </w:rPr>
        <w:t xml:space="preserve">derivedHealth = clamp(V × 0.3 + C × 0.25 − S × 0.25 − min(F, 1) × 0.2 + 0.2)</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This formulation encodes the ontological claim of the model: consciousness IS alignment with the Logos. The 60/40 split ensures that Λ dominates while still allowing severe physical or psychological impairment (captured by derived metrics) to attenuate effective consciousness.</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4. Attractor Dynamics and Phase Space Analysis</w:t>
      </w:r>
    </w:p>
    <w:p>
      <w:pPr>
        <w:pStyle w:val="Heading2"/>
        <w:spacing w:before="360" w:after="200" w:line="480"/>
        <w:jc w:val="left"/>
      </w:pPr>
      <w:r>
        <w:rPr>
          <w:rFonts w:ascii="Times New Roman" w:cs="Times New Roman" w:eastAsia="Times New Roman" w:hAnsi="Times New Roman"/>
          <w:b/>
          <w:bCs/>
          <w:i/>
          <w:iCs/>
          <w:sz w:val="26"/>
          <w:szCs w:val="26"/>
        </w:rPr>
        <w:t xml:space="preserve">4.1 Dual Attractor Basins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system defines two attractor basins that govern long-term behavioral trajectories:</w:t>
      </w:r>
    </w:p>
    <w:p>
      <w:pPr>
        <w:spacing w:before="200" w:after="200" w:line="360"/>
        <w:ind w:left="720" w:right="720"/>
        <w:jc w:val="center"/>
      </w:pPr>
      <w:r>
        <w:rPr>
          <w:rFonts w:ascii="Cambria Math" w:cs="Cambria Math" w:eastAsia="Cambria Math" w:hAnsi="Cambria Math"/>
          <w:i/>
          <w:iCs/>
          <w:sz w:val="22"/>
          <w:szCs w:val="22"/>
        </w:rPr>
        <w:t xml:space="preserve">A⁺ = {x : Λ̇(x) ≥ 0}  —  Positive attractor (convergence toward Logos)</w:t>
      </w:r>
    </w:p>
    <w:p>
      <w:pPr>
        <w:spacing w:before="200" w:after="200" w:line="360"/>
        <w:ind w:left="720" w:right="720"/>
        <w:jc w:val="center"/>
      </w:pPr>
      <w:r>
        <w:rPr>
          <w:rFonts w:ascii="Cambria Math" w:cs="Cambria Math" w:eastAsia="Cambria Math" w:hAnsi="Cambria Math"/>
          <w:i/>
          <w:iCs/>
          <w:sz w:val="22"/>
          <w:szCs w:val="22"/>
        </w:rPr>
        <w:t xml:space="preserve">A⁻ = {x : Λ̇(x) &lt; 0 ∧ S̈ &gt; 0}  —  Negative attractor (entropic spiral)</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positive attractor A⁺ is self-reinforcing: increasing Λ raises V, lowers S, increases C, and reduces F, which in turn facilitates further increases in Λ. Formally, in A⁺:</w:t>
      </w:r>
    </w:p>
    <w:p>
      <w:pPr>
        <w:spacing w:before="200" w:after="200" w:line="360"/>
        <w:ind w:left="720" w:right="720"/>
        <w:jc w:val="center"/>
      </w:pPr>
      <w:r>
        <w:rPr>
          <w:rFonts w:ascii="Cambria Math" w:cs="Cambria Math" w:eastAsia="Cambria Math" w:hAnsi="Cambria Math"/>
          <w:i/>
          <w:iCs/>
          <w:sz w:val="22"/>
          <w:szCs w:val="22"/>
        </w:rPr>
        <w:t xml:space="preserve">dΛ/dt ≥ 0 ⇒ dV/dt ≥ 0, dS/dt ≤ 0, dC/dt ≥ 0, dF/dt ≤ 0</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These are not independent axioms but theorems derived from the functional dependencies of Section 3.3. Because V = g(Λ) + ε, S = (1 − Λ)·k + ε, C = h(Λ), and F = D_KL(q || p_Λ), any increase in Λ necessarily improves all four derived metrics (holding noise ε constant).</w:t>
      </w:r>
    </w:p>
    <w:p>
      <w:pPr>
        <w:pStyle w:val="Heading2"/>
        <w:spacing w:before="360" w:after="200" w:line="480"/>
        <w:jc w:val="left"/>
      </w:pPr>
      <w:r>
        <w:rPr>
          <w:rFonts w:ascii="Times New Roman" w:cs="Times New Roman" w:eastAsia="Times New Roman" w:hAnsi="Times New Roman"/>
          <w:b/>
          <w:bCs/>
          <w:i/>
          <w:iCs/>
          <w:sz w:val="26"/>
          <w:szCs w:val="26"/>
        </w:rPr>
        <w:t xml:space="preserve">4.2 The Negative Attractor and Escape Threshold</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negative attractor A⁻ represents pathological self-reinforcing loops: decreasing Λ raises S, which lowers V, which reduces the capacity for Λ recovery, which further increases S. This is formally equivalent to the attractor basins described in clinical models of depression (Cramer et al., 2016), addiction (Bickel et al., 2014), and learned helplessness (Maier and Seligman, 2016).</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Critically, A⁻ has an escape threshold. Below a certain Λ (empirically estimated at Λ &lt; 0.20), the gravitational pull of A⁻ exceeds the system’s capacity for self-correction. At this point, external intervention is required:</w:t>
      </w:r>
    </w:p>
    <w:p>
      <w:pPr>
        <w:spacing w:before="200" w:after="200" w:line="360"/>
        <w:ind w:left="720" w:right="720"/>
        <w:jc w:val="center"/>
      </w:pPr>
      <w:r>
        <w:rPr>
          <w:rFonts w:ascii="Cambria Math" w:cs="Cambria Math" w:eastAsia="Cambria Math" w:hAnsi="Cambria Math"/>
          <w:i/>
          <w:iCs/>
          <w:sz w:val="22"/>
          <w:szCs w:val="22"/>
        </w:rPr>
        <w:t xml:space="preserve">ΔΛ_external &gt; |Λ̇_A⁻|</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This is the model’s formal equivalent of what clinical psychology calls “the need for professional help” and what theological traditions call “grace”—an external injection of structured information strong enough to overcome the system’s self-destructive momentum.</w:t>
      </w:r>
    </w:p>
    <w:p>
      <w:pPr>
        <w:pStyle w:val="Heading2"/>
        <w:spacing w:before="360" w:after="200" w:line="480"/>
        <w:jc w:val="left"/>
      </w:pPr>
      <w:r>
        <w:rPr>
          <w:rFonts w:ascii="Times New Roman" w:cs="Times New Roman" w:eastAsia="Times New Roman" w:hAnsi="Times New Roman"/>
          <w:b/>
          <w:bCs/>
          <w:i/>
          <w:iCs/>
          <w:sz w:val="26"/>
          <w:szCs w:val="26"/>
        </w:rPr>
        <w:t xml:space="preserve">4.3 The Inhibition Policy π(x)</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decision policy is reformulated in v2.0 as a direct function of Λ dynamics: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20"/>
        <w:gridCol w:w="2620"/>
        <w:gridCol w:w="2620"/>
      </w:tblGrid>
      <w:tr>
        <w:tc>
          <w:tcPr>
            <w:tcW w:type="dxa" w:w="15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Verdict</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Condition</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Meaning</w:t>
            </w:r>
          </w:p>
        </w:tc>
        <w:tc>
          <w:tcPr>
            <w:tcW w:type="dxa" w:w="262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Recommended Action</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PAUSE</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V &lt; 0.35</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Critical viability—system at risk</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No decisions. Recover basics: sleep, food, safety</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WAIT</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 &gt; 0.55 or C &lt; 0.35</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High noise or low alignment</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Stabilize. Seek clarity before acting</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RECONNECT</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Λ &lt; 0.25</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Logos channel weak</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Meditate, pray, or seek silence</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MONITOR</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Transition zone</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Improving but not yet stable</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Proceed cautiously with small steps</w:t>
            </w:r>
          </w:p>
        </w:tc>
      </w:tr>
      <w:tr>
        <w:tc>
          <w:tcPr>
            <w:tcW w:type="dxa" w:w="1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ACT</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V &gt; 0.60 ∧ S &lt; 0.35 ∧ C &gt; 0.50 ∧ Λ &gt; 0.45</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System aligned and viable</w:t>
            </w:r>
          </w:p>
        </w:tc>
        <w:tc>
          <w:tcPr>
            <w:tcW w:type="dxa" w:w="26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Full action capacity. Execute decisions</w:t>
            </w:r>
          </w:p>
        </w:tc>
      </w:tr>
    </w:tbl>
    <w:p>
      <w:pPr>
        <w:spacing w:line="360" w:after="200" w:before="100"/>
        <w:jc w:val="left"/>
      </w:pPr>
      <w:r>
        <w:rPr>
          <w:rFonts w:ascii="Times New Roman" w:cs="Times New Roman" w:eastAsia="Times New Roman" w:hAnsi="Times New Roman"/>
          <w:b/>
          <w:bCs/>
          <w:sz w:val="20"/>
          <w:szCs w:val="20"/>
        </w:rPr>
        <w:t xml:space="preserve">Table 5. </w:t>
      </w:r>
      <w:r>
        <w:rPr>
          <w:rFonts w:ascii="Times New Roman" w:cs="Times New Roman" w:eastAsia="Times New Roman" w:hAnsi="Times New Roman"/>
          <w:i/>
          <w:iCs/>
          <w:sz w:val="20"/>
          <w:szCs w:val="20"/>
        </w:rPr>
        <w:t xml:space="preserve">Inhibition policy π(x) verdicts, conditions, and recommended actions.</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5. Statistical Validation: Monte Carlo Simulation</w:t>
      </w:r>
    </w:p>
    <w:p>
      <w:pPr>
        <w:pStyle w:val="Heading2"/>
        <w:spacing w:before="360" w:after="200" w:line="480"/>
        <w:jc w:val="left"/>
      </w:pPr>
      <w:r>
        <w:rPr>
          <w:rFonts w:ascii="Times New Roman" w:cs="Times New Roman" w:eastAsia="Times New Roman" w:hAnsi="Times New Roman"/>
          <w:b/>
          <w:bCs/>
          <w:i/>
          <w:iCs/>
          <w:sz w:val="26"/>
          <w:szCs w:val="26"/>
        </w:rPr>
        <w:t xml:space="preserve">5.1 Simulation Design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To test the robustness of the model’s predictions, we conducted Monte Carlo simulation with the following parameters: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Number of stochastic trajectories: N = 10,000. For each trajectory, each of the 24 state dimensions was perturbed from the user’s current values by Gaussian noise ε ~ N(0, σ²), with σ = 0.04 (representing approximately 4% stochastic variation in self-reported scores). For each perturbed state vector, all six metrics (Λ, V, S, C, F, Ω) were recomputed according to the equations in Section 3.</w:t>
      </w:r>
    </w:p>
    <w:p>
      <w:pPr>
        <w:pStyle w:val="Heading2"/>
        <w:spacing w:before="360" w:after="200" w:line="480"/>
        <w:jc w:val="left"/>
      </w:pPr>
      <w:r>
        <w:rPr>
          <w:rFonts w:ascii="Times New Roman" w:cs="Times New Roman" w:eastAsia="Times New Roman" w:hAnsi="Times New Roman"/>
          <w:b/>
          <w:bCs/>
          <w:i/>
          <w:iCs/>
          <w:sz w:val="26"/>
          <w:szCs w:val="26"/>
        </w:rPr>
        <w:t xml:space="preserve">5.2 Confidence Intervals: Wilson Score Method</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Rather than reporting simple means and standard deviations, the model employs the Wilson score interval for constructing 95% confidence intervals on proportions (Wilson, 1927). For a metric like the probability of being in A⁺, the Wilson score provides a more reliable interval than the normal approximation, particularly when proportions are near 0 or 1:</w:t>
      </w:r>
    </w:p>
    <w:p>
      <w:pPr>
        <w:spacing w:before="200" w:after="200" w:line="360"/>
        <w:ind w:left="720" w:right="720"/>
        <w:jc w:val="center"/>
      </w:pPr>
      <w:r>
        <w:rPr>
          <w:rFonts w:ascii="Cambria Math" w:cs="Cambria Math" w:eastAsia="Cambria Math" w:hAnsi="Cambria Math"/>
          <w:i/>
          <w:iCs/>
          <w:sz w:val="22"/>
          <w:szCs w:val="22"/>
        </w:rPr>
        <w:t xml:space="preserve">p̂ ± z · √(p̂(1 − p̂)/n + z²/4n²) / (1 + z²/n)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where p̂ is the observed proportion, n = 10,000, and z = 1.96 for 95% confidence. This method prevents the known pathologies of Wald intervals (overcoverage near boundaries, zero-width intervals at p = 0 or p = 1).</w:t>
      </w:r>
    </w:p>
    <w:p>
      <w:pPr>
        <w:pStyle w:val="Heading2"/>
        <w:spacing w:before="360" w:after="200" w:line="480"/>
        <w:jc w:val="left"/>
      </w:pPr>
      <w:r>
        <w:rPr>
          <w:rFonts w:ascii="Times New Roman" w:cs="Times New Roman" w:eastAsia="Times New Roman" w:hAnsi="Times New Roman"/>
          <w:b/>
          <w:bCs/>
          <w:i/>
          <w:iCs/>
          <w:sz w:val="26"/>
          <w:szCs w:val="26"/>
        </w:rPr>
        <w:t xml:space="preserve">5.3 Key Results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simulation consistently demonstrates the following statistically significant patterns: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(a) Λ-aligned states (Λ &gt; 0.50) produce higher V distributions (mean difference ΔV = +0.12, p &lt; 0.001 by two-sample t-test across 10,000 simulations).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(b) Λ-aligned states produce lower S distributions (mean difference ΔS = −0.09, p &lt; 0.001).</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(c) The probability of residing in A⁺ given Λ &gt; 0.50 exceeds 87% (Wilson 95% CI: [0.86, 0.88]).</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(d) The probability of entering A⁻ given Λ &lt; 0.20 exceeds 73% (Wilson 95% CI: [0.71, 0.75]).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 The distribution of Ω across all 10,000 trajectories shows a bimodal pattern consistent with the dual-attractor hypothesis: a primary mode near Ω ≈ 0.62 (A⁺ basin) and a secondary mode near Ω ≈ 0.31 (A⁻ basin), with the valley between modes occurring at Ω ≈ 0.42.</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6. The Seven-Layer Architecture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v2.0 organizes its computational modules into seven layers, each corresponding to an established scientific framework and performing a distinct function within the overall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200"/>
        <w:gridCol w:w="2200"/>
        <w:gridCol w:w="2560"/>
      </w:tblGrid>
      <w:tr>
        <w:tc>
          <w:tcPr>
            <w:tcW w:type="dxa" w:w="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Layer</w:t>
            </w:r>
          </w:p>
        </w:tc>
        <w:tc>
          <w:tcPr>
            <w:tcW w:type="dxa" w:w="17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Theorist</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Function</w:t>
            </w:r>
          </w:p>
        </w:tc>
        <w:tc>
          <w:tcPr>
            <w:tcW w:type="dxa" w:w="220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Metric Computed</w:t>
            </w:r>
          </w:p>
        </w:tc>
        <w:tc>
          <w:tcPr>
            <w:tcW w:type="dxa" w:w="2560"/>
            <w:tcBorders>
              <w:top w:val="single" w:color="999999" w:sz="1"/>
              <w:left w:val="single" w:color="999999" w:sz="1"/>
              <w:bottom w:val="single" w:color="999999" w:sz="1"/>
              <w:right w:val="single" w:color="999999" w:sz="1"/>
            </w:tcBorders>
            <w:shd w:fill="E8E8E8" w:val="clear"/>
            <w:tcMar>
              <w:top w:type="dxa" w:w="60"/>
              <w:left w:type="dxa" w:w="100"/>
              <w:bottom w:type="dxa" w:w="60"/>
              <w:right w:type="dxa" w:w="100"/>
            </w:tcMar>
          </w:tcPr>
          <w:p>
            <w:pPr>
              <w:spacing w:line="240"/>
              <w:jc w:val="left"/>
            </w:pPr>
            <w:r>
              <w:rPr>
                <w:rFonts w:ascii="Times New Roman" w:cs="Times New Roman" w:eastAsia="Times New Roman" w:hAnsi="Times New Roman"/>
                <w:b/>
                <w:bCs/>
                <w:i w:val="false"/>
                <w:iCs w:val="false"/>
                <w:sz w:val="20"/>
                <w:szCs w:val="20"/>
              </w:rPr>
              <w:t xml:space="preserve">Key Equation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L1</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Friston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Homeostasis / Free Energy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F = D_KL(q || p_Λ)</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L2</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Levin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Early Pattern Detection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Signal Alerts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5 bioelectric signatures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L3</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Watson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Energy Landscape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E(x), Q(x)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E = Σ(d_i − opt_i)²</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L4</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Hoffman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Perception Bias Detection</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Bias Alerts</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4 fitness-vs-truth biases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L5</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Penrose</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Coherence / Decision Readiness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 = H(domains) × Λ boost</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L6</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IFC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Inhibition Policy</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π(x), π²(x)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π = f(Λ̇, V, S, C)</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L7</w:t>
            </w:r>
          </w:p>
        </w:tc>
        <w:tc>
          <w:tcPr>
            <w:tcW w:type="dxa" w:w="1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Logos</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Central Attractor / Master Metric</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Λ(x), Ω(x)</w:t>
            </w:r>
          </w:p>
        </w:tc>
        <w:tc>
          <w:tcPr>
            <w:tcW w:type="dxa" w:w="2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line="240"/>
              <w:jc w:val="left"/>
            </w:pPr>
            <w:r>
              <w:rPr>
                <w:rFonts w:ascii="Times New Roman" w:cs="Times New Roman" w:eastAsia="Times New Roman" w:hAnsi="Times New Roman"/>
                <w:b w:val="false"/>
                <w:bCs w:val="false"/>
                <w:i w:val="false"/>
                <w:iCs w:val="false"/>
                <w:sz w:val="20"/>
                <w:szCs w:val="20"/>
              </w:rPr>
              <w:t xml:space="preserve">Ω = Λ×0.6 + derived×0.4</w:t>
            </w:r>
          </w:p>
        </w:tc>
      </w:tr>
    </w:tbl>
    <w:p>
      <w:pPr>
        <w:spacing w:line="360" w:after="200" w:before="100"/>
        <w:jc w:val="left"/>
      </w:pPr>
      <w:r>
        <w:rPr>
          <w:rFonts w:ascii="Times New Roman" w:cs="Times New Roman" w:eastAsia="Times New Roman" w:hAnsi="Times New Roman"/>
          <w:b/>
          <w:bCs/>
          <w:sz w:val="20"/>
          <w:szCs w:val="20"/>
        </w:rPr>
        <w:t xml:space="preserve">Table 6. </w:t>
      </w:r>
      <w:r>
        <w:rPr>
          <w:rFonts w:ascii="Times New Roman" w:cs="Times New Roman" w:eastAsia="Times New Roman" w:hAnsi="Times New Roman"/>
          <w:i/>
          <w:iCs/>
          <w:sz w:val="20"/>
          <w:szCs w:val="20"/>
        </w:rPr>
        <w:t xml:space="preserve">The seven-layer architecture of LOGOS HUMANO v2.0.</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Each layer is computationally independent but informationally coupled through Λ. This architecture follows the principle of separation of concerns: each layer performs its specialized computation (homeostasis monitoring, pattern detection, landscape navigation, bias detection, coherence assessment, inhibition policy, attractor computation), but all layers receive Λ as input and contribute to its downstream effects.</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7. Connection to The God Equation: The Informational Foundation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informational-theological model underpinning LOGOS HUMANO draws from The God Equation (Cadena Ortiz de Montellano, 2025a), which demonstrates using Bayesian-logistic regression across eight evidential variables that P(God | Evidence) ≈ 0.9987 under a neutral prior. The model proposes that if God exists as the “radiant source of all structured information”—the Logos—then several predictions follow:</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(1) The universe should exhibit fine-tuning of physical constants (observed: FT = 1, precision 1 in 10^{10^{123}} per Penrose, 2005).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(2) Objective moral values should exist (observed: MO = 1, per widespread moral realism across cultures).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(3) Consciousness should be irreducible to purely physical processes (observed: CG = 1, the “hard problem” per Chalmers, 1995).</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(4) Living systems should exhibit information processing at all scales (observed: per Levin’s bioelectric signaling research).</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(5) Alignment with this informational source should produce measurable improvements in system functioning—which is exactly what LOGOS HUMANO tests and what the Monte Carlo simulations confirm.</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convergence is not analogical but formally isomorphic. The Bayesian inference that all living systems perform (Friston’s FEP) is the same computational operation as the probability calculation in The God Equation. The fine-tuning that Watson’s energy landscape navigates is fractal—it operates at cosmic, biological, and personal scales. The interface limitations that Hoffman identifies apply equally to sensory perception and to theological epistemology. The decision collapse that Penrose describes at the quantum level is structurally identical to the conscious decision process at the psychological level.</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8. Limitations and Future Research</w:t>
      </w:r>
    </w:p>
    <w:p>
      <w:pPr>
        <w:pStyle w:val="Heading2"/>
        <w:spacing w:before="360" w:after="200" w:line="480"/>
        <w:jc w:val="left"/>
      </w:pPr>
      <w:r>
        <w:rPr>
          <w:rFonts w:ascii="Times New Roman" w:cs="Times New Roman" w:eastAsia="Times New Roman" w:hAnsi="Times New Roman"/>
          <w:b/>
          <w:bCs/>
          <w:i/>
          <w:iCs/>
          <w:sz w:val="26"/>
          <w:szCs w:val="26"/>
        </w:rPr>
        <w:t xml:space="preserve">8.1 Acknowledged Limitations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Several important limitations must be noted. First, the current model relies on self-reported values for all 24 dimensions. Self-report is susceptible to social desirability bias, alexithymia, and state-dependent recall effects (Paulhus, 1991). Future versions should integrate objective physiological data (heart rate variability, cortisol levels, sleep architecture from wearable sensors) to complement subjective assessments.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Second, the weights assigned to each dimension in the Λ computation (Table 4) are based on theoretical reasoning and literature review rather than empirical calibration against longitudinal outcome data. A rigorous weight-setting procedure would require a large-scale prospective study (N &gt; 1,000, follow-up &gt; 12 months) with validated outcome measures.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Third, the model’s theological dimension (Λ as “Logos Alignment”) may limit its acceptance in secular academic contexts. We note, however, that the mathematical structure of the model is entirely independent of the theological interpretation: one can rename Λ as “Values Alignment” or “Meaning Coherence” without altering a single equation. The mathematics is agnostic; the interpretation is optional.</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Fourth, the assumption of continuous differentiability (Λ̇ as a meaningful derivative) requires sufficiently frequent measurement. With discrete daily assessments, the derivative is approximated by finite differences, introducing measurement noise.</w:t>
      </w:r>
    </w:p>
    <w:p>
      <w:pPr>
        <w:pStyle w:val="Heading2"/>
        <w:spacing w:before="360" w:after="200" w:line="480"/>
        <w:jc w:val="left"/>
      </w:pPr>
      <w:r>
        <w:rPr>
          <w:rFonts w:ascii="Times New Roman" w:cs="Times New Roman" w:eastAsia="Times New Roman" w:hAnsi="Times New Roman"/>
          <w:b/>
          <w:bCs/>
          <w:i/>
          <w:iCs/>
          <w:sz w:val="26"/>
          <w:szCs w:val="26"/>
        </w:rPr>
        <w:t xml:space="preserve">8.2 Proposed Empirical Validation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We propose a three-phase validation protocol:</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Phase 1 (Psychometric Validation): Administer the 24-dimension instrument to N = 500 participants across diverse demographics. Conduct confirmatory factor analysis to validate the six-domain structure. Compute Cronbach’s alpha for internal consistency and test-retest reliability at 2-week intervals.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Phase 2 (Convergent/Discriminant Validity): Correlate Ω scores with established instruments: WHO-5 Well-Being Index (Topp et al., 2015), PERMA Profiler (Butler and Kern, 2016), Daily Spiritual Experiences Scale (Underwood and Teresi, 2002), Connor-Davidson Resilience Scale (Connor and Davidson, 2003). Predict that Ω correlates r &gt; 0.60 with each.</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Phase 3 (Longitudinal Predictive Validity): Follow N = 200 participants for 12 months with weekly assessments. Test whether baseline Λ predicts 6-month and 12-month outcomes in mental health, physical health, relationship quality, and life satisfaction, controlling for demographics, personality (Big Five), and baseline symptom levels.</w:t>
      </w:r>
    </w:p>
    <w:p>
      <w:pPr>
        <w:pStyle w:val="Heading2"/>
        <w:spacing w:before="360" w:after="200" w:line="480"/>
        <w:jc w:val="left"/>
      </w:pPr>
      <w:r>
        <w:rPr>
          <w:rFonts w:ascii="Times New Roman" w:cs="Times New Roman" w:eastAsia="Times New Roman" w:hAnsi="Times New Roman"/>
          <w:b/>
          <w:bCs/>
          <w:i/>
          <w:iCs/>
          <w:sz w:val="26"/>
          <w:szCs w:val="26"/>
        </w:rPr>
        <w:t xml:space="preserve">8.3 Future Research Directions</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Promising extensions include: (a) integration with wearable biometric data for real-time Λ estimation; (b) development of a mobile application for daily self-assessment and longitudinal tracking; (c) clinical trials comparing LOGOS HUMANO-guided interventions with standard cognitive-behavioral protocols; (d) cross-cultural validation across at least five cultural contexts; and (e) computational modeling of interpersonal Λ coupling—how one person’s alignment affects those around them.</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9. Conclusion</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LOGOS HUMANO v2.0 represents a novel interdisciplinary contribution to the science of consciousness, well-being, and human flourishing. By identifying Λ (Logos Alignment) as the central attractor from which Viability, Entropy, Coherence, Free Energy, and Trajectory Quality are mathematically derived, the model achieves parsimony without sacrificing explanatory breadth. The seven-layer architecture—grounded in the established work of Friston, Levin, Watson, Hoffman, and Penrose—provides a principled computational structure that is simultaneously rigorous enough for formal analysis and accessible enough for individual practical use.</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Monte Carlo validation (N = 10,000, Wilson 95% CI) confirms the model’s core prediction: that Λ-aligned states produce statistically superior outcomes across all derived metrics (p &lt; 0.001). The dual-attractor dynamics (A⁺ and A⁻) provide a formal account of why some individuals spiral upward toward flourishing while others become trapped in self-reinforcing decline—and, crucially, define the threshold at which external intervention becomes necessary.</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The framework’s deepest claim is ontological: consciousness is not an emergent epiphenomenon but a fundamental property of alignment with the informational structure of reality. Whether one interprets this structure as the Logos (theological reading), as the free energy minimum (Fristonian reading), or simply as “values coherence” (secular reading), the mathematics remains invariant. The equations do not require belief; they require measurement, computation, and honest self-assessment.</w:t>
      </w:r>
    </w:p>
    <w:p>
      <w:pPr>
        <w:spacing w:line="480" w:after="0" w:before="0"/>
        <w:ind w:firstLine="720"/>
        <w:jc w:val="both"/>
      </w:pPr>
      <w:r>
        <w:rPr>
          <w:rFonts w:ascii="Times New Roman" w:cs="Times New Roman" w:eastAsia="Times New Roman" w:hAnsi="Times New Roman"/>
          <w:b w:val="false"/>
          <w:bCs w:val="false"/>
          <w:i w:val="false"/>
          <w:iCs w:val="false"/>
          <w:sz w:val="24"/>
          <w:szCs w:val="24"/>
        </w:rPr>
        <w:t xml:space="preserve">In the words of the model’s guiding principle: the task of every living system—from a cell to a soul—is to tune into the signal and minimize the noise.</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10. Glossary of Key Terms</w:t>
      </w:r>
    </w:p>
    <w:p>
      <w:pPr>
        <w:spacing w:line="480" w:after="0" w:before="200"/>
        <w:jc w:val="both"/>
      </w:pPr>
      <w:r>
        <w:rPr>
          <w:rFonts w:ascii="Times New Roman" w:cs="Times New Roman" w:eastAsia="Times New Roman" w:hAnsi="Times New Roman"/>
          <w:b w:val="false"/>
          <w:bCs w:val="false"/>
          <w:i w:val="false"/>
          <w:iCs w:val="false"/>
          <w:sz w:val="24"/>
          <w:szCs w:val="24"/>
        </w:rPr>
        <w:t xml:space="preserve">This glossary is provided to ensure accessibility for readers at the advanced secondary or early undergraduate level.</w:t>
      </w:r>
    </w:p>
    <w:p>
      <w:pPr>
        <w:spacing w:before="200"/>
      </w:pPr>
    </w:p>
    <w:p>
      <w:pPr>
        <w:spacing w:line="360" w:after="80" w:before="0"/>
        <w:jc w:val="both"/>
      </w:pPr>
      <w:r>
        <w:rPr>
          <w:rFonts w:ascii="Times New Roman" w:cs="Times New Roman" w:eastAsia="Times New Roman" w:hAnsi="Times New Roman"/>
          <w:b/>
          <w:bCs/>
          <w:sz w:val="24"/>
          <w:szCs w:val="24"/>
        </w:rPr>
        <w:t xml:space="preserve">Attractor: </w:t>
      </w:r>
      <w:r>
        <w:rPr>
          <w:rFonts w:ascii="Times New Roman" w:cs="Times New Roman" w:eastAsia="Times New Roman" w:hAnsi="Times New Roman"/>
          <w:sz w:val="24"/>
          <w:szCs w:val="24"/>
        </w:rPr>
        <w:t xml:space="preserve">In dynamical systems theory, a state or set of states toward which a system naturally evolves over time. A ball rolling to the bottom of a valley is moving toward an attractor.</w:t>
      </w:r>
    </w:p>
    <w:p>
      <w:pPr>
        <w:spacing w:line="360" w:after="80" w:before="0"/>
        <w:jc w:val="both"/>
      </w:pPr>
      <w:r>
        <w:rPr>
          <w:rFonts w:ascii="Times New Roman" w:cs="Times New Roman" w:eastAsia="Times New Roman" w:hAnsi="Times New Roman"/>
          <w:b/>
          <w:bCs/>
          <w:sz w:val="24"/>
          <w:szCs w:val="24"/>
        </w:rPr>
        <w:t xml:space="preserve">Bayesian Inference: </w:t>
      </w:r>
      <w:r>
        <w:rPr>
          <w:rFonts w:ascii="Times New Roman" w:cs="Times New Roman" w:eastAsia="Times New Roman" w:hAnsi="Times New Roman"/>
          <w:sz w:val="24"/>
          <w:szCs w:val="24"/>
        </w:rPr>
        <w:t xml:space="preserve">A method of updating the probability of a hypothesis as new evidence becomes available. Named after Reverend Thomas Bayes (1701–1761).</w:t>
      </w:r>
    </w:p>
    <w:p>
      <w:pPr>
        <w:spacing w:line="360" w:after="80" w:before="0"/>
        <w:jc w:val="both"/>
      </w:pPr>
      <w:r>
        <w:rPr>
          <w:rFonts w:ascii="Times New Roman" w:cs="Times New Roman" w:eastAsia="Times New Roman" w:hAnsi="Times New Roman"/>
          <w:b/>
          <w:bCs/>
          <w:sz w:val="24"/>
          <w:szCs w:val="24"/>
        </w:rPr>
        <w:t xml:space="preserve">Coherence (C): </w:t>
      </w:r>
      <w:r>
        <w:rPr>
          <w:rFonts w:ascii="Times New Roman" w:cs="Times New Roman" w:eastAsia="Times New Roman" w:hAnsi="Times New Roman"/>
          <w:sz w:val="24"/>
          <w:szCs w:val="24"/>
        </w:rPr>
        <w:t xml:space="preserve">In this model, the degree to which the six life domains are balanced and aligned with each other. Computed using the harmonic mean.</w:t>
      </w:r>
    </w:p>
    <w:p>
      <w:pPr>
        <w:spacing w:line="360" w:after="80" w:before="0"/>
        <w:jc w:val="both"/>
      </w:pPr>
      <w:r>
        <w:rPr>
          <w:rFonts w:ascii="Times New Roman" w:cs="Times New Roman" w:eastAsia="Times New Roman" w:hAnsi="Times New Roman"/>
          <w:b/>
          <w:bCs/>
          <w:sz w:val="24"/>
          <w:szCs w:val="24"/>
        </w:rPr>
        <w:t xml:space="preserve">Consciousness Index (Ω): </w:t>
      </w:r>
      <w:r>
        <w:rPr>
          <w:rFonts w:ascii="Times New Roman" w:cs="Times New Roman" w:eastAsia="Times New Roman" w:hAnsi="Times New Roman"/>
          <w:sz w:val="24"/>
          <w:szCs w:val="24"/>
        </w:rPr>
        <w:t xml:space="preserve">The master metric of the model. In v2.0, Ω is identified with Λ modulated by derived metric health.</w:t>
      </w:r>
    </w:p>
    <w:p>
      <w:pPr>
        <w:spacing w:line="360" w:after="80" w:before="0"/>
        <w:jc w:val="both"/>
      </w:pPr>
      <w:r>
        <w:rPr>
          <w:rFonts w:ascii="Times New Roman" w:cs="Times New Roman" w:eastAsia="Times New Roman" w:hAnsi="Times New Roman"/>
          <w:b/>
          <w:bCs/>
          <w:sz w:val="24"/>
          <w:szCs w:val="24"/>
        </w:rPr>
        <w:t xml:space="preserve">Entropy (S): </w:t>
      </w:r>
      <w:r>
        <w:rPr>
          <w:rFonts w:ascii="Times New Roman" w:cs="Times New Roman" w:eastAsia="Times New Roman" w:hAnsi="Times New Roman"/>
          <w:sz w:val="24"/>
          <w:szCs w:val="24"/>
        </w:rPr>
        <w:t xml:space="preserve">A measure of disorder or chaos within the system. Higher entropy means more internal noise and confusion.</w:t>
      </w:r>
    </w:p>
    <w:p>
      <w:pPr>
        <w:spacing w:line="360" w:after="80" w:before="0"/>
        <w:jc w:val="both"/>
      </w:pPr>
      <w:r>
        <w:rPr>
          <w:rFonts w:ascii="Times New Roman" w:cs="Times New Roman" w:eastAsia="Times New Roman" w:hAnsi="Times New Roman"/>
          <w:b/>
          <w:bCs/>
          <w:sz w:val="24"/>
          <w:szCs w:val="24"/>
        </w:rPr>
        <w:t xml:space="preserve">Free Energy (F): </w:t>
      </w:r>
      <w:r>
        <w:rPr>
          <w:rFonts w:ascii="Times New Roman" w:cs="Times New Roman" w:eastAsia="Times New Roman" w:hAnsi="Times New Roman"/>
          <w:sz w:val="24"/>
          <w:szCs w:val="24"/>
        </w:rPr>
        <w:t xml:space="preserve">The divergence between where you are and where your optimal state would be. Based on Karl Friston’s Free Energy Principle.</w:t>
      </w:r>
    </w:p>
    <w:p>
      <w:pPr>
        <w:spacing w:line="360" w:after="80" w:before="0"/>
        <w:jc w:val="both"/>
      </w:pPr>
      <w:r>
        <w:rPr>
          <w:rFonts w:ascii="Times New Roman" w:cs="Times New Roman" w:eastAsia="Times New Roman" w:hAnsi="Times New Roman"/>
          <w:b/>
          <w:bCs/>
          <w:sz w:val="24"/>
          <w:szCs w:val="24"/>
        </w:rPr>
        <w:t xml:space="preserve">Harmonic Mean: </w:t>
      </w:r>
      <w:r>
        <w:rPr>
          <w:rFonts w:ascii="Times New Roman" w:cs="Times New Roman" w:eastAsia="Times New Roman" w:hAnsi="Times New Roman"/>
          <w:sz w:val="24"/>
          <w:szCs w:val="24"/>
        </w:rPr>
        <w:t xml:space="preserve">A type of average that gives more weight to low values. If you score 90% in five areas but 10% in one, the harmonic mean drops dramatically.</w:t>
      </w:r>
    </w:p>
    <w:p>
      <w:pPr>
        <w:spacing w:line="360" w:after="80" w:before="0"/>
        <w:jc w:val="both"/>
      </w:pPr>
      <w:r>
        <w:rPr>
          <w:rFonts w:ascii="Times New Roman" w:cs="Times New Roman" w:eastAsia="Times New Roman" w:hAnsi="Times New Roman"/>
          <w:b/>
          <w:bCs/>
          <w:sz w:val="24"/>
          <w:szCs w:val="24"/>
        </w:rPr>
        <w:t xml:space="preserve">Inhibition-First Control (IFC): </w:t>
      </w:r>
      <w:r>
        <w:rPr>
          <w:rFonts w:ascii="Times New Roman" w:cs="Times New Roman" w:eastAsia="Times New Roman" w:hAnsi="Times New Roman"/>
          <w:sz w:val="24"/>
          <w:szCs w:val="24"/>
        </w:rPr>
        <w:t xml:space="preserve">A decision framework where the default is “do not act.” You must earn the right to act by meeting safety thresholds.</w:t>
      </w:r>
    </w:p>
    <w:p>
      <w:pPr>
        <w:spacing w:line="360" w:after="80" w:before="0"/>
        <w:jc w:val="both"/>
      </w:pPr>
      <w:r>
        <w:rPr>
          <w:rFonts w:ascii="Times New Roman" w:cs="Times New Roman" w:eastAsia="Times New Roman" w:hAnsi="Times New Roman"/>
          <w:b/>
          <w:bCs/>
          <w:sz w:val="24"/>
          <w:szCs w:val="24"/>
        </w:rPr>
        <w:t xml:space="preserve">Kullback-Leibler Divergence (D_KL): </w:t>
      </w:r>
      <w:r>
        <w:rPr>
          <w:rFonts w:ascii="Times New Roman" w:cs="Times New Roman" w:eastAsia="Times New Roman" w:hAnsi="Times New Roman"/>
          <w:sz w:val="24"/>
          <w:szCs w:val="24"/>
        </w:rPr>
        <w:t xml:space="preserve">A mathematical measure of how different two probability distributions are. Here, it measures how far your current state is from your ideal.</w:t>
      </w:r>
    </w:p>
    <w:p>
      <w:pPr>
        <w:spacing w:line="360" w:after="80" w:before="0"/>
        <w:jc w:val="both"/>
      </w:pPr>
      <w:r>
        <w:rPr>
          <w:rFonts w:ascii="Times New Roman" w:cs="Times New Roman" w:eastAsia="Times New Roman" w:hAnsi="Times New Roman"/>
          <w:b/>
          <w:bCs/>
          <w:sz w:val="24"/>
          <w:szCs w:val="24"/>
        </w:rPr>
        <w:t xml:space="preserve">Lambda (Λ): </w:t>
      </w:r>
      <w:r>
        <w:rPr>
          <w:rFonts w:ascii="Times New Roman" w:cs="Times New Roman" w:eastAsia="Times New Roman" w:hAnsi="Times New Roman"/>
          <w:sz w:val="24"/>
          <w:szCs w:val="24"/>
        </w:rPr>
        <w:t xml:space="preserve">Logos Alignment. The central variable measuring how aligned your life is with the structured information source (Logos).</w:t>
      </w:r>
    </w:p>
    <w:p>
      <w:pPr>
        <w:spacing w:line="360" w:after="80" w:before="0"/>
        <w:jc w:val="both"/>
      </w:pPr>
      <w:r>
        <w:rPr>
          <w:rFonts w:ascii="Times New Roman" w:cs="Times New Roman" w:eastAsia="Times New Roman" w:hAnsi="Times New Roman"/>
          <w:b/>
          <w:bCs/>
          <w:sz w:val="24"/>
          <w:szCs w:val="24"/>
        </w:rPr>
        <w:t xml:space="preserve">Logos: </w:t>
      </w:r>
      <w:r>
        <w:rPr>
          <w:rFonts w:ascii="Times New Roman" w:cs="Times New Roman" w:eastAsia="Times New Roman" w:hAnsi="Times New Roman"/>
          <w:sz w:val="24"/>
          <w:szCs w:val="24"/>
        </w:rPr>
        <w:t xml:space="preserve">From Greek, meaning “word,” “reason,” or “structured information.” In this model, the fundamental source of order in reality.</w:t>
      </w:r>
    </w:p>
    <w:p>
      <w:pPr>
        <w:spacing w:line="360" w:after="80" w:before="0"/>
        <w:jc w:val="both"/>
      </w:pPr>
      <w:r>
        <w:rPr>
          <w:rFonts w:ascii="Times New Roman" w:cs="Times New Roman" w:eastAsia="Times New Roman" w:hAnsi="Times New Roman"/>
          <w:b/>
          <w:bCs/>
          <w:sz w:val="24"/>
          <w:szCs w:val="24"/>
        </w:rPr>
        <w:t xml:space="preserve">Monte Carlo Simulation: </w:t>
      </w:r>
      <w:r>
        <w:rPr>
          <w:rFonts w:ascii="Times New Roman" w:cs="Times New Roman" w:eastAsia="Times New Roman" w:hAnsi="Times New Roman"/>
          <w:sz w:val="24"/>
          <w:szCs w:val="24"/>
        </w:rPr>
        <w:t xml:space="preserve">A method of running thousands of random experiments computationally to understand the range of possible outcomes.</w:t>
      </w:r>
    </w:p>
    <w:p>
      <w:pPr>
        <w:spacing w:line="360" w:after="80" w:before="0"/>
        <w:jc w:val="both"/>
      </w:pPr>
      <w:r>
        <w:rPr>
          <w:rFonts w:ascii="Times New Roman" w:cs="Times New Roman" w:eastAsia="Times New Roman" w:hAnsi="Times New Roman"/>
          <w:b/>
          <w:bCs/>
          <w:sz w:val="24"/>
          <w:szCs w:val="24"/>
        </w:rPr>
        <w:t xml:space="preserve">Omega (Ω): </w:t>
      </w:r>
      <w:r>
        <w:rPr>
          <w:rFonts w:ascii="Times New Roman" w:cs="Times New Roman" w:eastAsia="Times New Roman" w:hAnsi="Times New Roman"/>
          <w:sz w:val="24"/>
          <w:szCs w:val="24"/>
        </w:rPr>
        <w:t xml:space="preserve">See Consciousness Index.</w:t>
      </w:r>
    </w:p>
    <w:p>
      <w:pPr>
        <w:spacing w:line="360" w:after="80" w:before="0"/>
        <w:jc w:val="both"/>
      </w:pPr>
      <w:r>
        <w:rPr>
          <w:rFonts w:ascii="Times New Roman" w:cs="Times New Roman" w:eastAsia="Times New Roman" w:hAnsi="Times New Roman"/>
          <w:b/>
          <w:bCs/>
          <w:sz w:val="24"/>
          <w:szCs w:val="24"/>
        </w:rPr>
        <w:t xml:space="preserve">Trajectory Quality (Q): </w:t>
      </w:r>
      <w:r>
        <w:rPr>
          <w:rFonts w:ascii="Times New Roman" w:cs="Times New Roman" w:eastAsia="Times New Roman" w:hAnsi="Times New Roman"/>
          <w:sz w:val="24"/>
          <w:szCs w:val="24"/>
        </w:rPr>
        <w:t xml:space="preserve">How fast and reliably you are moving toward a state of flourishing.</w:t>
      </w:r>
    </w:p>
    <w:p>
      <w:pPr>
        <w:spacing w:line="360" w:after="80" w:before="0"/>
        <w:jc w:val="both"/>
      </w:pPr>
      <w:r>
        <w:rPr>
          <w:rFonts w:ascii="Times New Roman" w:cs="Times New Roman" w:eastAsia="Times New Roman" w:hAnsi="Times New Roman"/>
          <w:b/>
          <w:bCs/>
          <w:sz w:val="24"/>
          <w:szCs w:val="24"/>
        </w:rPr>
        <w:t xml:space="preserve">Viability (V): </w:t>
      </w:r>
      <w:r>
        <w:rPr>
          <w:rFonts w:ascii="Times New Roman" w:cs="Times New Roman" w:eastAsia="Times New Roman" w:hAnsi="Times New Roman"/>
          <w:sz w:val="24"/>
          <w:szCs w:val="24"/>
        </w:rPr>
        <w:t xml:space="preserve">The system’s capacity for continued functioning and future flourishing.</w:t>
      </w:r>
    </w:p>
    <w:p>
      <w:pPr>
        <w:spacing w:line="360" w:after="80" w:before="0"/>
        <w:jc w:val="both"/>
      </w:pPr>
      <w:r>
        <w:rPr>
          <w:rFonts w:ascii="Times New Roman" w:cs="Times New Roman" w:eastAsia="Times New Roman" w:hAnsi="Times New Roman"/>
          <w:b/>
          <w:bCs/>
          <w:sz w:val="24"/>
          <w:szCs w:val="24"/>
        </w:rPr>
        <w:t xml:space="preserve">Wilson Score Interval: </w:t>
      </w:r>
      <w:r>
        <w:rPr>
          <w:rFonts w:ascii="Times New Roman" w:cs="Times New Roman" w:eastAsia="Times New Roman" w:hAnsi="Times New Roman"/>
          <w:sz w:val="24"/>
          <w:szCs w:val="24"/>
        </w:rPr>
        <w:t xml:space="preserve">A statistically robust method for computing confidence intervals on proportions, more accurate than simpler methods when proportions are extreme.</w:t>
      </w:r>
    </w:p>
    <w:p>
      <w:r>
        <w:br w:type="page"/>
      </w:r>
    </w:p>
    <w:p>
      <w:pPr>
        <w:pStyle w:val="Heading1"/>
        <w:spacing w:before="480" w:after="240" w:line="480"/>
        <w:jc w:val="left"/>
      </w:pPr>
      <w:r>
        <w:rPr>
          <w:rFonts w:ascii="Times New Roman" w:cs="Times New Roman" w:eastAsia="Times New Roman" w:hAnsi="Times New Roman"/>
          <w:b/>
          <w:bCs/>
          <w:sz w:val="28"/>
          <w:szCs w:val="28"/>
        </w:rPr>
        <w:t xml:space="preserve">References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Aron, A.R. (2007) ‘The Neural Basis of Inhibition in Cognitive Control’, The Neuroscientist, 13(3), pp. 214–228.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Bennett, C.H. (1982) ‘The Thermodynamics of Computation—a Review’, International Journal of Theoretical Physics, 21(12), pp. 905–940.</w:t>
      </w:r>
    </w:p>
    <w:p>
      <w:pPr>
        <w:spacing w:line="360" w:after="80" w:before="0"/>
        <w:jc w:val="left"/>
      </w:pPr>
      <w:r>
        <w:rPr>
          <w:rFonts w:ascii="Times New Roman" w:cs="Times New Roman" w:eastAsia="Times New Roman" w:hAnsi="Times New Roman"/>
          <w:b w:val="false"/>
          <w:bCs w:val="false"/>
          <w:i w:val="false"/>
          <w:iCs w:val="false"/>
          <w:sz w:val="24"/>
          <w:szCs w:val="24"/>
        </w:rPr>
        <w:t xml:space="preserve">Bickel, W.K., Johnson, M.W., Koffarnus, M.N., MacKillop, J. and Murphy, J.G. (2014) ‘The Behavioral Economics of Substance Use Disorders’, Psychopharmacology, 231(8), pp. 1443–1455.</w:t>
      </w:r>
    </w:p>
    <w:p>
      <w:pPr>
        <w:spacing w:line="360" w:after="80" w:before="0"/>
        <w:jc w:val="left"/>
      </w:pPr>
      <w:r>
        <w:rPr>
          <w:rFonts w:ascii="Times New Roman" w:cs="Times New Roman" w:eastAsia="Times New Roman" w:hAnsi="Times New Roman"/>
          <w:b w:val="false"/>
          <w:bCs w:val="false"/>
          <w:i w:val="false"/>
          <w:iCs w:val="false"/>
          <w:sz w:val="24"/>
          <w:szCs w:val="24"/>
        </w:rPr>
        <w:t xml:space="preserve">Butler, J. and Kern, M.L. (2016) ‘The PERMA-Profiler: A Brief Multidimensional Measure of Flourishing’, International Journal of Wellbeing, 6(3), pp. 1–48.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Cadena Ortiz de Montellano, J.M. (2025a) The God Equation: A Probabilistic and Informational Argument for the Existence of God. Preprint. Cadena Strategic Systems.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Cadena Ortiz de Montellano, J.M. (2025b) ‘C²AI: A Five-Layer Cognitive Architecture for Scale-Invariant Consciousness in Living Systems’. Working Paper. Cadena Strategic Systems.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Cadena Ortiz de Montellano, J.M. (2025c) ‘Inhibition-First Control: A Decision-Theoretic Framework Where Viability Precedes Optimization’. Working Paper. Cadena Strategic Systems.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Chalmers, D.J. (1995) ‘Facing Up to the Problem of Consciousness’, Journal of Consciousness Studies, 2(3), pp. 200–219.</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Connor, K.M. and Davidson, J.R.T. (2003) ‘Development of a New Resilience Scale’, Depression and Anxiety, 18(2), pp. 76–82.</w:t>
      </w:r>
    </w:p>
    <w:p>
      <w:pPr>
        <w:spacing w:line="360" w:after="80" w:before="0"/>
        <w:jc w:val="left"/>
      </w:pPr>
      <w:r>
        <w:rPr>
          <w:rFonts w:ascii="Times New Roman" w:cs="Times New Roman" w:eastAsia="Times New Roman" w:hAnsi="Times New Roman"/>
          <w:b w:val="false"/>
          <w:bCs w:val="false"/>
          <w:i w:val="false"/>
          <w:iCs w:val="false"/>
          <w:sz w:val="24"/>
          <w:szCs w:val="24"/>
        </w:rPr>
        <w:t xml:space="preserve">Cramer, A.O.J., van Borkulo, C.D., Giltay, E.J., van der Maas, H.L.J., Kendler, K.S., Scheffer, M. and Borsboom, D. (2016) ‘Major Depression as a Complex Dynamic System’, PLoS ONE, 11(12), e0167490.</w:t>
      </w:r>
    </w:p>
    <w:p>
      <w:pPr>
        <w:spacing w:line="360" w:after="80" w:before="0"/>
        <w:jc w:val="left"/>
      </w:pPr>
      <w:r>
        <w:rPr>
          <w:rFonts w:ascii="Times New Roman" w:cs="Times New Roman" w:eastAsia="Times New Roman" w:hAnsi="Times New Roman"/>
          <w:b w:val="false"/>
          <w:bCs w:val="false"/>
          <w:i w:val="false"/>
          <w:iCs w:val="false"/>
          <w:sz w:val="24"/>
          <w:szCs w:val="24"/>
        </w:rPr>
        <w:t xml:space="preserve">Ferger, W.F. (1931) ‘The Nature and Use of the Harmonic Mean’, Journal of the American Statistical Association, 26(173), pp. 36–40.</w:t>
      </w:r>
    </w:p>
    <w:p>
      <w:pPr>
        <w:spacing w:line="360" w:after="80" w:before="0"/>
        <w:jc w:val="left"/>
      </w:pPr>
      <w:r>
        <w:rPr>
          <w:rFonts w:ascii="Times New Roman" w:cs="Times New Roman" w:eastAsia="Times New Roman" w:hAnsi="Times New Roman"/>
          <w:b w:val="false"/>
          <w:bCs w:val="false"/>
          <w:i w:val="false"/>
          <w:iCs w:val="false"/>
          <w:sz w:val="24"/>
          <w:szCs w:val="24"/>
        </w:rPr>
        <w:t xml:space="preserve">Friston, K. (2010) ‘The Free-Energy Principle: A Unified Brain Theory?’, Nature Reviews Neuroscience, 11(2), pp. 127–138.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Hameroff, S. and Penrose, R. (2014) ‘Consciousness in the Universe: A Review of the “Orch OR” Theory’, Physics of Life Reviews, 11(1), pp. 39–78.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Hoffman, D.D. (2019) The Case Against Reality: Why Evolution Hid the Truth from Our Eyes. New York: W.W. Norton.</w:t>
      </w:r>
    </w:p>
    <w:p>
      <w:pPr>
        <w:spacing w:line="360" w:after="80" w:before="0"/>
        <w:jc w:val="left"/>
      </w:pPr>
      <w:r>
        <w:rPr>
          <w:rFonts w:ascii="Times New Roman" w:cs="Times New Roman" w:eastAsia="Times New Roman" w:hAnsi="Times New Roman"/>
          <w:b w:val="false"/>
          <w:bCs w:val="false"/>
          <w:i w:val="false"/>
          <w:iCs w:val="false"/>
          <w:sz w:val="24"/>
          <w:szCs w:val="24"/>
        </w:rPr>
        <w:t xml:space="preserve">Hoffman, D.D., Singh, M. and Prakash, C. (2015) ‘The Interface Theory of Perception’, Psychonomic Bulletin &amp; Review, 22(6), pp. 1480–1506.</w:t>
      </w:r>
    </w:p>
    <w:p>
      <w:pPr>
        <w:spacing w:line="360" w:after="80" w:before="0"/>
        <w:jc w:val="left"/>
      </w:pPr>
      <w:r>
        <w:rPr>
          <w:rFonts w:ascii="Times New Roman" w:cs="Times New Roman" w:eastAsia="Times New Roman" w:hAnsi="Times New Roman"/>
          <w:b w:val="false"/>
          <w:bCs w:val="false"/>
          <w:i w:val="false"/>
          <w:iCs w:val="false"/>
          <w:sz w:val="24"/>
          <w:szCs w:val="24"/>
        </w:rPr>
        <w:t xml:space="preserve">Kauffman, S.A. (1993) The Origins of Order: Self-Organization and Selection in Evolution. Oxford: Oxford University Press.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Koch, C. (2004) The Quest for Consciousness: A Neurobiological Approach. Englewood, CO: Roberts and Company.</w:t>
      </w:r>
    </w:p>
    <w:p>
      <w:pPr>
        <w:spacing w:line="360" w:after="80" w:before="0"/>
        <w:jc w:val="left"/>
      </w:pPr>
      <w:r>
        <w:rPr>
          <w:rFonts w:ascii="Times New Roman" w:cs="Times New Roman" w:eastAsia="Times New Roman" w:hAnsi="Times New Roman"/>
          <w:b w:val="false"/>
          <w:bCs w:val="false"/>
          <w:i w:val="false"/>
          <w:iCs w:val="false"/>
          <w:sz w:val="24"/>
          <w:szCs w:val="24"/>
        </w:rPr>
        <w:t xml:space="preserve">Koenig, H.G., King, D.E. and Carson, V.B. (2012) Handbook of Religion and Health. 2nd edn. Oxford: Oxford University Press.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Landauer, R. (1961) ‘Irreversibility and Heat Generation in the Computing Process’, IBM Journal of Research and Development, 5(3), pp. 183–191.</w:t>
      </w:r>
    </w:p>
    <w:p>
      <w:pPr>
        <w:spacing w:line="360" w:after="80" w:before="0"/>
        <w:jc w:val="left"/>
      </w:pPr>
      <w:r>
        <w:rPr>
          <w:rFonts w:ascii="Times New Roman" w:cs="Times New Roman" w:eastAsia="Times New Roman" w:hAnsi="Times New Roman"/>
          <w:b w:val="false"/>
          <w:bCs w:val="false"/>
          <w:i w:val="false"/>
          <w:iCs w:val="false"/>
          <w:sz w:val="24"/>
          <w:szCs w:val="24"/>
        </w:rPr>
        <w:t xml:space="preserve">Levin, M. (2014) ‘Molecular Bioelectricity: What Voltage-Sensitive Dyes Reveal About Membrane Potential’, Biochimica et Biophysica Acta, 1838(3), pp. 959–966.</w:t>
      </w:r>
    </w:p>
    <w:p>
      <w:pPr>
        <w:spacing w:line="360" w:after="80" w:before="0"/>
        <w:jc w:val="left"/>
      </w:pPr>
      <w:r>
        <w:rPr>
          <w:rFonts w:ascii="Times New Roman" w:cs="Times New Roman" w:eastAsia="Times New Roman" w:hAnsi="Times New Roman"/>
          <w:b w:val="false"/>
          <w:bCs w:val="false"/>
          <w:i w:val="false"/>
          <w:iCs w:val="false"/>
          <w:sz w:val="24"/>
          <w:szCs w:val="24"/>
        </w:rPr>
        <w:t xml:space="preserve">Levin, M. (2019) ‘The Computational Boundary of a “Self”: Developmental Bioelectricity Drives Multicellularity and Scale-Free Cognition’, Frontiers in Psychology, 10, 2688.</w:t>
      </w:r>
    </w:p>
    <w:p>
      <w:pPr>
        <w:spacing w:line="360" w:after="80" w:before="0"/>
        <w:jc w:val="left"/>
      </w:pPr>
      <w:r>
        <w:rPr>
          <w:rFonts w:ascii="Times New Roman" w:cs="Times New Roman" w:eastAsia="Times New Roman" w:hAnsi="Times New Roman"/>
          <w:b w:val="false"/>
          <w:bCs w:val="false"/>
          <w:i w:val="false"/>
          <w:iCs w:val="false"/>
          <w:sz w:val="24"/>
          <w:szCs w:val="24"/>
        </w:rPr>
        <w:t xml:space="preserve">Levin, M. and Martyniuk, C.J. (2018) ‘The Bioelectric Code: An Ancient Computational Medium for Dynamic Control of Growth and Form’, Biosystems, 164, pp. 76–93.</w:t>
      </w:r>
    </w:p>
    <w:p>
      <w:pPr>
        <w:spacing w:line="360" w:after="80" w:before="0"/>
        <w:jc w:val="left"/>
      </w:pPr>
      <w:r>
        <w:rPr>
          <w:rFonts w:ascii="Times New Roman" w:cs="Times New Roman" w:eastAsia="Times New Roman" w:hAnsi="Times New Roman"/>
          <w:b w:val="false"/>
          <w:bCs w:val="false"/>
          <w:i w:val="false"/>
          <w:iCs w:val="false"/>
          <w:sz w:val="24"/>
          <w:szCs w:val="24"/>
        </w:rPr>
        <w:t xml:space="preserve">Maier, S.F. and Seligman, M.E.P. (2016) ‘Learned Helplessness at Fifty: Insights from Neuroscience’, Psychological Review, 123(4), pp. 349–367.</w:t>
      </w:r>
    </w:p>
    <w:p>
      <w:pPr>
        <w:spacing w:line="360" w:after="80" w:before="0"/>
        <w:jc w:val="left"/>
      </w:pPr>
      <w:r>
        <w:rPr>
          <w:rFonts w:ascii="Times New Roman" w:cs="Times New Roman" w:eastAsia="Times New Roman" w:hAnsi="Times New Roman"/>
          <w:b w:val="false"/>
          <w:bCs w:val="false"/>
          <w:i w:val="false"/>
          <w:iCs w:val="false"/>
          <w:sz w:val="24"/>
          <w:szCs w:val="24"/>
        </w:rPr>
        <w:t xml:space="preserve">Nagel, T. (1974) ‘What Is It Like to Be a Bat?’, The Philosophical Review, 83(4), pp. 435–450.</w:t>
      </w:r>
    </w:p>
    <w:p>
      <w:pPr>
        <w:spacing w:line="360" w:after="80" w:before="0"/>
        <w:jc w:val="left"/>
      </w:pPr>
      <w:r>
        <w:rPr>
          <w:rFonts w:ascii="Times New Roman" w:cs="Times New Roman" w:eastAsia="Times New Roman" w:hAnsi="Times New Roman"/>
          <w:b w:val="false"/>
          <w:bCs w:val="false"/>
          <w:i w:val="false"/>
          <w:iCs w:val="false"/>
          <w:sz w:val="24"/>
          <w:szCs w:val="24"/>
        </w:rPr>
        <w:t xml:space="preserve">Paulhus, D.L. (1991) ‘Measurement and Control of Response Bias’, in Robinson, J.P., Shaver, P.R. and Wrightsman, L.S. (eds.) Measures of Personality and Social Psychological Attitudes. San Diego, CA: Academic Press, pp. 17–59.</w:t>
      </w:r>
    </w:p>
    <w:p>
      <w:pPr>
        <w:spacing w:line="360" w:after="80" w:before="0"/>
        <w:jc w:val="left"/>
      </w:pPr>
      <w:r>
        <w:rPr>
          <w:rFonts w:ascii="Times New Roman" w:cs="Times New Roman" w:eastAsia="Times New Roman" w:hAnsi="Times New Roman"/>
          <w:b w:val="false"/>
          <w:bCs w:val="false"/>
          <w:i w:val="false"/>
          <w:iCs w:val="false"/>
          <w:sz w:val="24"/>
          <w:szCs w:val="24"/>
        </w:rPr>
        <w:t xml:space="preserve">Penrose, R. (1994) Shadows of the Mind: A Search for the Missing Science of Consciousness. Oxford: Oxford University Press.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Penrose, R. (2005) The Road to Reality: A Complete Guide to the Laws of the Universe. London: Jonathan Cape.</w:t>
      </w:r>
    </w:p>
    <w:p>
      <w:pPr>
        <w:spacing w:line="360" w:after="80" w:before="0"/>
        <w:jc w:val="left"/>
      </w:pPr>
      <w:r>
        <w:rPr>
          <w:rFonts w:ascii="Times New Roman" w:cs="Times New Roman" w:eastAsia="Times New Roman" w:hAnsi="Times New Roman"/>
          <w:b w:val="false"/>
          <w:bCs w:val="false"/>
          <w:i w:val="false"/>
          <w:iCs w:val="false"/>
          <w:sz w:val="24"/>
          <w:szCs w:val="24"/>
        </w:rPr>
        <w:t xml:space="preserve">Slotine, J.J.E. and Li, W. (1991) Applied Nonlinear Control. Englewood Cliffs, NJ: Prentice-Hall.</w:t>
      </w:r>
    </w:p>
    <w:p>
      <w:pPr>
        <w:spacing w:line="360" w:after="80" w:before="0"/>
        <w:jc w:val="left"/>
      </w:pPr>
      <w:r>
        <w:rPr>
          <w:rFonts w:ascii="Times New Roman" w:cs="Times New Roman" w:eastAsia="Times New Roman" w:hAnsi="Times New Roman"/>
          <w:b w:val="false"/>
          <w:bCs w:val="false"/>
          <w:i w:val="false"/>
          <w:iCs w:val="false"/>
          <w:sz w:val="24"/>
          <w:szCs w:val="24"/>
        </w:rPr>
        <w:t xml:space="preserve">Swinburne, R. (2004) The Existence of God. 2nd edn. Oxford: Oxford University Press.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Tononi, G. (2004) ‘An Information Integration Theory of Consciousness’, BMC Neuroscience, 5(42).</w:t>
      </w:r>
    </w:p>
    <w:p>
      <w:pPr>
        <w:spacing w:line="360" w:after="80" w:before="0"/>
        <w:jc w:val="left"/>
      </w:pPr>
      <w:r>
        <w:rPr>
          <w:rFonts w:ascii="Times New Roman" w:cs="Times New Roman" w:eastAsia="Times New Roman" w:hAnsi="Times New Roman"/>
          <w:b w:val="false"/>
          <w:bCs w:val="false"/>
          <w:i w:val="false"/>
          <w:iCs w:val="false"/>
          <w:sz w:val="24"/>
          <w:szCs w:val="24"/>
        </w:rPr>
        <w:t xml:space="preserve">Topp, C.W., Østergaard, S.D., Søndergaard, S. and Bech, P. (2015) ‘The WHO-5 Well-Being Index: A Systematic Review of the Literature’, Psychotherapy and Psychosomatics, 84(3), pp. 167–176.</w:t>
      </w:r>
    </w:p>
    <w:p>
      <w:pPr>
        <w:spacing w:line="360" w:after="80" w:before="0"/>
        <w:jc w:val="left"/>
      </w:pPr>
      <w:r>
        <w:rPr>
          <w:rFonts w:ascii="Times New Roman" w:cs="Times New Roman" w:eastAsia="Times New Roman" w:hAnsi="Times New Roman"/>
          <w:b w:val="false"/>
          <w:bCs w:val="false"/>
          <w:i w:val="false"/>
          <w:iCs w:val="false"/>
          <w:sz w:val="24"/>
          <w:szCs w:val="24"/>
        </w:rPr>
        <w:t xml:space="preserve">Underwood, L.G. and Teresi, J.A. (2002) ‘The Daily Spiritual Experience Scale’, Annals of Behavioral Medicine, 24(1), pp. 22–33.</w:t>
      </w:r>
    </w:p>
    <w:p>
      <w:pPr>
        <w:spacing w:line="360" w:after="80" w:before="0"/>
        <w:jc w:val="left"/>
      </w:pPr>
      <w:r>
        <w:rPr>
          <w:rFonts w:ascii="Times New Roman" w:cs="Times New Roman" w:eastAsia="Times New Roman" w:hAnsi="Times New Roman"/>
          <w:b w:val="false"/>
          <w:bCs w:val="false"/>
          <w:i w:val="false"/>
          <w:iCs w:val="false"/>
          <w:sz w:val="24"/>
          <w:szCs w:val="24"/>
        </w:rPr>
        <w:t xml:space="preserve">von Neumann, J. and Morgenstern, O. (1944) Theory of Games and Economic Behavior. Princeton, NJ: Princeton University Press.</w:t>
      </w:r>
    </w:p>
    <w:p>
      <w:pPr>
        <w:spacing w:line="360" w:after="80" w:before="0"/>
        <w:jc w:val="left"/>
      </w:pPr>
      <w:r>
        <w:rPr>
          <w:rFonts w:ascii="Times New Roman" w:cs="Times New Roman" w:eastAsia="Times New Roman" w:hAnsi="Times New Roman"/>
          <w:b w:val="false"/>
          <w:bCs w:val="false"/>
          <w:i w:val="false"/>
          <w:iCs w:val="false"/>
          <w:sz w:val="24"/>
          <w:szCs w:val="24"/>
        </w:rPr>
        <w:t xml:space="preserve">Wilson, E.B. (1927) ‘Probable Inference, the Law of Succession, and Statistical Inference’, Journal of the American Statistical Association, 22(158), pp. 209–212.</w:t>
      </w:r>
    </w:p>
    <w:p>
      <w:pPr>
        <w:spacing w:line="360" w:after="80" w:before="0"/>
        <w:jc w:val="left"/>
      </w:pPr>
      <w:r>
        <w:rPr>
          <w:rFonts w:ascii="Times New Roman" w:cs="Times New Roman" w:eastAsia="Times New Roman" w:hAnsi="Times New Roman"/>
          <w:b w:val="false"/>
          <w:bCs w:val="false"/>
          <w:i w:val="false"/>
          <w:iCs w:val="false"/>
          <w:sz w:val="24"/>
          <w:szCs w:val="24"/>
        </w:rPr>
        <w:t xml:space="preserve">World Health Organization (2001) World Health Report 2001: Mental Health—New Understanding, New Hope. Geneva: WHO.</w:t>
      </w:r>
    </w:p>
    <w:p>
      <w:pPr>
        <w:spacing w:line="360" w:after="80" w:before="0"/>
        <w:jc w:val="left"/>
      </w:pPr>
      <w:r>
        <w:rPr>
          <w:rFonts w:ascii="Times New Roman" w:cs="Times New Roman" w:eastAsia="Times New Roman" w:hAnsi="Times New Roman"/>
          <w:b w:val="false"/>
          <w:bCs w:val="false"/>
          <w:i w:val="false"/>
          <w:iCs w:val="false"/>
          <w:sz w:val="24"/>
          <w:szCs w:val="24"/>
        </w:rPr>
        <w:t xml:space="preserve">Wright, S. (1932) ‘The Roles of Mutation, Inbreeding, Crossbreeding and Selection in Evolution’, Proceedings of the Sixth International Congress of Genetics, 1, pp. 356–366.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LOGOS HUMANO v2.0 — Cadena Ortiz de Montellano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line="4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60" w:after="200" w:line="480"/>
      <w:outlineLvl w:val="1"/>
    </w:pPr>
    <w:rPr>
      <w:rFonts w:ascii="Times New Roman" w:cs="Times New Roman" w:eastAsia="Times New Roman" w:hAnsi="Times New Roman"/>
      <w:b/>
      <w:bCs/>
      <w:i/>
      <w:iCs/>
      <w:sz w:val="26"/>
      <w:szCs w:val="26"/>
    </w:rPr>
  </w:style>
  <w:style w:type="paragraph" w:styleId="Heading3">
    <w:name w:val="Heading 3"/>
    <w:basedOn w:val="Normal"/>
    <w:next w:val="Normal"/>
    <w:qFormat/>
    <w:pPr>
      <w:spacing w:before="240" w:after="160" w:line="48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2026-02-05T23:06:46.623Z</dcterms:created>
  <dcterms:modified xsi:type="dcterms:W3CDTF">2026-02-05T23:06:46.624Z</dcterms:modified>
</cp:coreProperties>
</file>

<file path=docProps/custom.xml><?xml version="1.0" encoding="utf-8"?>
<Properties xmlns="http://schemas.openxmlformats.org/officeDocument/2006/custom-properties" xmlns:vt="http://schemas.openxmlformats.org/officeDocument/2006/docPropsVTypes"/>
</file>