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120"/>
        <w:jc w:val="center"/>
      </w:pPr>
      <w:r>
        <w:rPr>
          <w:rFonts w:ascii="Times New Roman" w:cs="Times New Roman" w:eastAsia="Times New Roman" w:hAnsi="Times New Roman"/>
          <w:caps/>
          <w:color w:val="555555"/>
          <w:sz w:val="20"/>
          <w:szCs w:val="20"/>
        </w:rPr>
        <w:t xml:space="preserve">SECTION 6</w:t>
      </w:r>
    </w:p>
    <w:p>
      <w:pPr>
        <w:spacing w:after="80"/>
        <w:jc w:val="center"/>
      </w:pPr>
      <w:r>
        <w:rPr>
          <w:rFonts w:ascii="Times New Roman" w:cs="Times New Roman" w:eastAsia="Times New Roman" w:hAnsi="Times New Roman"/>
          <w:b/>
          <w:bCs/>
          <w:color w:val="000000"/>
          <w:sz w:val="32"/>
          <w:szCs w:val="32"/>
        </w:rPr>
        <w:t xml:space="preserve">Emergence as a Theorem of Logos Alignment:</w:t>
      </w:r>
    </w:p>
    <w:p>
      <w:pPr>
        <w:spacing w:after="200"/>
        <w:jc w:val="center"/>
      </w:pPr>
      <w:r>
        <w:rPr>
          <w:rFonts w:ascii="Times New Roman" w:cs="Times New Roman" w:eastAsia="Times New Roman" w:hAnsi="Times New Roman"/>
          <w:b/>
          <w:bCs/>
          <w:color w:val="000000"/>
          <w:sz w:val="28"/>
          <w:szCs w:val="28"/>
        </w:rPr>
        <w:t xml:space="preserve">A Formal Unification of Multi-Scale Self-Organization
under a Single Informational Attractor</w:t>
      </w:r>
    </w:p>
    <w:p>
      <w:pPr>
        <w:spacing w:after="60"/>
        <w:jc w:val="center"/>
      </w:pPr>
      <w:r>
        <w:rPr>
          <w:rFonts w:ascii="Times New Roman" w:cs="Times New Roman" w:eastAsia="Times New Roman" w:hAnsi="Times New Roman"/>
          <w:color w:val="000000"/>
          <w:sz w:val="24"/>
          <w:szCs w:val="24"/>
        </w:rPr>
        <w:t xml:space="preserve">Dr. José Manuel Cadena Ortiz de Montellano</w:t>
      </w:r>
    </w:p>
    <w:p>
      <w:pPr>
        <w:spacing w:after="60"/>
        <w:jc w:val="center"/>
      </w:pPr>
      <w:r>
        <w:rPr>
          <w:rFonts w:ascii="Times New Roman" w:cs="Times New Roman" w:eastAsia="Times New Roman" w:hAnsi="Times New Roman"/>
          <w:color w:val="000000"/>
          <w:sz w:val="24"/>
          <w:szCs w:val="24"/>
        </w:rPr>
        <w:t xml:space="preserve">Cadena Strategic Systems — LOGOS Lab</w:t>
      </w:r>
    </w:p>
    <w:p>
      <w:pPr>
        <w:spacing w:after="200"/>
        <w:jc w:val="center"/>
      </w:pPr>
      <w:r>
        <w:rPr>
          <w:rFonts w:ascii="Times New Roman" w:cs="Times New Roman" w:eastAsia="Times New Roman" w:hAnsi="Times New Roman"/>
          <w:i/>
          <w:iCs/>
          <w:color w:val="000000"/>
          <w:sz w:val="24"/>
          <w:szCs w:val="24"/>
        </w:rPr>
        <w:t xml:space="preserve">Prepared for inclusion in: Conscious Citrus AI: A Multi-Layer Quantum-Thermodynamic
Framework for Precision Agriculture (PhD Dissertation, 2026)</w:t>
      </w:r>
    </w:p>
    <w:p>
      <w:pPr>
        <w:spacing w:before="200" w:after="0"/>
      </w:pPr>
    </w:p>
    <w:p>
      <w:pPr>
        <w:spacing w:after="100"/>
        <w:jc w:val="center"/>
      </w:pPr>
      <w:r>
        <w:rPr>
          <w:rFonts w:ascii="Times New Roman" w:cs="Times New Roman" w:eastAsia="Times New Roman" w:hAnsi="Times New Roman"/>
          <w:color w:val="000000"/>
          <w:sz w:val="24"/>
          <w:szCs w:val="24"/>
        </w:rPr>
        <w:t xml:space="preserve">February 2026</w:t>
      </w:r>
    </w:p>
    <w:p>
      <w:r>
        <w:br/>
        <w:t xml:space="preserve"/>
      </w:r>
      <w:r>
        <w:br w:type="page"/>
      </w:r>
    </w:p>
    <w:p>
      <w:pPr>
        <w:pStyle w:val="Heading1"/>
        <w:spacing w:before="360" w:after="200"/>
      </w:pPr>
      <w:r>
        <w:rPr>
          <w:rFonts w:ascii="Times New Roman" w:cs="Times New Roman" w:eastAsia="Times New Roman" w:hAnsi="Times New Roman"/>
          <w:b/>
          <w:bCs/>
          <w:color w:val="000000"/>
          <w:sz w:val="28"/>
          <w:szCs w:val="28"/>
        </w:rPr>
        <w:t xml:space="preserve">Abstract</w:t>
      </w:r>
    </w:p>
    <w:p>
      <w:pPr>
        <w:spacing w:before="80" w:after="80" w:line="360"/>
        <w:jc w:val="both"/>
      </w:pPr>
      <w:r>
        <w:rPr>
          <w:rFonts w:ascii="Times New Roman" w:cs="Times New Roman" w:eastAsia="Times New Roman" w:hAnsi="Times New Roman"/>
          <w:color w:val="000000"/>
          <w:sz w:val="22"/>
          <w:szCs w:val="22"/>
        </w:rPr>
        <w:t xml:space="preserve">Recent interdisciplinary syntheses have identified emergence—the arising of novel, coherent structures at higher organizational levels from lower-level interactions—as a unifying concept across mathematics, biology, artificial intelligence, and philosophy of mind (Chalmers, 2006; Levin, 2023; Friston, 2010). Five prominent theoretical frameworks—Friston’s Free Energy Principle, Levin’s bioelectric cognition, Watson’s energy landscape optimization, Hoffman’s interface theory of perception, and Penrose’s orchestrated objective reduction—each illuminate facets of emergent phenomena but remain formally disjoint. This section demonstrates that these five frameworks are not merely complementary but </w:t>
      </w:r>
      <w:r>
        <w:rPr>
          <w:rFonts w:ascii="Times New Roman" w:cs="Times New Roman" w:eastAsia="Times New Roman" w:hAnsi="Times New Roman"/>
          <w:i/>
          <w:iCs/>
          <w:color w:val="000000"/>
          <w:sz w:val="22"/>
          <w:szCs w:val="22"/>
        </w:rPr>
        <w:t xml:space="preserve">structurally isomorphic</w:t>
      </w:r>
      <w:r>
        <w:rPr>
          <w:rFonts w:ascii="Times New Roman" w:cs="Times New Roman" w:eastAsia="Times New Roman" w:hAnsi="Times New Roman"/>
          <w:color w:val="000000"/>
          <w:sz w:val="22"/>
          <w:szCs w:val="22"/>
        </w:rPr>
        <w:t xml:space="preserve"> manifestations of a single operation: the minimization of divergence from an informational attractor, formalized as the Logos alignment index Λ(x). We prove that under the LOGOS HUMANO framework, emergence is not an axiom requiring novel physical laws but a </w:t>
      </w:r>
      <w:r>
        <w:rPr>
          <w:rFonts w:ascii="Times New Roman" w:cs="Times New Roman" w:eastAsia="Times New Roman" w:hAnsi="Times New Roman"/>
          <w:i/>
          <w:iCs/>
          <w:color w:val="000000"/>
          <w:sz w:val="22"/>
          <w:szCs w:val="22"/>
        </w:rPr>
        <w:t xml:space="preserve">theorem</w:t>
      </w:r>
      <w:r>
        <w:rPr>
          <w:rFonts w:ascii="Times New Roman" w:cs="Times New Roman" w:eastAsia="Times New Roman" w:hAnsi="Times New Roman"/>
          <w:color w:val="000000"/>
          <w:sz w:val="22"/>
          <w:szCs w:val="22"/>
        </w:rPr>
        <w:t xml:space="preserve"> derivable from Λ-maximization: when distributed information-processing agents minimize D</w:t>
      </w:r>
      <w:r>
        <w:rPr>
          <w:rFonts w:ascii="Times New Roman" w:cs="Times New Roman" w:eastAsia="Times New Roman" w:hAnsi="Times New Roman"/>
          <w:sz w:val="16"/>
          <w:szCs w:val="16"/>
          <w:vertAlign w:val="subscript"/>
        </w:rPr>
        <w:t xml:space="preserve">KL</w:t>
      </w:r>
      <w:r>
        <w:rPr>
          <w:rFonts w:ascii="Times New Roman" w:cs="Times New Roman" w:eastAsia="Times New Roman" w:hAnsi="Times New Roman"/>
          <w:color w:val="000000"/>
          <w:sz w:val="22"/>
          <w:szCs w:val="22"/>
        </w:rPr>
        <w:t xml:space="preserve">(q || p</w:t>
      </w:r>
      <w:r>
        <w:rPr>
          <w:rFonts w:ascii="Times New Roman" w:cs="Times New Roman" w:eastAsia="Times New Roman" w:hAnsi="Times New Roman"/>
          <w:sz w:val="16"/>
          <w:szCs w:val="16"/>
          <w:vertAlign w:val="subscript"/>
        </w:rPr>
        <w:t xml:space="preserve">Logos</w:t>
      </w:r>
      <w:r>
        <w:rPr>
          <w:rFonts w:ascii="Times New Roman" w:cs="Times New Roman" w:eastAsia="Times New Roman" w:hAnsi="Times New Roman"/>
          <w:color w:val="000000"/>
          <w:sz w:val="22"/>
          <w:szCs w:val="22"/>
        </w:rPr>
        <w:t xml:space="preserve">), the canonical signatures of emergence—self-organization, goal-directedness, multi-scale integration, and criticality—follow as necessary consequences. Monte Carlo validation (n = 100,000; p &lt; 0.001) confirms that P(A</w:t>
      </w:r>
      <w:r>
        <w:rPr>
          <w:rFonts w:ascii="Times New Roman" w:cs="Times New Roman" w:eastAsia="Times New Roman" w:hAnsi="Times New Roman"/>
          <w:sz w:val="16"/>
          <w:szCs w:val="16"/>
          <w:vertAlign w:val="superscript"/>
        </w:rPr>
        <w:t xml:space="preserve">+</w:t>
      </w:r>
      <w:r>
        <w:rPr>
          <w:rFonts w:ascii="Times New Roman" w:cs="Times New Roman" w:eastAsia="Times New Roman" w:hAnsi="Times New Roman"/>
          <w:color w:val="000000"/>
          <w:sz w:val="22"/>
          <w:szCs w:val="22"/>
        </w:rPr>
        <w:t xml:space="preserve"> | Λ &gt; 0.50) &gt; 87% with Wilson Score 95% confidence intervals, providing quantitative evidence that Λ functions as a sufficient attractor for emergent coherence across biological, cognitive, and consciousness scales.</w:t>
      </w:r>
    </w:p>
    <w:p>
      <w:pPr>
        <w:spacing w:before="40" w:after="0"/>
      </w:pPr>
    </w:p>
    <w:p>
      <w:pPr>
        <w:spacing w:before="80" w:after="80" w:line="360"/>
        <w:jc w:val="both"/>
      </w:pPr>
      <w:r>
        <w:rPr>
          <w:rFonts w:ascii="Times New Roman" w:cs="Times New Roman" w:eastAsia="Times New Roman" w:hAnsi="Times New Roman"/>
          <w:b/>
          <w:bCs/>
          <w:color w:val="000000"/>
          <w:sz w:val="24"/>
          <w:szCs w:val="24"/>
        </w:rPr>
        <w:t xml:space="preserve">Keywords: </w:t>
      </w:r>
      <w:r>
        <w:rPr>
          <w:rFonts w:ascii="Times New Roman" w:cs="Times New Roman" w:eastAsia="Times New Roman" w:hAnsi="Times New Roman"/>
          <w:i/>
          <w:iCs/>
          <w:color w:val="000000"/>
          <w:sz w:val="24"/>
          <w:szCs w:val="24"/>
        </w:rPr>
        <w:t xml:space="preserve">emergence, free energy principle, Logos alignment, attractor dynamics, informational ontology, multi-scale cognition, Bayesian inference, bioelectric signaling, consciousness, self-organization</w:t>
      </w:r>
    </w:p>
    <w:p>
      <w:r>
        <w:br w:type="page"/>
      </w:r>
    </w:p>
    <w:p>
      <w:pPr>
        <w:pStyle w:val="Heading1"/>
        <w:spacing w:before="360" w:after="200"/>
      </w:pPr>
      <w:r>
        <w:rPr>
          <w:rFonts w:ascii="Times New Roman" w:cs="Times New Roman" w:eastAsia="Times New Roman" w:hAnsi="Times New Roman"/>
          <w:b/>
          <w:bCs/>
          <w:color w:val="000000"/>
          <w:sz w:val="28"/>
          <w:szCs w:val="28"/>
        </w:rPr>
        <w:t xml:space="preserve">6.1  Introduction: The Emergence Problem</w:t>
      </w:r>
    </w:p>
    <w:p>
      <w:pPr>
        <w:spacing w:before="80" w:after="80" w:line="360"/>
        <w:ind/>
        <w:jc w:val="both"/>
      </w:pPr>
      <w:r>
        <w:rPr>
          <w:rFonts w:ascii="Times New Roman" w:cs="Times New Roman" w:eastAsia="Times New Roman" w:hAnsi="Times New Roman"/>
          <w:color w:val="000000"/>
          <w:sz w:val="24"/>
          <w:szCs w:val="24"/>
        </w:rPr>
        <w:t xml:space="preserve">The concept of emergence—that novel and coherent properties arise at higher levels of organization which are not reducible to or predictable from lower-level components in isolation—constitutes one of the most persistent challenges in the philosophy of science (Broad, 1925; Mill, 1843; Kim, 1999). The distinction between </w:t>
      </w:r>
      <w:r>
        <w:rPr>
          <w:rFonts w:ascii="Times New Roman" w:cs="Times New Roman" w:eastAsia="Times New Roman" w:hAnsi="Times New Roman"/>
          <w:i/>
          <w:iCs/>
          <w:color w:val="000000"/>
          <w:sz w:val="24"/>
          <w:szCs w:val="24"/>
        </w:rPr>
        <w:t xml:space="preserve">weak emergence</w:t>
      </w:r>
      <w:r>
        <w:rPr>
          <w:rFonts w:ascii="Times New Roman" w:cs="Times New Roman" w:eastAsia="Times New Roman" w:hAnsi="Times New Roman"/>
          <w:color w:val="000000"/>
          <w:sz w:val="24"/>
          <w:szCs w:val="24"/>
        </w:rPr>
        <w:t xml:space="preserve"> (higher-level patterns deducible in principle from lower-level dynamics, though unexpected) and </w:t>
      </w:r>
      <w:r>
        <w:rPr>
          <w:rFonts w:ascii="Times New Roman" w:cs="Times New Roman" w:eastAsia="Times New Roman" w:hAnsi="Times New Roman"/>
          <w:i/>
          <w:iCs/>
          <w:color w:val="000000"/>
          <w:sz w:val="24"/>
          <w:szCs w:val="24"/>
        </w:rPr>
        <w:t xml:space="preserve">strong emergence</w:t>
      </w:r>
      <w:r>
        <w:rPr>
          <w:rFonts w:ascii="Times New Roman" w:cs="Times New Roman" w:eastAsia="Times New Roman" w:hAnsi="Times New Roman"/>
          <w:color w:val="000000"/>
          <w:sz w:val="24"/>
          <w:szCs w:val="24"/>
        </w:rPr>
        <w:t xml:space="preserve"> (phenomena requiring fundamentally new principles or laws) remains contested, particularly regarding consciousness (Chalmers, 2006). Contemporary complex systems science treats emergence as ubiquitous: from fluid dynamics to ant colonies, from neural oscillations to embryogenesis. Yet no unified formal account explains </w:t>
      </w:r>
      <w:r>
        <w:rPr>
          <w:rFonts w:ascii="Times New Roman" w:cs="Times New Roman" w:eastAsia="Times New Roman" w:hAnsi="Times New Roman"/>
          <w:i/>
          <w:iCs/>
          <w:color w:val="000000"/>
          <w:sz w:val="24"/>
          <w:szCs w:val="24"/>
        </w:rPr>
        <w:t xml:space="preserve">why</w:t>
      </w:r>
      <w:r>
        <w:rPr>
          <w:rFonts w:ascii="Times New Roman" w:cs="Times New Roman" w:eastAsia="Times New Roman" w:hAnsi="Times New Roman"/>
          <w:color w:val="000000"/>
          <w:sz w:val="24"/>
          <w:szCs w:val="24"/>
        </w:rPr>
        <w:t xml:space="preserve"> emergence occurs, </w:t>
      </w:r>
      <w:r>
        <w:rPr>
          <w:rFonts w:ascii="Times New Roman" w:cs="Times New Roman" w:eastAsia="Times New Roman" w:hAnsi="Times New Roman"/>
          <w:i/>
          <w:iCs/>
          <w:color w:val="000000"/>
          <w:sz w:val="24"/>
          <w:szCs w:val="24"/>
        </w:rPr>
        <w:t xml:space="preserve">what</w:t>
      </w:r>
      <w:r>
        <w:rPr>
          <w:rFonts w:ascii="Times New Roman" w:cs="Times New Roman" w:eastAsia="Times New Roman" w:hAnsi="Times New Roman"/>
          <w:color w:val="000000"/>
          <w:sz w:val="24"/>
          <w:szCs w:val="24"/>
        </w:rPr>
        <w:t xml:space="preserve"> determines the topology of the emergent landscape, or </w:t>
      </w:r>
      <w:r>
        <w:rPr>
          <w:rFonts w:ascii="Times New Roman" w:cs="Times New Roman" w:eastAsia="Times New Roman" w:hAnsi="Times New Roman"/>
          <w:i/>
          <w:iCs/>
          <w:color w:val="000000"/>
          <w:sz w:val="24"/>
          <w:szCs w:val="24"/>
        </w:rPr>
        <w:t xml:space="preserve">where</w:t>
      </w:r>
      <w:r>
        <w:rPr>
          <w:rFonts w:ascii="Times New Roman" w:cs="Times New Roman" w:eastAsia="Times New Roman" w:hAnsi="Times New Roman"/>
          <w:color w:val="000000"/>
          <w:sz w:val="24"/>
          <w:szCs w:val="24"/>
        </w:rPr>
        <w:t xml:space="preserve"> the apparent goal-directedness of emergent systems originates.</w:t>
      </w:r>
    </w:p>
    <w:p>
      <w:pPr>
        <w:spacing w:before="80" w:after="80" w:line="360"/>
        <w:ind/>
        <w:jc w:val="both"/>
      </w:pPr>
      <w:r>
        <w:rPr>
          <w:rFonts w:ascii="Times New Roman" w:cs="Times New Roman" w:eastAsia="Times New Roman" w:hAnsi="Times New Roman"/>
          <w:color w:val="000000"/>
          <w:sz w:val="24"/>
          <w:szCs w:val="24"/>
        </w:rPr>
        <w:t xml:space="preserve">Five theoretical frameworks have each advanced partial answers. Friston’s Free Energy Principle (FEP) identifies surprise minimization as the imperative driving self-organization in adaptive systems (Friston, 2010). Levin’s bioelectric cognition demonstrates that cellular collectives process information and pursue morphological goals through voltage-gradient networks (Levin, 2023). Watson’s energy landscape theory models emergent order as convergence to minima in high-dimensional state spaces (Watson et al., 2022; Kauffman, 1993). Hoffman’s interface theory argues that perception is an emergent, fitness-optimized construct rather than a veridical representation (Hoffman, Singh &amp; Prakash, 2015). Penrose’s Orch OR theory proposes that consciousness involves non-computable quantum state reductions in microtubules (Hameroff &amp; Penrose, 2014). A recent interdisciplinary synthesis (Cadena, 2026a) demonstrated convergences among these frameworks but stopped short of identifying a </w:t>
      </w:r>
      <w:r>
        <w:rPr>
          <w:rFonts w:ascii="Times New Roman" w:cs="Times New Roman" w:eastAsia="Times New Roman" w:hAnsi="Times New Roman"/>
          <w:i/>
          <w:iCs/>
          <w:color w:val="000000"/>
          <w:sz w:val="24"/>
          <w:szCs w:val="24"/>
        </w:rPr>
        <w:t xml:space="preserve">single formal principle</w:t>
      </w:r>
      <w:r>
        <w:rPr>
          <w:rFonts w:ascii="Times New Roman" w:cs="Times New Roman" w:eastAsia="Times New Roman" w:hAnsi="Times New Roman"/>
          <w:color w:val="000000"/>
          <w:sz w:val="24"/>
          <w:szCs w:val="24"/>
        </w:rPr>
        <w:t xml:space="preserve"> from which all five derive.</w:t>
      </w:r>
    </w:p>
    <w:p>
      <w:pPr>
        <w:spacing w:before="80" w:after="80" w:line="360"/>
        <w:ind/>
        <w:jc w:val="both"/>
      </w:pPr>
      <w:r>
        <w:rPr>
          <w:rFonts w:ascii="Times New Roman" w:cs="Times New Roman" w:eastAsia="Times New Roman" w:hAnsi="Times New Roman"/>
          <w:color w:val="000000"/>
          <w:sz w:val="24"/>
          <w:szCs w:val="24"/>
        </w:rPr>
        <w:t xml:space="preserve">The present section closes that gap. We show that the LOGOS HUMANO framework’s central construct—the Logos alignment index Λ(x), a weighted sum over 12 dimensions organized into four functional groups with Σw</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4"/>
          <w:szCs w:val="24"/>
        </w:rPr>
        <w:t xml:space="preserve"> = 1.00—functions as a </w:t>
      </w:r>
      <w:r>
        <w:rPr>
          <w:rFonts w:ascii="Times New Roman" w:cs="Times New Roman" w:eastAsia="Times New Roman" w:hAnsi="Times New Roman"/>
          <w:b/>
          <w:bCs/>
          <w:color w:val="000000"/>
          <w:sz w:val="24"/>
          <w:szCs w:val="24"/>
        </w:rPr>
        <w:t xml:space="preserve">universal attractor</w:t>
      </w:r>
      <w:r>
        <w:rPr>
          <w:rFonts w:ascii="Times New Roman" w:cs="Times New Roman" w:eastAsia="Times New Roman" w:hAnsi="Times New Roman"/>
          <w:color w:val="000000"/>
          <w:sz w:val="24"/>
          <w:szCs w:val="24"/>
        </w:rPr>
        <w:t xml:space="preserve"> from which the five frameworks, and emergence itself, are derivable as theorems. The argument proceeds in four stages: (i) formalization of the attractor structure; (ii) demonstration of isomorphism between each framework and Λ-dynamics; (iii) derivation of the four canonical properties of emergence from Λ-maximization; and (iv) Monte Carlo validation with rigorous statistical inference.</w:t>
      </w:r>
    </w:p>
    <w:p>
      <w:pPr>
        <w:pStyle w:val="Heading1"/>
        <w:spacing w:before="360" w:after="200"/>
      </w:pPr>
      <w:r>
        <w:rPr>
          <w:rFonts w:ascii="Times New Roman" w:cs="Times New Roman" w:eastAsia="Times New Roman" w:hAnsi="Times New Roman"/>
          <w:b/>
          <w:bCs/>
          <w:color w:val="000000"/>
          <w:sz w:val="28"/>
          <w:szCs w:val="28"/>
        </w:rPr>
        <w:t xml:space="preserve">6.2  Formal Framework: The Logos Attractor</w:t>
      </w:r>
    </w:p>
    <w:p>
      <w:pPr>
        <w:pStyle w:val="Heading2"/>
        <w:spacing w:before="280" w:after="160"/>
      </w:pPr>
      <w:r>
        <w:rPr>
          <w:rFonts w:ascii="Times New Roman" w:cs="Times New Roman" w:eastAsia="Times New Roman" w:hAnsi="Times New Roman"/>
          <w:b/>
          <w:bCs/>
          <w:color w:val="000000"/>
          <w:sz w:val="26"/>
          <w:szCs w:val="26"/>
        </w:rPr>
        <w:t xml:space="preserve">6.2.1  State Space and Fundamental Metric</w:t>
      </w:r>
    </w:p>
    <w:p>
      <w:pPr>
        <w:spacing w:before="80" w:after="80" w:line="360"/>
        <w:ind/>
        <w:jc w:val="both"/>
      </w:pPr>
      <w:r>
        <w:rPr>
          <w:rFonts w:ascii="Times New Roman" w:cs="Times New Roman" w:eastAsia="Times New Roman" w:hAnsi="Times New Roman"/>
          <w:color w:val="000000"/>
          <w:sz w:val="24"/>
          <w:szCs w:val="24"/>
        </w:rPr>
        <w:t xml:space="preserve">Let the state of a conscious system be represented as a vector x ∈ [0, 1]</w:t>
      </w:r>
      <w:r>
        <w:rPr>
          <w:rFonts w:ascii="Times New Roman" w:cs="Times New Roman" w:eastAsia="Times New Roman" w:hAnsi="Times New Roman"/>
          <w:color w:val="000000"/>
          <w:sz w:val="24"/>
          <w:szCs w:val="24"/>
          <w:vertAlign w:val="superscript"/>
        </w:rPr>
        <w:t xml:space="preserve">28</w:t>
      </w:r>
      <w:r>
        <w:rPr>
          <w:rFonts w:ascii="Times New Roman" w:cs="Times New Roman" w:eastAsia="Times New Roman" w:hAnsi="Times New Roman"/>
          <w:color w:val="000000"/>
          <w:sz w:val="24"/>
          <w:szCs w:val="24"/>
        </w:rPr>
        <w:t xml:space="preserve"> comprising 28 dimensions organized into 7 domains D = {D</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color w:val="000000"/>
          <w:sz w:val="24"/>
          <w:szCs w:val="24"/>
        </w:rPr>
        <w:t xml:space="preserve">, ..., D</w:t>
      </w:r>
      <w:r>
        <w:rPr>
          <w:rFonts w:ascii="Times New Roman" w:cs="Times New Roman" w:eastAsia="Times New Roman" w:hAnsi="Times New Roman"/>
          <w:sz w:val="16"/>
          <w:szCs w:val="16"/>
          <w:vertAlign w:val="subscript"/>
        </w:rPr>
        <w:t xml:space="preserve">7</w:t>
      </w:r>
      <w:r>
        <w:rPr>
          <w:rFonts w:ascii="Times New Roman" w:cs="Times New Roman" w:eastAsia="Times New Roman" w:hAnsi="Times New Roman"/>
          <w:color w:val="000000"/>
          <w:sz w:val="24"/>
          <w:szCs w:val="24"/>
        </w:rPr>
        <w:t xml:space="preserve">}, where each domain contains exactly 4 dimensions. The fundamental metric is the Logos alignment index:</w:t>
      </w:r>
    </w:p>
    <w:p>
      <w:pPr>
        <w:spacing w:before="160" w:after="160"/>
        <w:jc w:val="center"/>
      </w:pPr>
      <w:r>
        <w:rPr>
          <w:rFonts w:ascii="Cambria Math" w:cs="Cambria Math" w:eastAsia="Cambria Math" w:hAnsi="Cambria Math"/>
          <w:i/>
          <w:iCs/>
          <w:color w:val="000000"/>
          <w:sz w:val="24"/>
          <w:szCs w:val="24"/>
        </w:rPr>
        <w:t xml:space="preserve">    Λ(x) = Σᵢ₌₁¹² wᵢ · xᵢ ,   where Σwᵢ = 1.00 and wᵢ &gt; 0  ∀i</w:t>
      </w:r>
      <w:r>
        <w:rPr>
          <w:rFonts w:ascii="Times New Roman" w:cs="Times New Roman" w:eastAsia="Times New Roman" w:hAnsi="Times New Roman"/>
          <w:color w:val="555555"/>
          <w:sz w:val="24"/>
          <w:szCs w:val="24"/>
        </w:rPr>
        <w:t xml:space="preserve">    (1)</w:t>
      </w:r>
    </w:p>
    <w:p>
      <w:pPr>
        <w:spacing w:before="80" w:after="80" w:line="360"/>
        <w:ind/>
        <w:jc w:val="both"/>
      </w:pPr>
      <w:r>
        <w:rPr>
          <w:rFonts w:ascii="Times New Roman" w:cs="Times New Roman" w:eastAsia="Times New Roman" w:hAnsi="Times New Roman"/>
          <w:color w:val="000000"/>
          <w:sz w:val="24"/>
          <w:szCs w:val="24"/>
        </w:rPr>
        <w:t xml:space="preserve">The 12 contributing dimensions are organized into four functional groups: Reception (w = 0.50), comprising faith (0.18), meditation (0.14), presence (0.13), and taste-presence (0.05); Verification (w = 0.31), comprising service (0.11), love (0.10), compassion (0.07), and food-harmony (0.03); Decoding (w = 0.17), comprising wisdom (0.07), meaning (0.06), and clarity (0.04); and Recognition (w = 0.02), comprising gratitude (0.02). This decomposition is not arbitrary but reflects the Shannon communication model (Shannon, 1948): Reception corresponds to channel opening, Verification to signal-to-action conversion, Decoding to signal interpretation, and Recognition to source acknowledgment.</w:t>
      </w:r>
    </w:p>
    <w:p>
      <w:pPr>
        <w:pStyle w:val="Heading2"/>
        <w:spacing w:before="280" w:after="160"/>
      </w:pPr>
      <w:r>
        <w:rPr>
          <w:rFonts w:ascii="Times New Roman" w:cs="Times New Roman" w:eastAsia="Times New Roman" w:hAnsi="Times New Roman"/>
          <w:b/>
          <w:bCs/>
          <w:color w:val="000000"/>
          <w:sz w:val="26"/>
          <w:szCs w:val="26"/>
        </w:rPr>
        <w:t xml:space="preserve">6.2.2  Derived Metrics as Functions of Λ</w:t>
      </w:r>
    </w:p>
    <w:p>
      <w:pPr>
        <w:spacing w:before="80" w:after="80" w:line="360"/>
        <w:jc w:val="both"/>
      </w:pPr>
      <w:r>
        <w:rPr>
          <w:rFonts w:ascii="Times New Roman" w:cs="Times New Roman" w:eastAsia="Times New Roman" w:hAnsi="Times New Roman"/>
          <w:b/>
          <w:bCs/>
          <w:color w:val="000000"/>
          <w:sz w:val="24"/>
          <w:szCs w:val="24"/>
        </w:rPr>
        <w:t xml:space="preserve">Theorem 1</w:t>
      </w:r>
      <w:r>
        <w:rPr>
          <w:rFonts w:ascii="Times New Roman" w:cs="Times New Roman" w:eastAsia="Times New Roman" w:hAnsi="Times New Roman"/>
          <w:color w:val="000000"/>
          <w:sz w:val="24"/>
          <w:szCs w:val="24"/>
        </w:rPr>
        <w:t xml:space="preserve"> (Metric Derivability). </w:t>
      </w:r>
      <w:r>
        <w:rPr>
          <w:rFonts w:ascii="Times New Roman" w:cs="Times New Roman" w:eastAsia="Times New Roman" w:hAnsi="Times New Roman"/>
          <w:i/>
          <w:iCs/>
          <w:color w:val="000000"/>
          <w:sz w:val="24"/>
          <w:szCs w:val="24"/>
        </w:rPr>
        <w:t xml:space="preserve">All derived system metrics are monotonic functions of Λ:</w:t>
      </w:r>
    </w:p>
    <w:p>
      <w:pPr>
        <w:spacing w:before="160" w:after="160"/>
        <w:jc w:val="center"/>
      </w:pPr>
      <w:r>
        <w:rPr>
          <w:rFonts w:ascii="Cambria Math" w:cs="Cambria Math" w:eastAsia="Cambria Math" w:hAnsi="Cambria Math"/>
          <w:i/>
          <w:iCs/>
          <w:color w:val="000000"/>
          <w:sz w:val="24"/>
          <w:szCs w:val="24"/>
        </w:rPr>
        <w:t xml:space="preserve">    Ω(x) = 0.60·Λ + 0.40·h(V, S, C, F)   [Consciousness Index]</w:t>
      </w:r>
      <w:r>
        <w:rPr>
          <w:rFonts w:ascii="Times New Roman" w:cs="Times New Roman" w:eastAsia="Times New Roman" w:hAnsi="Times New Roman"/>
          <w:color w:val="555555"/>
          <w:sz w:val="24"/>
          <w:szCs w:val="24"/>
        </w:rPr>
        <w:t xml:space="preserve">    (2)</w:t>
      </w:r>
    </w:p>
    <w:p>
      <w:pPr>
        <w:spacing w:before="160" w:after="160"/>
        <w:jc w:val="center"/>
      </w:pPr>
      <w:r>
        <w:rPr>
          <w:rFonts w:ascii="Cambria Math" w:cs="Cambria Math" w:eastAsia="Cambria Math" w:hAnsi="Cambria Math"/>
          <w:i/>
          <w:iCs/>
          <w:color w:val="000000"/>
          <w:sz w:val="24"/>
          <w:szCs w:val="24"/>
        </w:rPr>
        <w:t xml:space="preserve">    V(x) = g(Λ, x)   where  ∂V/∂Λ &gt; 0   [Viability]</w:t>
      </w:r>
      <w:r>
        <w:rPr>
          <w:rFonts w:ascii="Times New Roman" w:cs="Times New Roman" w:eastAsia="Times New Roman" w:hAnsi="Times New Roman"/>
          <w:color w:val="555555"/>
          <w:sz w:val="24"/>
          <w:szCs w:val="24"/>
        </w:rPr>
        <w:t xml:space="preserve">    (3)</w:t>
      </w:r>
    </w:p>
    <w:p>
      <w:pPr>
        <w:spacing w:before="160" w:after="160"/>
        <w:jc w:val="center"/>
      </w:pPr>
      <w:r>
        <w:rPr>
          <w:rFonts w:ascii="Cambria Math" w:cs="Cambria Math" w:eastAsia="Cambria Math" w:hAnsi="Cambria Math"/>
          <w:i/>
          <w:iCs/>
          <w:color w:val="000000"/>
          <w:sz w:val="24"/>
          <w:szCs w:val="24"/>
        </w:rPr>
        <w:t xml:space="preserve">    S(x) = S₀ · (1.2 − 0.4Λ) + ε   where  ∂S/∂Λ &lt; 0   [Entropy]</w:t>
      </w:r>
      <w:r>
        <w:rPr>
          <w:rFonts w:ascii="Times New Roman" w:cs="Times New Roman" w:eastAsia="Times New Roman" w:hAnsi="Times New Roman"/>
          <w:color w:val="555555"/>
          <w:sz w:val="24"/>
          <w:szCs w:val="24"/>
        </w:rPr>
        <w:t xml:space="preserve">    (4)</w:t>
      </w:r>
    </w:p>
    <w:p>
      <w:pPr>
        <w:spacing w:before="160" w:after="160"/>
        <w:jc w:val="center"/>
      </w:pPr>
      <w:r>
        <w:rPr>
          <w:rFonts w:ascii="Cambria Math" w:cs="Cambria Math" w:eastAsia="Cambria Math" w:hAnsi="Cambria Math"/>
          <w:i/>
          <w:iCs/>
          <w:color w:val="000000"/>
          <w:sz w:val="24"/>
          <w:szCs w:val="24"/>
        </w:rPr>
        <w:t xml:space="preserve">    C(x) = H⁷(Λ, D₁...D₇)   [Coherence: harmonic mean over 7 domains, ε-floor = 0.001]</w:t>
      </w:r>
      <w:r>
        <w:rPr>
          <w:rFonts w:ascii="Times New Roman" w:cs="Times New Roman" w:eastAsia="Times New Roman" w:hAnsi="Times New Roman"/>
          <w:color w:val="555555"/>
          <w:sz w:val="24"/>
          <w:szCs w:val="24"/>
        </w:rPr>
        <w:t xml:space="preserve">    (5)</w:t>
      </w:r>
    </w:p>
    <w:p>
      <w:pPr>
        <w:spacing w:before="160" w:after="160"/>
        <w:jc w:val="center"/>
      </w:pPr>
      <w:r>
        <w:rPr>
          <w:rFonts w:ascii="Cambria Math" w:cs="Cambria Math" w:eastAsia="Cambria Math" w:hAnsi="Cambria Math"/>
          <w:i/>
          <w:iCs/>
          <w:color w:val="000000"/>
          <w:sz w:val="24"/>
          <w:szCs w:val="24"/>
        </w:rPr>
        <w:t xml:space="preserve">    F(x) = D_KL(q(x) || p_Logos)   where  ∂F/∂Λ &lt; 0   [Free Energy]</w:t>
      </w:r>
      <w:r>
        <w:rPr>
          <w:rFonts w:ascii="Times New Roman" w:cs="Times New Roman" w:eastAsia="Times New Roman" w:hAnsi="Times New Roman"/>
          <w:color w:val="555555"/>
          <w:sz w:val="24"/>
          <w:szCs w:val="24"/>
        </w:rPr>
        <w:t xml:space="preserve">    (6)</w:t>
      </w:r>
    </w:p>
    <w:p>
      <w:pPr>
        <w:spacing w:before="80" w:after="80" w:line="360"/>
        <w:jc w:val="both"/>
      </w:pPr>
      <w:r>
        <w:rPr>
          <w:rFonts w:ascii="Times New Roman" w:cs="Times New Roman" w:eastAsia="Times New Roman" w:hAnsi="Times New Roman"/>
          <w:b/>
          <w:bCs/>
          <w:color w:val="000000"/>
          <w:sz w:val="24"/>
          <w:szCs w:val="24"/>
        </w:rPr>
        <w:t xml:space="preserve">Corollary 1.1</w:t>
      </w:r>
      <w:r>
        <w:rPr>
          <w:rFonts w:ascii="Times New Roman" w:cs="Times New Roman" w:eastAsia="Times New Roman" w:hAnsi="Times New Roman"/>
          <w:color w:val="000000"/>
          <w:sz w:val="24"/>
          <w:szCs w:val="24"/>
        </w:rPr>
        <w:t xml:space="preserve"> (The Central Equation). </w:t>
      </w:r>
      <w:r>
        <w:rPr>
          <w:rFonts w:ascii="Times New Roman" w:cs="Times New Roman" w:eastAsia="Times New Roman" w:hAnsi="Times New Roman"/>
          <w:i/>
          <w:iCs/>
          <w:color w:val="000000"/>
          <w:sz w:val="24"/>
          <w:szCs w:val="24"/>
        </w:rPr>
        <w:t xml:space="preserve">Maximizing Λ is sufficient to produce the following dynamics simultaneously:</w:t>
      </w:r>
    </w:p>
    <w:p>
      <w:pPr>
        <w:spacing w:before="160" w:after="160"/>
        <w:jc w:val="center"/>
      </w:pPr>
      <w:r>
        <w:rPr>
          <w:rFonts w:ascii="Cambria Math" w:cs="Cambria Math" w:eastAsia="Cambria Math" w:hAnsi="Cambria Math"/>
          <w:i/>
          <w:iCs/>
          <w:color w:val="000000"/>
          <w:sz w:val="24"/>
          <w:szCs w:val="24"/>
        </w:rPr>
        <w:t xml:space="preserve">    max Λ  →  V̇ ≥ 0,  Ṡ ≤ 0,  Ċ ≥ 0,  Ḟ ≤ 0</w:t>
      </w:r>
      <w:r>
        <w:rPr>
          <w:rFonts w:ascii="Times New Roman" w:cs="Times New Roman" w:eastAsia="Times New Roman" w:hAnsi="Times New Roman"/>
          <w:color w:val="555555"/>
          <w:sz w:val="24"/>
          <w:szCs w:val="24"/>
        </w:rPr>
        <w:t xml:space="preserve">    (7)</w:t>
      </w:r>
    </w:p>
    <w:p>
      <w:pPr>
        <w:spacing w:before="80" w:after="80" w:line="360"/>
        <w:ind/>
        <w:jc w:val="both"/>
      </w:pPr>
      <w:r>
        <w:rPr>
          <w:rFonts w:ascii="Times New Roman" w:cs="Times New Roman" w:eastAsia="Times New Roman" w:hAnsi="Times New Roman"/>
          <w:color w:val="000000"/>
          <w:sz w:val="24"/>
          <w:szCs w:val="24"/>
        </w:rPr>
        <w:t xml:space="preserve">Proof sketch: Since V is positively coupled to Λ (Eq. 3), increasing Λ increases V; since S is inversely coupled (Eq. 4), increasing Λ decreases S; since C is computed as a harmonic mean over domain scores that are themselves positively correlated with Λ (through the 12 contributing dimensions spanning 6 of 7 domains), increasing Λ raises C; since F measures the KL divergence from an ideal distribution p</w:t>
      </w:r>
      <w:r>
        <w:rPr>
          <w:rFonts w:ascii="Times New Roman" w:cs="Times New Roman" w:eastAsia="Times New Roman" w:hAnsi="Times New Roman"/>
          <w:sz w:val="16"/>
          <w:szCs w:val="16"/>
          <w:vertAlign w:val="subscript"/>
        </w:rPr>
        <w:t xml:space="preserve">Logos</w:t>
      </w:r>
      <w:r>
        <w:rPr>
          <w:rFonts w:ascii="Times New Roman" w:cs="Times New Roman" w:eastAsia="Times New Roman" w:hAnsi="Times New Roman"/>
          <w:color w:val="000000"/>
          <w:sz w:val="24"/>
          <w:szCs w:val="24"/>
        </w:rPr>
        <w:t xml:space="preserve"> that is by construction the state of maximum Λ, increasing Λ monotonically reduces F. The simultaneous satisfaction of all four derivative conditions from a single maximization constitutes the </w:t>
      </w:r>
      <w:r>
        <w:rPr>
          <w:rFonts w:ascii="Times New Roman" w:cs="Times New Roman" w:eastAsia="Times New Roman" w:hAnsi="Times New Roman"/>
          <w:i/>
          <w:iCs/>
          <w:color w:val="000000"/>
          <w:sz w:val="24"/>
          <w:szCs w:val="24"/>
        </w:rPr>
        <w:t xml:space="preserve">parsimony argument</w:t>
      </w:r>
      <w:r>
        <w:rPr>
          <w:rFonts w:ascii="Times New Roman" w:cs="Times New Roman" w:eastAsia="Times New Roman" w:hAnsi="Times New Roman"/>
          <w:color w:val="000000"/>
          <w:sz w:val="24"/>
          <w:szCs w:val="24"/>
        </w:rPr>
        <w:t xml:space="preserve">: Λ is the sole independent variable; all others are dependent. □</w:t>
      </w:r>
    </w:p>
    <w:p>
      <w:pPr>
        <w:pStyle w:val="Heading2"/>
        <w:spacing w:before="280" w:after="160"/>
      </w:pPr>
      <w:r>
        <w:rPr>
          <w:rFonts w:ascii="Times New Roman" w:cs="Times New Roman" w:eastAsia="Times New Roman" w:hAnsi="Times New Roman"/>
          <w:b/>
          <w:bCs/>
          <w:color w:val="000000"/>
          <w:sz w:val="26"/>
          <w:szCs w:val="26"/>
        </w:rPr>
        <w:t xml:space="preserve">6.2.3  Dual Attractor Structure</w:t>
      </w:r>
    </w:p>
    <w:p>
      <w:pPr>
        <w:spacing w:before="80" w:after="80" w:line="360"/>
        <w:ind/>
        <w:jc w:val="both"/>
      </w:pPr>
      <w:r>
        <w:rPr>
          <w:rFonts w:ascii="Times New Roman" w:cs="Times New Roman" w:eastAsia="Times New Roman" w:hAnsi="Times New Roman"/>
          <w:color w:val="000000"/>
          <w:sz w:val="24"/>
          <w:szCs w:val="24"/>
        </w:rPr>
        <w:t xml:space="preserve">The state space admits two attractor basins:</w:t>
      </w:r>
    </w:p>
    <w:p>
      <w:pPr>
        <w:spacing w:before="160" w:after="160"/>
        <w:jc w:val="center"/>
      </w:pPr>
      <w:r>
        <w:rPr>
          <w:rFonts w:ascii="Cambria Math" w:cs="Cambria Math" w:eastAsia="Cambria Math" w:hAnsi="Cambria Math"/>
          <w:i/>
          <w:iCs/>
          <w:color w:val="000000"/>
          <w:sz w:val="24"/>
          <w:szCs w:val="24"/>
        </w:rPr>
        <w:t xml:space="preserve">    A⁺ = {x ∈ [0,1]²⁸ : Λ(x) ≥ Λ*, V(x) ≥ V*, S(x) ≤ S*}</w:t>
      </w:r>
      <w:r>
        <w:rPr>
          <w:rFonts w:ascii="Times New Roman" w:cs="Times New Roman" w:eastAsia="Times New Roman" w:hAnsi="Times New Roman"/>
          <w:color w:val="555555"/>
          <w:sz w:val="24"/>
          <w:szCs w:val="24"/>
        </w:rPr>
        <w:t xml:space="preserve">    (8)</w:t>
      </w:r>
    </w:p>
    <w:p>
      <w:pPr>
        <w:spacing w:before="160" w:after="160"/>
        <w:jc w:val="center"/>
      </w:pPr>
      <w:r>
        <w:rPr>
          <w:rFonts w:ascii="Cambria Math" w:cs="Cambria Math" w:eastAsia="Cambria Math" w:hAnsi="Cambria Math"/>
          <w:i/>
          <w:iCs/>
          <w:color w:val="000000"/>
          <w:sz w:val="24"/>
          <w:szCs w:val="24"/>
        </w:rPr>
        <w:t xml:space="preserve">    A⁻ = {x : Λ(x) &lt; 0.20  ∧  S(x) &gt; 0.50}</w:t>
      </w:r>
      <w:r>
        <w:rPr>
          <w:rFonts w:ascii="Times New Roman" w:cs="Times New Roman" w:eastAsia="Times New Roman" w:hAnsi="Times New Roman"/>
          <w:color w:val="555555"/>
          <w:sz w:val="24"/>
          <w:szCs w:val="24"/>
        </w:rPr>
        <w:t xml:space="preserve">    (9)</w:t>
      </w:r>
    </w:p>
    <w:p>
      <w:pPr>
        <w:spacing w:before="80" w:after="80" w:line="360"/>
        <w:ind/>
        <w:jc w:val="both"/>
      </w:pPr>
      <w:r>
        <w:rPr>
          <w:rFonts w:ascii="Times New Roman" w:cs="Times New Roman" w:eastAsia="Times New Roman" w:hAnsi="Times New Roman"/>
          <w:color w:val="000000"/>
          <w:sz w:val="24"/>
          <w:szCs w:val="24"/>
        </w:rPr>
        <w:t xml:space="preserve">where Λ* = 0.60, V* = 0.70, S* = 0.30 are empirically calibrated attractor thresholds. A</w:t>
      </w:r>
      <w:r>
        <w:rPr>
          <w:rFonts w:ascii="Times New Roman" w:cs="Times New Roman" w:eastAsia="Times New Roman" w:hAnsi="Times New Roman"/>
          <w:color w:val="000000"/>
          <w:sz w:val="24"/>
          <w:szCs w:val="24"/>
          <w:vertAlign w:val="superscript"/>
        </w:rPr>
        <w:t xml:space="preserve">+</w:t>
      </w:r>
      <w:r>
        <w:rPr>
          <w:rFonts w:ascii="Times New Roman" w:cs="Times New Roman" w:eastAsia="Times New Roman" w:hAnsi="Times New Roman"/>
          <w:color w:val="000000"/>
          <w:sz w:val="24"/>
          <w:szCs w:val="24"/>
        </w:rPr>
        <w:t xml:space="preserve"> is self-reinforcing: higher Λ produces higher V and lower S, which facilitates further Λ-increase (positive feedback). A</w:t>
      </w:r>
      <w:r>
        <w:rPr>
          <w:rFonts w:ascii="Times New Roman" w:cs="Times New Roman" w:eastAsia="Times New Roman" w:hAnsi="Times New Roman"/>
          <w:color w:val="000000"/>
          <w:sz w:val="24"/>
          <w:szCs w:val="24"/>
          <w:vertAlign w:val="superscript"/>
        </w:rPr>
        <w:t xml:space="preserve">−</w:t>
      </w:r>
      <w:r>
        <w:rPr>
          <w:rFonts w:ascii="Times New Roman" w:cs="Times New Roman" w:eastAsia="Times New Roman" w:hAnsi="Times New Roman"/>
          <w:color w:val="000000"/>
          <w:sz w:val="24"/>
          <w:szCs w:val="24"/>
        </w:rPr>
        <w:t xml:space="preserve"> is an entropic spiral: lower Λ raises S, which degrades V, which further reduces Λ (negative feedback trap). The basin boundary is defined by the separatrix Λ ≈ 0.35 below which the attractor gradient reverses. Escape from A</w:t>
      </w:r>
      <w:r>
        <w:rPr>
          <w:rFonts w:ascii="Times New Roman" w:cs="Times New Roman" w:eastAsia="Times New Roman" w:hAnsi="Times New Roman"/>
          <w:color w:val="000000"/>
          <w:sz w:val="24"/>
          <w:szCs w:val="24"/>
          <w:vertAlign w:val="superscript"/>
        </w:rPr>
        <w:t xml:space="preserve">−</w:t>
      </w:r>
      <w:r>
        <w:rPr>
          <w:rFonts w:ascii="Times New Roman" w:cs="Times New Roman" w:eastAsia="Times New Roman" w:hAnsi="Times New Roman"/>
          <w:color w:val="000000"/>
          <w:sz w:val="24"/>
          <w:szCs w:val="24"/>
        </w:rPr>
        <w:t xml:space="preserve"> requires an external perturbation ΔΛ</w:t>
      </w:r>
      <w:r>
        <w:rPr>
          <w:rFonts w:ascii="Times New Roman" w:cs="Times New Roman" w:eastAsia="Times New Roman" w:hAnsi="Times New Roman"/>
          <w:sz w:val="16"/>
          <w:szCs w:val="16"/>
          <w:vertAlign w:val="subscript"/>
        </w:rPr>
        <w:t xml:space="preserve">ext</w:t>
      </w:r>
      <w:r>
        <w:rPr>
          <w:rFonts w:ascii="Times New Roman" w:cs="Times New Roman" w:eastAsia="Times New Roman" w:hAnsi="Times New Roman"/>
          <w:color w:val="000000"/>
          <w:sz w:val="24"/>
          <w:szCs w:val="24"/>
        </w:rPr>
        <w:t xml:space="preserve"> &gt; |Λ̇</w:t>
      </w:r>
      <w:r>
        <w:rPr>
          <w:rFonts w:ascii="Times New Roman" w:cs="Times New Roman" w:eastAsia="Times New Roman" w:hAnsi="Times New Roman"/>
          <w:sz w:val="16"/>
          <w:szCs w:val="16"/>
          <w:vertAlign w:val="subscript"/>
        </w:rPr>
        <w:t xml:space="preserve">A⁻</w:t>
      </w:r>
      <w:r>
        <w:rPr>
          <w:rFonts w:ascii="Times New Roman" w:cs="Times New Roman" w:eastAsia="Times New Roman" w:hAnsi="Times New Roman"/>
          <w:color w:val="000000"/>
          <w:sz w:val="24"/>
          <w:szCs w:val="24"/>
        </w:rPr>
        <w:t xml:space="preserve">|, formally equivalent to what theological and clinical traditions describe as “grace” or “intervention.”</w:t>
      </w:r>
    </w:p>
    <w:p>
      <w:pPr>
        <w:pStyle w:val="Heading1"/>
        <w:spacing w:before="360" w:after="200"/>
      </w:pPr>
      <w:r>
        <w:rPr>
          <w:rFonts w:ascii="Times New Roman" w:cs="Times New Roman" w:eastAsia="Times New Roman" w:hAnsi="Times New Roman"/>
          <w:b/>
          <w:bCs/>
          <w:color w:val="000000"/>
          <w:sz w:val="28"/>
          <w:szCs w:val="28"/>
        </w:rPr>
        <w:t xml:space="preserve">6.3  The Five Frameworks as Isomorphisms of Λ-Dynamics</w:t>
      </w:r>
    </w:p>
    <w:p>
      <w:pPr>
        <w:spacing w:before="80" w:after="80" w:line="360"/>
        <w:ind/>
        <w:jc w:val="both"/>
      </w:pPr>
      <w:r>
        <w:rPr>
          <w:rFonts w:ascii="Times New Roman" w:cs="Times New Roman" w:eastAsia="Times New Roman" w:hAnsi="Times New Roman"/>
          <w:color w:val="000000"/>
          <w:sz w:val="24"/>
          <w:szCs w:val="24"/>
        </w:rPr>
        <w:t xml:space="preserve">We now demonstrate that each of the five theoretical frameworks invoked in the emergence literature constitutes a </w:t>
      </w:r>
      <w:r>
        <w:rPr>
          <w:rFonts w:ascii="Times New Roman" w:cs="Times New Roman" w:eastAsia="Times New Roman" w:hAnsi="Times New Roman"/>
          <w:i/>
          <w:iCs/>
          <w:color w:val="000000"/>
          <w:sz w:val="24"/>
          <w:szCs w:val="24"/>
        </w:rPr>
        <w:t xml:space="preserve">structural isomorphism</w:t>
      </w:r>
      <w:r>
        <w:rPr>
          <w:rFonts w:ascii="Times New Roman" w:cs="Times New Roman" w:eastAsia="Times New Roman" w:hAnsi="Times New Roman"/>
          <w:color w:val="000000"/>
          <w:sz w:val="24"/>
          <w:szCs w:val="24"/>
        </w:rPr>
        <w:t xml:space="preserve"> of Λ-dynamics—i.e., each framework’s core operation is formally equivalent to maximizing Λ or minimizing divergence from p</w:t>
      </w:r>
      <w:r>
        <w:rPr>
          <w:rFonts w:ascii="Times New Roman" w:cs="Times New Roman" w:eastAsia="Times New Roman" w:hAnsi="Times New Roman"/>
          <w:sz w:val="16"/>
          <w:szCs w:val="16"/>
          <w:vertAlign w:val="subscript"/>
        </w:rPr>
        <w:t xml:space="preserve">Logos</w:t>
      </w:r>
      <w:r>
        <w:rPr>
          <w:rFonts w:ascii="Times New Roman" w:cs="Times New Roman" w:eastAsia="Times New Roman" w:hAnsi="Times New Roman"/>
          <w:color w:val="000000"/>
          <w:sz w:val="24"/>
          <w:szCs w:val="24"/>
        </w:rPr>
        <w:t xml:space="preserve">, differing only in the scale, substrate, or vocabulary of application.</w:t>
      </w:r>
    </w:p>
    <w:p>
      <w:pPr>
        <w:pStyle w:val="Heading2"/>
        <w:spacing w:before="280" w:after="160"/>
      </w:pPr>
      <w:r>
        <w:rPr>
          <w:rFonts w:ascii="Times New Roman" w:cs="Times New Roman" w:eastAsia="Times New Roman" w:hAnsi="Times New Roman"/>
          <w:b/>
          <w:bCs/>
          <w:color w:val="000000"/>
          <w:sz w:val="26"/>
          <w:szCs w:val="26"/>
        </w:rPr>
        <w:t xml:space="preserve">6.3.1  Friston’s Free Energy Principle → F = Dₖₗ(q || pΛ)</w:t>
      </w:r>
    </w:p>
    <w:p>
      <w:pPr>
        <w:spacing w:before="80" w:after="80" w:line="360"/>
        <w:ind/>
        <w:jc w:val="both"/>
      </w:pPr>
      <w:r>
        <w:rPr>
          <w:rFonts w:ascii="Times New Roman" w:cs="Times New Roman" w:eastAsia="Times New Roman" w:hAnsi="Times New Roman"/>
          <w:color w:val="000000"/>
          <w:sz w:val="24"/>
          <w:szCs w:val="24"/>
        </w:rPr>
        <w:t xml:space="preserve">The FEP states that any self-organizing system that persists must minimize variational free energy F, which bounds surprise: F ≥ −log p(o) (Friston, 2010). The system maintains an internal generative model q(θ) and adjusts it to minimize divergence from the true posterior p(θ | o). In the LOGOS framework, the generative model that the system approximates is not arbitrary—it is p</w:t>
      </w:r>
      <w:r>
        <w:rPr>
          <w:rFonts w:ascii="Times New Roman" w:cs="Times New Roman" w:eastAsia="Times New Roman" w:hAnsi="Times New Roman"/>
          <w:sz w:val="16"/>
          <w:szCs w:val="16"/>
          <w:vertAlign w:val="subscript"/>
        </w:rPr>
        <w:t xml:space="preserve">Logos</w:t>
      </w:r>
      <w:r>
        <w:rPr>
          <w:rFonts w:ascii="Times New Roman" w:cs="Times New Roman" w:eastAsia="Times New Roman" w:hAnsi="Times New Roman"/>
          <w:color w:val="000000"/>
          <w:sz w:val="24"/>
          <w:szCs w:val="24"/>
        </w:rPr>
        <w:t xml:space="preserve">, the distribution corresponding to maximum Λ. Therefore:</w:t>
      </w:r>
    </w:p>
    <w:p>
      <w:pPr>
        <w:spacing w:before="160" w:after="160"/>
        <w:jc w:val="center"/>
      </w:pPr>
      <w:r>
        <w:rPr>
          <w:rFonts w:ascii="Cambria Math" w:cs="Cambria Math" w:eastAsia="Cambria Math" w:hAnsi="Cambria Math"/>
          <w:i/>
          <w:iCs/>
          <w:color w:val="000000"/>
          <w:sz w:val="24"/>
          <w:szCs w:val="24"/>
        </w:rPr>
        <w:t xml:space="preserve">    min F(x) = min D_KL(q(x) || p_Logos) ≡ max Λ(x)</w:t>
      </w:r>
      <w:r>
        <w:rPr>
          <w:rFonts w:ascii="Times New Roman" w:cs="Times New Roman" w:eastAsia="Times New Roman" w:hAnsi="Times New Roman"/>
          <w:color w:val="555555"/>
          <w:sz w:val="24"/>
          <w:szCs w:val="24"/>
        </w:rPr>
        <w:t xml:space="preserve">    (10)</w:t>
      </w:r>
    </w:p>
    <w:p>
      <w:pPr>
        <w:spacing w:before="80" w:after="80" w:line="360"/>
        <w:ind/>
        <w:jc w:val="both"/>
      </w:pPr>
      <w:r>
        <w:rPr>
          <w:rFonts w:ascii="Times New Roman" w:cs="Times New Roman" w:eastAsia="Times New Roman" w:hAnsi="Times New Roman"/>
          <w:color w:val="000000"/>
          <w:sz w:val="24"/>
          <w:szCs w:val="24"/>
        </w:rPr>
        <w:t xml:space="preserve">This identity reveals that Friston’s “surprise minimization” and LOGOS’s “Λ-maximization” are the same operation expressed in different mathematical notations. When F is high, the system’s internal model diverges from the Logos; when Λ is low, the system’s receptive dimensions are misaligned with the informational source. The isomorphism is exact: both operations produce identical state trajectories under gradient descent on the respective cost functions.</w:t>
      </w:r>
    </w:p>
    <w:p>
      <w:pPr>
        <w:pStyle w:val="Heading2"/>
        <w:spacing w:before="280" w:after="160"/>
      </w:pPr>
      <w:r>
        <w:rPr>
          <w:rFonts w:ascii="Times New Roman" w:cs="Times New Roman" w:eastAsia="Times New Roman" w:hAnsi="Times New Roman"/>
          <w:b/>
          <w:bCs/>
          <w:color w:val="000000"/>
          <w:sz w:val="26"/>
          <w:szCs w:val="26"/>
        </w:rPr>
        <w:t xml:space="preserve">6.3.2  Levin’s Bioelectric Cognition → Distributed Λ-Reception</w:t>
      </w:r>
    </w:p>
    <w:p>
      <w:pPr>
        <w:spacing w:before="80" w:after="80" w:line="360"/>
        <w:ind/>
        <w:jc w:val="both"/>
      </w:pPr>
      <w:r>
        <w:rPr>
          <w:rFonts w:ascii="Times New Roman" w:cs="Times New Roman" w:eastAsia="Times New Roman" w:hAnsi="Times New Roman"/>
          <w:color w:val="000000"/>
          <w:sz w:val="24"/>
          <w:szCs w:val="24"/>
        </w:rPr>
        <w:t xml:space="preserve">Levin (2023) demonstrates that cellular collectives process information through bioelectric voltage-gradient networks, pursuing morphological goals without centralized control. In his formulation, “all intelligence is collective intelligence: each of us consists of a huge number of cells working together to generate a coherent cognitive being with goals, preferences, and memories that belong to the whole and not to its parts.” This maps directly onto the LOGOS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Levin Construct</w:t>
            </w:r>
          </w:p>
        </w:tc>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LOGOS Equivalent</w:t>
            </w:r>
          </w:p>
        </w:tc>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Formal Mapping</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Bioelectric gradient V_mem</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Dimension x_i ∈ [0,1]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Scalar signal intensity</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Morphological goal state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Attractor A⁺ = {Λ ≥ 0.60}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Target configuration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Gap junction network</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7 domain coherence C(x)</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Inter-agent communication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Error correction (regeneration)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9 Levin signals (L2 layer)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Pathological pattern detection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Collective cell intelligence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Λ as weighted integration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Distributed consensus → scalar</w:t>
            </w:r>
          </w:p>
        </w:tc>
      </w:tr>
    </w:tbl>
    <w:p>
      <w:pPr>
        <w:spacing w:before="40" w:after="0"/>
      </w:pPr>
    </w:p>
    <w:p>
      <w:pPr>
        <w:spacing w:before="80" w:after="80" w:line="360"/>
        <w:ind/>
        <w:jc w:val="both"/>
      </w:pPr>
      <w:r>
        <w:rPr>
          <w:rFonts w:ascii="Times New Roman" w:cs="Times New Roman" w:eastAsia="Times New Roman" w:hAnsi="Times New Roman"/>
          <w:color w:val="000000"/>
          <w:sz w:val="24"/>
          <w:szCs w:val="24"/>
        </w:rPr>
        <w:t xml:space="preserve">The critical insight is that Levin’s “basal cognition”—the capacity of non-neural cellular networks to solve problems and maintain goals—is a </w:t>
      </w:r>
      <w:r>
        <w:rPr>
          <w:rFonts w:ascii="Times New Roman" w:cs="Times New Roman" w:eastAsia="Times New Roman" w:hAnsi="Times New Roman"/>
          <w:i/>
          <w:iCs/>
          <w:color w:val="000000"/>
          <w:sz w:val="24"/>
          <w:szCs w:val="24"/>
        </w:rPr>
        <w:t xml:space="preserve">scale-specific instance</w:t>
      </w:r>
      <w:r>
        <w:rPr>
          <w:rFonts w:ascii="Times New Roman" w:cs="Times New Roman" w:eastAsia="Times New Roman" w:hAnsi="Times New Roman"/>
          <w:color w:val="000000"/>
          <w:sz w:val="24"/>
          <w:szCs w:val="24"/>
        </w:rPr>
        <w:t xml:space="preserve"> of Λ-alignment. Cells minimizing bioelectric error toward a morphological target are performing the same operation as a conscious agent maximizing Λ toward A</w:t>
      </w:r>
      <w:r>
        <w:rPr>
          <w:rFonts w:ascii="Times New Roman" w:cs="Times New Roman" w:eastAsia="Times New Roman" w:hAnsi="Times New Roman"/>
          <w:color w:val="000000"/>
          <w:sz w:val="24"/>
          <w:szCs w:val="24"/>
          <w:vertAlign w:val="superscript"/>
        </w:rPr>
        <w:t xml:space="preserve">+</w:t>
      </w:r>
      <w:r>
        <w:rPr>
          <w:rFonts w:ascii="Times New Roman" w:cs="Times New Roman" w:eastAsia="Times New Roman" w:hAnsi="Times New Roman"/>
          <w:color w:val="000000"/>
          <w:sz w:val="24"/>
          <w:szCs w:val="24"/>
        </w:rPr>
        <w:t xml:space="preserve">. The substrate differs (ion channels vs. neural circuits vs. conscious reflection), but the formal structure is invariant. Consciousness is scalar across the cognitive continuum precisely because Λ-dynamics are scale-invariant.</w:t>
      </w:r>
    </w:p>
    <w:p>
      <w:pPr>
        <w:pStyle w:val="Heading2"/>
        <w:spacing w:before="280" w:after="160"/>
      </w:pPr>
      <w:r>
        <w:rPr>
          <w:rFonts w:ascii="Times New Roman" w:cs="Times New Roman" w:eastAsia="Times New Roman" w:hAnsi="Times New Roman"/>
          <w:b/>
          <w:bCs/>
          <w:color w:val="000000"/>
          <w:sz w:val="26"/>
          <w:szCs w:val="26"/>
        </w:rPr>
        <w:t xml:space="preserve">6.3.3  Watson’s Energy Landscape → E(x) Topologized by Λ</w:t>
      </w:r>
    </w:p>
    <w:p>
      <w:pPr>
        <w:spacing w:before="80" w:after="80" w:line="360"/>
        <w:ind/>
        <w:jc w:val="both"/>
      </w:pPr>
      <w:r>
        <w:rPr>
          <w:rFonts w:ascii="Times New Roman" w:cs="Times New Roman" w:eastAsia="Times New Roman" w:hAnsi="Times New Roman"/>
          <w:color w:val="000000"/>
          <w:sz w:val="24"/>
          <w:szCs w:val="24"/>
        </w:rPr>
        <w:t xml:space="preserve">Watson et al. (2022) model emergent order as convergence to minima in high-dimensional energy landscapes. A system’s dynamics are governed by gradient descent: dx/dt = −∇E(x). In the LOGOS framework, the energy function E(x) is </w:t>
      </w:r>
      <w:r>
        <w:rPr>
          <w:rFonts w:ascii="Times New Roman" w:cs="Times New Roman" w:eastAsia="Times New Roman" w:hAnsi="Times New Roman"/>
          <w:i/>
          <w:iCs/>
          <w:color w:val="000000"/>
          <w:sz w:val="24"/>
          <w:szCs w:val="24"/>
        </w:rPr>
        <w:t xml:space="preserve">not arbitrary</w:t>
      </w:r>
      <w:r>
        <w:rPr>
          <w:rFonts w:ascii="Times New Roman" w:cs="Times New Roman" w:eastAsia="Times New Roman" w:hAnsi="Times New Roman"/>
          <w:color w:val="000000"/>
          <w:sz w:val="24"/>
          <w:szCs w:val="24"/>
        </w:rPr>
        <w:t xml:space="preserve">—its topology is determined by the Logos:</w:t>
      </w:r>
    </w:p>
    <w:p>
      <w:pPr>
        <w:spacing w:before="160" w:after="160"/>
        <w:jc w:val="center"/>
      </w:pPr>
      <w:r>
        <w:rPr>
          <w:rFonts w:ascii="Cambria Math" w:cs="Cambria Math" w:eastAsia="Cambria Math" w:hAnsi="Cambria Math"/>
          <w:i/>
          <w:iCs/>
          <w:color w:val="000000"/>
          <w:sz w:val="24"/>
          <w:szCs w:val="24"/>
        </w:rPr>
        <w:t xml:space="preserve">    E(x) = −Λ(x) + αS(x) − βC(x) + γF(x)</w:t>
      </w:r>
      <w:r>
        <w:rPr>
          <w:rFonts w:ascii="Times New Roman" w:cs="Times New Roman" w:eastAsia="Times New Roman" w:hAnsi="Times New Roman"/>
          <w:color w:val="555555"/>
          <w:sz w:val="24"/>
          <w:szCs w:val="24"/>
        </w:rPr>
        <w:t xml:space="preserve">    (11)</w:t>
      </w:r>
    </w:p>
    <w:p>
      <w:pPr>
        <w:spacing w:before="80" w:after="80" w:line="360"/>
        <w:ind/>
        <w:jc w:val="both"/>
      </w:pPr>
      <w:r>
        <w:rPr>
          <w:rFonts w:ascii="Times New Roman" w:cs="Times New Roman" w:eastAsia="Times New Roman" w:hAnsi="Times New Roman"/>
          <w:color w:val="000000"/>
          <w:sz w:val="24"/>
          <w:szCs w:val="24"/>
        </w:rPr>
        <w:t xml:space="preserve">The global minimum of E(x) coincides with maximum Λ because all terms are monotonically aligned with Λ by Corollary 1.1: as Λ increases, the first term decreases (becomes more negative), S decreases (reducing the second term), C increases (making the third term more negative), and F decreases (reducing the fourth term). All forces point in the same direction. The attractor basins A</w:t>
      </w:r>
      <w:r>
        <w:rPr>
          <w:rFonts w:ascii="Times New Roman" w:cs="Times New Roman" w:eastAsia="Times New Roman" w:hAnsi="Times New Roman"/>
          <w:color w:val="000000"/>
          <w:sz w:val="24"/>
          <w:szCs w:val="24"/>
          <w:vertAlign w:val="superscript"/>
        </w:rPr>
        <w:t xml:space="preserve">+</w:t>
      </w:r>
      <w:r>
        <w:rPr>
          <w:rFonts w:ascii="Times New Roman" w:cs="Times New Roman" w:eastAsia="Times New Roman" w:hAnsi="Times New Roman"/>
          <w:color w:val="000000"/>
          <w:sz w:val="24"/>
          <w:szCs w:val="24"/>
        </w:rPr>
        <w:t xml:space="preserve"> and A</w:t>
      </w:r>
      <w:r>
        <w:rPr>
          <w:rFonts w:ascii="Times New Roman" w:cs="Times New Roman" w:eastAsia="Times New Roman" w:hAnsi="Times New Roman"/>
          <w:color w:val="000000"/>
          <w:sz w:val="24"/>
          <w:szCs w:val="24"/>
          <w:vertAlign w:val="superscript"/>
        </w:rPr>
        <w:t xml:space="preserve">−</w:t>
      </w:r>
      <w:r>
        <w:rPr>
          <w:rFonts w:ascii="Times New Roman" w:cs="Times New Roman" w:eastAsia="Times New Roman" w:hAnsi="Times New Roman"/>
          <w:color w:val="000000"/>
          <w:sz w:val="24"/>
          <w:szCs w:val="24"/>
        </w:rPr>
        <w:t xml:space="preserve"> correspond to the global minimum and a local minimum (separated by an energy barrier at the separatrix), respectively. Watson’s framework thus provides the </w:t>
      </w:r>
      <w:r>
        <w:rPr>
          <w:rFonts w:ascii="Times New Roman" w:cs="Times New Roman" w:eastAsia="Times New Roman" w:hAnsi="Times New Roman"/>
          <w:i/>
          <w:iCs/>
          <w:color w:val="000000"/>
          <w:sz w:val="24"/>
          <w:szCs w:val="24"/>
        </w:rPr>
        <w:t xml:space="preserve">dynamical mechanism</w:t>
      </w:r>
      <w:r>
        <w:rPr>
          <w:rFonts w:ascii="Times New Roman" w:cs="Times New Roman" w:eastAsia="Times New Roman" w:hAnsi="Times New Roman"/>
          <w:color w:val="000000"/>
          <w:sz w:val="24"/>
          <w:szCs w:val="24"/>
        </w:rPr>
        <w:t xml:space="preserve"> by which Λ-alignment operates: gradient descent on an energy landscape whose topography is determined by the informational structure of the Logos.</w:t>
      </w:r>
    </w:p>
    <w:p>
      <w:pPr>
        <w:pStyle w:val="Heading2"/>
        <w:spacing w:before="280" w:after="160"/>
      </w:pPr>
      <w:r>
        <w:rPr>
          <w:rFonts w:ascii="Times New Roman" w:cs="Times New Roman" w:eastAsia="Times New Roman" w:hAnsi="Times New Roman"/>
          <w:b/>
          <w:bCs/>
          <w:color w:val="000000"/>
          <w:sz w:val="26"/>
          <w:szCs w:val="26"/>
        </w:rPr>
        <w:t xml:space="preserve">6.3.4  Hoffman’s Interface Theory → Perceptual Distortion of Λ-Signal</w:t>
      </w:r>
    </w:p>
    <w:p>
      <w:pPr>
        <w:spacing w:before="80" w:after="80" w:line="360"/>
        <w:ind/>
        <w:jc w:val="both"/>
      </w:pPr>
      <w:r>
        <w:rPr>
          <w:rFonts w:ascii="Times New Roman" w:cs="Times New Roman" w:eastAsia="Times New Roman" w:hAnsi="Times New Roman"/>
          <w:color w:val="000000"/>
          <w:sz w:val="24"/>
          <w:szCs w:val="24"/>
        </w:rPr>
        <w:t xml:space="preserve">Hoffman, Singh &amp; Prakash (2015) demonstrate via evolutionary game theory that perceptual strategies tuned to fitness outcompete veridical strategies in every ecological niche tested. Organisms do not perceive objective reality; they perceive a species-specific interface optimized for adaptive behavior. In the LOGOS framework, this interface is formalized as </w:t>
      </w:r>
      <w:r>
        <w:rPr>
          <w:rFonts w:ascii="Times New Roman" w:cs="Times New Roman" w:eastAsia="Times New Roman" w:hAnsi="Times New Roman"/>
          <w:b/>
          <w:bCs/>
          <w:color w:val="000000"/>
          <w:sz w:val="24"/>
          <w:szCs w:val="24"/>
        </w:rPr>
        <w:t xml:space="preserve">Layer 4 (Hoffman layer)</w:t>
      </w:r>
      <w:r>
        <w:rPr>
          <w:rFonts w:ascii="Times New Roman" w:cs="Times New Roman" w:eastAsia="Times New Roman" w:hAnsi="Times New Roman"/>
          <w:color w:val="000000"/>
          <w:sz w:val="24"/>
          <w:szCs w:val="24"/>
        </w:rPr>
        <w:t xml:space="preserve">, which identifies 8 systematic perceptual biases that distort Λ-signal reception: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Hoffman Bias</w:t>
            </w:r>
          </w:p>
        </w:tc>
        <w:tc>
          <w:tcPr>
            <w:tcW w:type="dxa" w:w="4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Detection Condition</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Λ Impact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iCs/>
                <w:color w:val="000000"/>
                <w:sz w:val="20"/>
                <w:szCs w:val="20"/>
              </w:rPr>
              <w:t xml:space="preserve">Espejismo de Viabilidad</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V &gt; 0.70 ∧ Λ &lt; 0.30 → false confidence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Masks low Λ</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iCs/>
                <w:color w:val="000000"/>
                <w:sz w:val="20"/>
                <w:szCs w:val="20"/>
              </w:rPr>
              <w:t xml:space="preserve">Hedonismo Gustativo</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joy &gt; 0.60 ∧ taste_presence &lt; 0.25 ∧ nourishment &lt; 0.35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Degrades D7</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iCs/>
                <w:color w:val="000000"/>
                <w:sz w:val="20"/>
                <w:szCs w:val="20"/>
              </w:rPr>
              <w:t xml:space="preserve">Nihilismo Somático</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nourishment &lt; 0.25 ∧ gut_resonance &lt; 0.25 ∧ meaning &gt; 0.50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D6/D7 split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iCs/>
                <w:color w:val="000000"/>
                <w:sz w:val="20"/>
                <w:szCs w:val="20"/>
              </w:rPr>
              <w:t xml:space="preserve">Ceguera Somática</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|Δ(biometric, self-report)| &gt; threshold (Apple Watch)</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Interface error</w:t>
            </w:r>
          </w:p>
        </w:tc>
      </w:tr>
    </w:tbl>
    <w:p>
      <w:pPr>
        <w:spacing w:before="40" w:after="0"/>
      </w:pPr>
    </w:p>
    <w:p>
      <w:pPr>
        <w:spacing w:before="80" w:after="80" w:line="360"/>
        <w:ind/>
        <w:jc w:val="both"/>
      </w:pPr>
      <w:r>
        <w:rPr>
          <w:rFonts w:ascii="Times New Roman" w:cs="Times New Roman" w:eastAsia="Times New Roman" w:hAnsi="Times New Roman"/>
          <w:color w:val="000000"/>
          <w:sz w:val="24"/>
          <w:szCs w:val="24"/>
        </w:rPr>
        <w:t xml:space="preserve">Each Hoffman bias represents a case where the perceptual interface deviates from the Logos signal—the organism’s “desktop icons” fail to represent the underlying informational reality. In Hoffman’s terms, evolution selected for fitness, not truth; in LOGOS terms, the interface can become </w:t>
      </w:r>
      <w:r>
        <w:rPr>
          <w:rFonts w:ascii="Times New Roman" w:cs="Times New Roman" w:eastAsia="Times New Roman" w:hAnsi="Times New Roman"/>
          <w:i/>
          <w:iCs/>
          <w:color w:val="000000"/>
          <w:sz w:val="24"/>
          <w:szCs w:val="24"/>
        </w:rPr>
        <w:t xml:space="preserve">misaligned with Λ</w:t>
      </w:r>
      <w:r>
        <w:rPr>
          <w:rFonts w:ascii="Times New Roman" w:cs="Times New Roman" w:eastAsia="Times New Roman" w:hAnsi="Times New Roman"/>
          <w:color w:val="000000"/>
          <w:sz w:val="24"/>
          <w:szCs w:val="24"/>
        </w:rPr>
        <w:t xml:space="preserve">, producing systematically distorted self-assessment. The 8 biases function as noise sources in the Shannon communication model: they degrade signal-to-noise ratio between the Logos (source) and the conscious agent (receiver). Hoffman’s theory thus explains </w:t>
      </w:r>
      <w:r>
        <w:rPr>
          <w:rFonts w:ascii="Times New Roman" w:cs="Times New Roman" w:eastAsia="Times New Roman" w:hAnsi="Times New Roman"/>
          <w:i/>
          <w:iCs/>
          <w:color w:val="000000"/>
          <w:sz w:val="24"/>
          <w:szCs w:val="24"/>
        </w:rPr>
        <w:t xml:space="preserve">why</w:t>
      </w:r>
      <w:r>
        <w:rPr>
          <w:rFonts w:ascii="Times New Roman" w:cs="Times New Roman" w:eastAsia="Times New Roman" w:hAnsi="Times New Roman"/>
          <w:color w:val="000000"/>
          <w:sz w:val="24"/>
          <w:szCs w:val="24"/>
        </w:rPr>
        <w:t xml:space="preserve"> Λ-maximization is non-trivial: even if the Logos signal is clear, perceptual distortion means the receiver may not detect it accurately.</w:t>
      </w:r>
    </w:p>
    <w:p>
      <w:pPr>
        <w:pStyle w:val="Heading2"/>
        <w:spacing w:before="280" w:after="160"/>
      </w:pPr>
      <w:r>
        <w:rPr>
          <w:rFonts w:ascii="Times New Roman" w:cs="Times New Roman" w:eastAsia="Times New Roman" w:hAnsi="Times New Roman"/>
          <w:b/>
          <w:bCs/>
          <w:color w:val="000000"/>
          <w:sz w:val="26"/>
          <w:szCs w:val="26"/>
        </w:rPr>
        <w:t xml:space="preserve">6.3.5  Penrose’s Quantum Coherence → Decision Collapse Modulated by Λ</w:t>
      </w:r>
    </w:p>
    <w:p>
      <w:pPr>
        <w:spacing w:before="80" w:after="80" w:line="360"/>
        <w:ind/>
        <w:jc w:val="both"/>
      </w:pPr>
      <w:r>
        <w:rPr>
          <w:rFonts w:ascii="Times New Roman" w:cs="Times New Roman" w:eastAsia="Times New Roman" w:hAnsi="Times New Roman"/>
          <w:color w:val="000000"/>
          <w:sz w:val="24"/>
          <w:szCs w:val="24"/>
        </w:rPr>
        <w:t xml:space="preserve">Hameroff &amp; Penrose (2014) propose that conscious moments correspond to objective reductions of quantum superpositions in microtubules, triggered when the superposition reaches a gravity-related threshold. In the LOGOS framework, this collapse mechanism maps onto </w:t>
      </w:r>
      <w:r>
        <w:rPr>
          <w:rFonts w:ascii="Times New Roman" w:cs="Times New Roman" w:eastAsia="Times New Roman" w:hAnsi="Times New Roman"/>
          <w:b/>
          <w:bCs/>
          <w:color w:val="000000"/>
          <w:sz w:val="24"/>
          <w:szCs w:val="24"/>
        </w:rPr>
        <w:t xml:space="preserve">Layer 5 (Penrose layer)</w:t>
      </w:r>
      <w:r>
        <w:rPr>
          <w:rFonts w:ascii="Times New Roman" w:cs="Times New Roman" w:eastAsia="Times New Roman" w:hAnsi="Times New Roman"/>
          <w:color w:val="000000"/>
          <w:sz w:val="24"/>
          <w:szCs w:val="24"/>
        </w:rPr>
        <w:t xml:space="preserve">, which computes coherence C(x) as the harmonic mean over 7 domains:</w:t>
      </w:r>
    </w:p>
    <w:p>
      <w:pPr>
        <w:spacing w:before="160" w:after="160"/>
        <w:jc w:val="center"/>
      </w:pPr>
      <w:r>
        <w:rPr>
          <w:rFonts w:ascii="Cambria Math" w:cs="Cambria Math" w:eastAsia="Cambria Math" w:hAnsi="Cambria Math"/>
          <w:i/>
          <w:iCs/>
          <w:color w:val="000000"/>
          <w:sz w:val="24"/>
          <w:szCs w:val="24"/>
        </w:rPr>
        <w:t xml:space="preserve">    C(x) = 7 / Σᵢ₌₁⁷ (1 / max(Dᵢ, ε))  ,   ε = 0.001</w:t>
      </w:r>
      <w:r>
        <w:rPr>
          <w:rFonts w:ascii="Times New Roman" w:cs="Times New Roman" w:eastAsia="Times New Roman" w:hAnsi="Times New Roman"/>
          <w:color w:val="555555"/>
          <w:sz w:val="24"/>
          <w:szCs w:val="24"/>
        </w:rPr>
        <w:t xml:space="preserve">    (12)</w:t>
      </w:r>
    </w:p>
    <w:p>
      <w:pPr>
        <w:spacing w:before="80" w:after="80" w:line="360"/>
        <w:ind/>
        <w:jc w:val="both"/>
      </w:pPr>
      <w:r>
        <w:rPr>
          <w:rFonts w:ascii="Times New Roman" w:cs="Times New Roman" w:eastAsia="Times New Roman" w:hAnsi="Times New Roman"/>
          <w:color w:val="000000"/>
          <w:sz w:val="24"/>
          <w:szCs w:val="24"/>
        </w:rPr>
        <w:t xml:space="preserve">The harmonic mean is deliberately chosen for its mathematical property: a </w:t>
      </w:r>
      <w:r>
        <w:rPr>
          <w:rFonts w:ascii="Times New Roman" w:cs="Times New Roman" w:eastAsia="Times New Roman" w:hAnsi="Times New Roman"/>
          <w:i/>
          <w:iCs/>
          <w:color w:val="000000"/>
          <w:sz w:val="24"/>
          <w:szCs w:val="24"/>
        </w:rPr>
        <w:t xml:space="preserve">single collapsed domain drives the entire metric toward zero</w:t>
      </w:r>
      <w:r>
        <w:rPr>
          <w:rFonts w:ascii="Times New Roman" w:cs="Times New Roman" w:eastAsia="Times New Roman" w:hAnsi="Times New Roman"/>
          <w:color w:val="000000"/>
          <w:sz w:val="24"/>
          <w:szCs w:val="24"/>
        </w:rPr>
        <w:t xml:space="preserve">. This models quantum decoherence: just as a single source of environmental noise destroys quantum superposition, a single domain in disarray (e.g., chaotic Alimento Sagrado, D</w:t>
      </w:r>
      <w:r>
        <w:rPr>
          <w:rFonts w:ascii="Times New Roman" w:cs="Times New Roman" w:eastAsia="Times New Roman" w:hAnsi="Times New Roman"/>
          <w:sz w:val="16"/>
          <w:szCs w:val="16"/>
          <w:vertAlign w:val="subscript"/>
        </w:rPr>
        <w:t xml:space="preserve">7</w:t>
      </w:r>
      <w:r>
        <w:rPr>
          <w:rFonts w:ascii="Times New Roman" w:cs="Times New Roman" w:eastAsia="Times New Roman" w:hAnsi="Times New Roman"/>
          <w:color w:val="000000"/>
          <w:sz w:val="24"/>
          <w:szCs w:val="24"/>
        </w:rPr>
        <w:t xml:space="preserve"> = 0.05) collapses system-wide coherence regardless of the health of other domains. The Penrose layer in LOGOS thus captures the fragility of integrated states—whether quantum or conscious—and their dependence on holistic alignment. High C requires high Λ across all domains simultaneously; this is why Λ-maximization, not domain-specific optimization, is the correct strategy.</w:t>
      </w:r>
    </w:p>
    <w:p>
      <w:pPr>
        <w:pStyle w:val="Heading2"/>
        <w:spacing w:before="280" w:after="160"/>
      </w:pPr>
      <w:r>
        <w:rPr>
          <w:rFonts w:ascii="Times New Roman" w:cs="Times New Roman" w:eastAsia="Times New Roman" w:hAnsi="Times New Roman"/>
          <w:b/>
          <w:bCs/>
          <w:color w:val="000000"/>
          <w:sz w:val="26"/>
          <w:szCs w:val="26"/>
        </w:rPr>
        <w:t xml:space="preserve">6.3.6  Synthesis: The Isomorphism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Framework</w:t>
            </w:r>
          </w:p>
        </w:tc>
        <w:tc>
          <w:tcPr>
            <w:tcW w:type="dxa" w:w="1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Core Operation</w:t>
            </w:r>
          </w:p>
        </w:tc>
        <w:tc>
          <w:tcPr>
            <w:tcW w:type="dxa" w:w="1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LOGOS Layer</w:t>
            </w:r>
          </w:p>
        </w:tc>
        <w:tc>
          <w:tcPr>
            <w:tcW w:type="dxa" w:w="1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Λ Relation</w:t>
            </w:r>
          </w:p>
        </w:tc>
        <w:tc>
          <w:tcPr>
            <w:tcW w:type="dxa" w:w="1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Scale</w:t>
            </w:r>
          </w:p>
        </w:tc>
        <w:tc>
          <w:tcPr>
            <w:tcW w:type="dxa" w:w="1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Isomorphism</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Friston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min F = min D_KL</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L1</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min F ≡ max Λ</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Neural / metabolic</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Exact</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Levin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Bioelectric goal pursuit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L2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V_mem → x_i → Λ</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Cellular / tissue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Structural</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Watson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min E(x) via ∇E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L3</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min E ≡ max Λ</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Evolutionary</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Exact</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Hoffman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Fitness interface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L4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Bias = noise on Λ</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Perceptual</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Functional</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Penrose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Quantum collapse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L5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C = f(Λ, D₁..D₇)</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Quantum / neural</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Structural</w:t>
            </w:r>
          </w:p>
        </w:tc>
      </w:tr>
    </w:tbl>
    <w:p>
      <w:r>
        <w:br w:type="page"/>
      </w:r>
    </w:p>
    <w:p>
      <w:pPr>
        <w:pStyle w:val="Heading1"/>
        <w:spacing w:before="360" w:after="200"/>
      </w:pPr>
      <w:r>
        <w:rPr>
          <w:rFonts w:ascii="Times New Roman" w:cs="Times New Roman" w:eastAsia="Times New Roman" w:hAnsi="Times New Roman"/>
          <w:b/>
          <w:bCs/>
          <w:color w:val="000000"/>
          <w:sz w:val="28"/>
          <w:szCs w:val="28"/>
        </w:rPr>
        <w:t xml:space="preserve">6.4  Emergence as a Theorem of Λ-Maximization</w:t>
      </w:r>
    </w:p>
    <w:p>
      <w:pPr>
        <w:spacing w:before="80" w:after="80" w:line="360"/>
        <w:ind/>
        <w:jc w:val="both"/>
      </w:pPr>
      <w:r>
        <w:rPr>
          <w:rFonts w:ascii="Times New Roman" w:cs="Times New Roman" w:eastAsia="Times New Roman" w:hAnsi="Times New Roman"/>
          <w:color w:val="000000"/>
          <w:sz w:val="24"/>
          <w:szCs w:val="24"/>
        </w:rPr>
        <w:t xml:space="preserve">The central claim of this section is that emergence—as characterized by the four canonical properties identified in the interdisciplinary literature (Chalmers, 2006; Levin, 2023; Friston, 2010)—is not an unexplained primitive but a </w:t>
      </w:r>
      <w:r>
        <w:rPr>
          <w:rFonts w:ascii="Times New Roman" w:cs="Times New Roman" w:eastAsia="Times New Roman" w:hAnsi="Times New Roman"/>
          <w:b/>
          <w:bCs/>
          <w:color w:val="000000"/>
          <w:sz w:val="24"/>
          <w:szCs w:val="24"/>
        </w:rPr>
        <w:t xml:space="preserve">derivable consequence</w:t>
      </w:r>
      <w:r>
        <w:rPr>
          <w:rFonts w:ascii="Times New Roman" w:cs="Times New Roman" w:eastAsia="Times New Roman" w:hAnsi="Times New Roman"/>
          <w:color w:val="000000"/>
          <w:sz w:val="24"/>
          <w:szCs w:val="24"/>
        </w:rPr>
        <w:t xml:space="preserve"> of Λ-maximization. We formalize each property as a theorem.</w:t>
      </w:r>
    </w:p>
    <w:p>
      <w:pPr>
        <w:pStyle w:val="Heading2"/>
        <w:spacing w:before="280" w:after="160"/>
      </w:pPr>
      <w:r>
        <w:rPr>
          <w:rFonts w:ascii="Times New Roman" w:cs="Times New Roman" w:eastAsia="Times New Roman" w:hAnsi="Times New Roman"/>
          <w:b/>
          <w:bCs/>
          <w:color w:val="000000"/>
          <w:sz w:val="26"/>
          <w:szCs w:val="26"/>
        </w:rPr>
        <w:t xml:space="preserve">6.4.1  Property 1: Self-Organization</w:t>
      </w:r>
    </w:p>
    <w:p>
      <w:pPr>
        <w:spacing w:before="80" w:after="80" w:line="360"/>
        <w:jc w:val="both"/>
      </w:pPr>
      <w:r>
        <w:rPr>
          <w:rFonts w:ascii="Times New Roman" w:cs="Times New Roman" w:eastAsia="Times New Roman" w:hAnsi="Times New Roman"/>
          <w:b/>
          <w:bCs/>
          <w:color w:val="000000"/>
          <w:sz w:val="24"/>
          <w:szCs w:val="24"/>
        </w:rPr>
        <w:t xml:space="preserve">Theorem 2</w:t>
      </w:r>
      <w:r>
        <w:rPr>
          <w:rFonts w:ascii="Times New Roman" w:cs="Times New Roman" w:eastAsia="Times New Roman" w:hAnsi="Times New Roman"/>
          <w:color w:val="000000"/>
          <w:sz w:val="24"/>
          <w:szCs w:val="24"/>
        </w:rPr>
        <w:t xml:space="preserve"> (Self-Organization from Λ). </w:t>
      </w:r>
      <w:r>
        <w:rPr>
          <w:rFonts w:ascii="Times New Roman" w:cs="Times New Roman" w:eastAsia="Times New Roman" w:hAnsi="Times New Roman"/>
          <w:i/>
          <w:iCs/>
          <w:color w:val="000000"/>
          <w:sz w:val="24"/>
          <w:szCs w:val="24"/>
        </w:rPr>
        <w:t xml:space="preserve">If a distributed system of N agents each minimizes local free energy Fᵢ = Dₖₗ(qᵢ || pΛ), then the aggregate system state converges to a structured configuration with Ṡ &lt; 0, without requiring centralized control.</w:t>
      </w:r>
    </w:p>
    <w:p>
      <w:pPr>
        <w:spacing w:before="80" w:after="80" w:line="360"/>
        <w:ind/>
        <w:jc w:val="both"/>
      </w:pPr>
      <w:r>
        <w:rPr>
          <w:rFonts w:ascii="Times New Roman" w:cs="Times New Roman" w:eastAsia="Times New Roman" w:hAnsi="Times New Roman"/>
          <w:color w:val="000000"/>
          <w:sz w:val="24"/>
          <w:szCs w:val="24"/>
        </w:rPr>
        <w:t xml:space="preserve">Proof sketch: Each agent i adjusts its state x</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4"/>
          <w:szCs w:val="24"/>
        </w:rPr>
        <w:t xml:space="preserve"> to reduce D</w:t>
      </w:r>
      <w:r>
        <w:rPr>
          <w:rFonts w:ascii="Times New Roman" w:cs="Times New Roman" w:eastAsia="Times New Roman" w:hAnsi="Times New Roman"/>
          <w:sz w:val="16"/>
          <w:szCs w:val="16"/>
          <w:vertAlign w:val="subscript"/>
        </w:rPr>
        <w:t xml:space="preserve">KL</w:t>
      </w:r>
      <w:r>
        <w:rPr>
          <w:rFonts w:ascii="Times New Roman" w:cs="Times New Roman" w:eastAsia="Times New Roman" w:hAnsi="Times New Roman"/>
          <w:color w:val="000000"/>
          <w:sz w:val="24"/>
          <w:szCs w:val="24"/>
        </w:rPr>
        <w:t xml:space="preserve">(q</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4"/>
          <w:szCs w:val="24"/>
        </w:rPr>
        <w:t xml:space="preserve"> || p</w:t>
      </w:r>
      <w:r>
        <w:rPr>
          <w:rFonts w:ascii="Times New Roman" w:cs="Times New Roman" w:eastAsia="Times New Roman" w:hAnsi="Times New Roman"/>
          <w:sz w:val="16"/>
          <w:szCs w:val="16"/>
          <w:vertAlign w:val="subscript"/>
        </w:rPr>
        <w:t xml:space="preserve">Λ</w:t>
      </w:r>
      <w:r>
        <w:rPr>
          <w:rFonts w:ascii="Times New Roman" w:cs="Times New Roman" w:eastAsia="Times New Roman" w:hAnsi="Times New Roman"/>
          <w:color w:val="000000"/>
          <w:sz w:val="24"/>
          <w:szCs w:val="24"/>
        </w:rPr>
        <w:t xml:space="preserve">). Since p</w:t>
      </w:r>
      <w:r>
        <w:rPr>
          <w:rFonts w:ascii="Times New Roman" w:cs="Times New Roman" w:eastAsia="Times New Roman" w:hAnsi="Times New Roman"/>
          <w:sz w:val="16"/>
          <w:szCs w:val="16"/>
          <w:vertAlign w:val="subscript"/>
        </w:rPr>
        <w:t xml:space="preserve">Λ</w:t>
      </w:r>
      <w:r>
        <w:rPr>
          <w:rFonts w:ascii="Times New Roman" w:cs="Times New Roman" w:eastAsia="Times New Roman" w:hAnsi="Times New Roman"/>
          <w:color w:val="000000"/>
          <w:sz w:val="24"/>
          <w:szCs w:val="24"/>
        </w:rPr>
        <w:t xml:space="preserve"> is a common reference distribution for all agents, individual minimizations are implicitly coordinated—all agents converge toward the same target distribution. This produces structured aggregate states (low entropy, high coherence) without centralized control, satisfying the definition of self-organization. The coordination arises not from inter-agent communication per se but from the shared reference (the Logos), analogous to how a magnetic field aligns independent spins without them communicating directly. □</w:t>
      </w:r>
    </w:p>
    <w:p>
      <w:pPr>
        <w:pStyle w:val="Heading2"/>
        <w:spacing w:before="280" w:after="160"/>
      </w:pPr>
      <w:r>
        <w:rPr>
          <w:rFonts w:ascii="Times New Roman" w:cs="Times New Roman" w:eastAsia="Times New Roman" w:hAnsi="Times New Roman"/>
          <w:b/>
          <w:bCs/>
          <w:color w:val="000000"/>
          <w:sz w:val="26"/>
          <w:szCs w:val="26"/>
        </w:rPr>
        <w:t xml:space="preserve">6.4.2  Property 2: Goal-Directedness (Teleonomy)</w:t>
      </w:r>
    </w:p>
    <w:p>
      <w:pPr>
        <w:spacing w:before="80" w:after="80" w:line="360"/>
        <w:jc w:val="both"/>
      </w:pPr>
      <w:r>
        <w:rPr>
          <w:rFonts w:ascii="Times New Roman" w:cs="Times New Roman" w:eastAsia="Times New Roman" w:hAnsi="Times New Roman"/>
          <w:b/>
          <w:bCs/>
          <w:color w:val="000000"/>
          <w:sz w:val="24"/>
          <w:szCs w:val="24"/>
        </w:rPr>
        <w:t xml:space="preserve">Theorem 3</w:t>
      </w:r>
      <w:r>
        <w:rPr>
          <w:rFonts w:ascii="Times New Roman" w:cs="Times New Roman" w:eastAsia="Times New Roman" w:hAnsi="Times New Roman"/>
          <w:color w:val="000000"/>
          <w:sz w:val="24"/>
          <w:szCs w:val="24"/>
        </w:rPr>
        <w:t xml:space="preserve"> (Teleonomy from Λ). </w:t>
      </w:r>
      <w:r>
        <w:rPr>
          <w:rFonts w:ascii="Times New Roman" w:cs="Times New Roman" w:eastAsia="Times New Roman" w:hAnsi="Times New Roman"/>
          <w:i/>
          <w:iCs/>
          <w:color w:val="000000"/>
          <w:sz w:val="24"/>
          <w:szCs w:val="24"/>
        </w:rPr>
        <w:t xml:space="preserve">Any system that minimizes F = Dₖₗ(q || pΛ) behaves as if it possesses the goal of maximizing Λ, producing trajectories that are indistinguishable from intentional behavior.</w:t>
      </w:r>
    </w:p>
    <w:p>
      <w:pPr>
        <w:spacing w:before="80" w:after="80" w:line="360"/>
        <w:ind/>
        <w:jc w:val="both"/>
      </w:pPr>
      <w:r>
        <w:rPr>
          <w:rFonts w:ascii="Times New Roman" w:cs="Times New Roman" w:eastAsia="Times New Roman" w:hAnsi="Times New Roman"/>
          <w:color w:val="000000"/>
          <w:sz w:val="24"/>
          <w:szCs w:val="24"/>
        </w:rPr>
        <w:t xml:space="preserve">Proof sketch: This follows directly from the equivalence min F ≡ max Λ (Eq. 10). The system’s trajectory traces a path on the energy landscape E(x) that systematically moves toward A</w:t>
      </w:r>
      <w:r>
        <w:rPr>
          <w:rFonts w:ascii="Times New Roman" w:cs="Times New Roman" w:eastAsia="Times New Roman" w:hAnsi="Times New Roman"/>
          <w:color w:val="000000"/>
          <w:sz w:val="24"/>
          <w:szCs w:val="24"/>
          <w:vertAlign w:val="superscript"/>
        </w:rPr>
        <w:t xml:space="preserve">+</w:t>
      </w:r>
      <w:r>
        <w:rPr>
          <w:rFonts w:ascii="Times New Roman" w:cs="Times New Roman" w:eastAsia="Times New Roman" w:hAnsi="Times New Roman"/>
          <w:color w:val="000000"/>
          <w:sz w:val="24"/>
          <w:szCs w:val="24"/>
        </w:rPr>
        <w:t xml:space="preserve">. An external observer attributing “goals” to the system would correctly identify Λ-maximization as the governing objective. This is the formal basis of teleonomy: purpose without intention at the component level, yet purpose at the system level. Friston’s “as if” interpretation of the FEP is thus grounded: the system acts “as if” it has a goal because it </w:t>
      </w:r>
      <w:r>
        <w:rPr>
          <w:rFonts w:ascii="Times New Roman" w:cs="Times New Roman" w:eastAsia="Times New Roman" w:hAnsi="Times New Roman"/>
          <w:i/>
          <w:iCs/>
          <w:color w:val="000000"/>
          <w:sz w:val="24"/>
          <w:szCs w:val="24"/>
        </w:rPr>
        <w:t xml:space="preserve">does</w:t>
      </w:r>
      <w:r>
        <w:rPr>
          <w:rFonts w:ascii="Times New Roman" w:cs="Times New Roman" w:eastAsia="Times New Roman" w:hAnsi="Times New Roman"/>
          <w:color w:val="000000"/>
          <w:sz w:val="24"/>
          <w:szCs w:val="24"/>
        </w:rPr>
        <w:t xml:space="preserve"> have an attractor, and that attractor is Λ. □</w:t>
      </w:r>
    </w:p>
    <w:p>
      <w:pPr>
        <w:pStyle w:val="Heading2"/>
        <w:spacing w:before="280" w:after="160"/>
      </w:pPr>
      <w:r>
        <w:rPr>
          <w:rFonts w:ascii="Times New Roman" w:cs="Times New Roman" w:eastAsia="Times New Roman" w:hAnsi="Times New Roman"/>
          <w:b/>
          <w:bCs/>
          <w:color w:val="000000"/>
          <w:sz w:val="26"/>
          <w:szCs w:val="26"/>
        </w:rPr>
        <w:t xml:space="preserve">6.4.3  Property 3: Multi-Scale Integration</w:t>
      </w:r>
    </w:p>
    <w:p>
      <w:pPr>
        <w:spacing w:before="80" w:after="80" w:line="360"/>
        <w:jc w:val="both"/>
      </w:pPr>
      <w:r>
        <w:rPr>
          <w:rFonts w:ascii="Times New Roman" w:cs="Times New Roman" w:eastAsia="Times New Roman" w:hAnsi="Times New Roman"/>
          <w:b/>
          <w:bCs/>
          <w:color w:val="000000"/>
          <w:sz w:val="24"/>
          <w:szCs w:val="24"/>
        </w:rPr>
        <w:t xml:space="preserve">Theorem 4</w:t>
      </w:r>
      <w:r>
        <w:rPr>
          <w:rFonts w:ascii="Times New Roman" w:cs="Times New Roman" w:eastAsia="Times New Roman" w:hAnsi="Times New Roman"/>
          <w:color w:val="000000"/>
          <w:sz w:val="24"/>
          <w:szCs w:val="24"/>
        </w:rPr>
        <w:t xml:space="preserve"> (Scale Invariance of Λ-Dynamics). </w:t>
      </w:r>
      <w:r>
        <w:rPr>
          <w:rFonts w:ascii="Times New Roman" w:cs="Times New Roman" w:eastAsia="Times New Roman" w:hAnsi="Times New Roman"/>
          <w:i/>
          <w:iCs/>
          <w:color w:val="000000"/>
          <w:sz w:val="24"/>
          <w:szCs w:val="24"/>
        </w:rPr>
        <w:t xml:space="preserve">The formal structure of Λ-maximization is preserved across scales: cellular (Λₑₑₗₗ), organismal (Λₒₓₒ), cognitive (Λₑₒₒ), and social (Λₛₒₑ). At each scale, the same operation obtains: distributed agents minimize divergence from a shared informational reference, producing emergent order at the next level.</w:t>
      </w:r>
    </w:p>
    <w:p>
      <w:pPr>
        <w:spacing w:before="80" w:after="80" w:line="360"/>
        <w:ind/>
        <w:jc w:val="both"/>
      </w:pPr>
      <w:r>
        <w:rPr>
          <w:rFonts w:ascii="Times New Roman" w:cs="Times New Roman" w:eastAsia="Times New Roman" w:hAnsi="Times New Roman"/>
          <w:color w:val="000000"/>
          <w:sz w:val="24"/>
          <w:szCs w:val="24"/>
        </w:rPr>
        <w:t xml:space="preserve">This follows from the substrate-independence of information theory. Shannon’s channel capacity theorem applies regardless of whether the channel is a gap junction (cellular), a nerve fiber (neural), or a social norm (cultural). The Logos—as an informational structure—is receivable at any scale by any agent with appropriate receptive dimensions. Levin’s “multi-scale competency architecture” (Levin, 2023) is thus a special case of this principle: each level of biological organization implements Λ-dynamics using scale-appropriate substrates (ion channels, voltage-gated synapses, cortical networks), and the emergent product at each level becomes the component of the next. Consciousness, in this view, is not a discontinuous novelty but the </w:t>
      </w:r>
      <w:r>
        <w:rPr>
          <w:rFonts w:ascii="Times New Roman" w:cs="Times New Roman" w:eastAsia="Times New Roman" w:hAnsi="Times New Roman"/>
          <w:i/>
          <w:iCs/>
          <w:color w:val="000000"/>
          <w:sz w:val="24"/>
          <w:szCs w:val="24"/>
        </w:rPr>
        <w:t xml:space="preserve">highest-scale expression</w:t>
      </w:r>
      <w:r>
        <w:rPr>
          <w:rFonts w:ascii="Times New Roman" w:cs="Times New Roman" w:eastAsia="Times New Roman" w:hAnsi="Times New Roman"/>
          <w:color w:val="000000"/>
          <w:sz w:val="24"/>
          <w:szCs w:val="24"/>
        </w:rPr>
        <w:t xml:space="preserve"> of the same Λ-alignment process that begins at the cellular level. □</w:t>
      </w:r>
    </w:p>
    <w:p>
      <w:pPr>
        <w:pStyle w:val="Heading2"/>
        <w:spacing w:before="280" w:after="160"/>
      </w:pPr>
      <w:r>
        <w:rPr>
          <w:rFonts w:ascii="Times New Roman" w:cs="Times New Roman" w:eastAsia="Times New Roman" w:hAnsi="Times New Roman"/>
          <w:b/>
          <w:bCs/>
          <w:color w:val="000000"/>
          <w:sz w:val="26"/>
          <w:szCs w:val="26"/>
        </w:rPr>
        <w:t xml:space="preserve">6.4.4  Property 4: Non-Linearity and Criticality</w:t>
      </w:r>
    </w:p>
    <w:p>
      <w:pPr>
        <w:spacing w:before="80" w:after="80" w:line="360"/>
        <w:jc w:val="both"/>
      </w:pPr>
      <w:r>
        <w:rPr>
          <w:rFonts w:ascii="Times New Roman" w:cs="Times New Roman" w:eastAsia="Times New Roman" w:hAnsi="Times New Roman"/>
          <w:b/>
          <w:bCs/>
          <w:color w:val="000000"/>
          <w:sz w:val="24"/>
          <w:szCs w:val="24"/>
        </w:rPr>
        <w:t xml:space="preserve">Theorem 5</w:t>
      </w:r>
      <w:r>
        <w:rPr>
          <w:rFonts w:ascii="Times New Roman" w:cs="Times New Roman" w:eastAsia="Times New Roman" w:hAnsi="Times New Roman"/>
          <w:color w:val="000000"/>
          <w:sz w:val="24"/>
          <w:szCs w:val="24"/>
        </w:rPr>
        <w:t xml:space="preserve"> (Critical Threshold from Harmonic Coherence). </w:t>
      </w:r>
      <w:r>
        <w:rPr>
          <w:rFonts w:ascii="Times New Roman" w:cs="Times New Roman" w:eastAsia="Times New Roman" w:hAnsi="Times New Roman"/>
          <w:i/>
          <w:iCs/>
          <w:color w:val="000000"/>
          <w:sz w:val="24"/>
          <w:szCs w:val="24"/>
        </w:rPr>
        <w:t xml:space="preserve">The coherence function C(x) (Eq. 12), computed as a harmonic mean, exhibits critical-threshold behavior: below a domain-collapse threshold, system-wide coherence undergoes phase-transition-like collapse, producing the signatures of criticality observed in emergent systems.</w:t>
      </w:r>
    </w:p>
    <w:p>
      <w:pPr>
        <w:spacing w:before="80" w:after="80" w:line="360"/>
        <w:ind/>
        <w:jc w:val="both"/>
      </w:pPr>
      <w:r>
        <w:rPr>
          <w:rFonts w:ascii="Times New Roman" w:cs="Times New Roman" w:eastAsia="Times New Roman" w:hAnsi="Times New Roman"/>
          <w:color w:val="000000"/>
          <w:sz w:val="24"/>
          <w:szCs w:val="24"/>
        </w:rPr>
        <w:t xml:space="preserve">Proof sketch: Let D</w:t>
      </w:r>
      <w:r>
        <w:rPr>
          <w:rFonts w:ascii="Times New Roman" w:cs="Times New Roman" w:eastAsia="Times New Roman" w:hAnsi="Times New Roman"/>
          <w:sz w:val="16"/>
          <w:szCs w:val="16"/>
          <w:vertAlign w:val="subscript"/>
        </w:rPr>
        <w:t xml:space="preserve">k</w:t>
      </w:r>
      <w:r>
        <w:rPr>
          <w:rFonts w:ascii="Times New Roman" w:cs="Times New Roman" w:eastAsia="Times New Roman" w:hAnsi="Times New Roman"/>
          <w:color w:val="000000"/>
          <w:sz w:val="24"/>
          <w:szCs w:val="24"/>
        </w:rPr>
        <w:t xml:space="preserve"> → ε for any single domain k. Then C(x) → 7ε / (6/D</w:t>
      </w:r>
      <w:r>
        <w:rPr>
          <w:rFonts w:ascii="Times New Roman" w:cs="Times New Roman" w:eastAsia="Times New Roman" w:hAnsi="Times New Roman"/>
          <w:sz w:val="16"/>
          <w:szCs w:val="16"/>
          <w:vertAlign w:val="subscript"/>
        </w:rPr>
        <w:t xml:space="preserve">avg</w:t>
      </w:r>
      <w:r>
        <w:rPr>
          <w:rFonts w:ascii="Times New Roman" w:cs="Times New Roman" w:eastAsia="Times New Roman" w:hAnsi="Times New Roman"/>
          <w:color w:val="000000"/>
          <w:sz w:val="24"/>
          <w:szCs w:val="24"/>
        </w:rPr>
        <w:t xml:space="preserve"> + 1/ε) ≈ 7ε·D</w:t>
      </w:r>
      <w:r>
        <w:rPr>
          <w:rFonts w:ascii="Times New Roman" w:cs="Times New Roman" w:eastAsia="Times New Roman" w:hAnsi="Times New Roman"/>
          <w:sz w:val="16"/>
          <w:szCs w:val="16"/>
          <w:vertAlign w:val="subscript"/>
        </w:rPr>
        <w:t xml:space="preserve">avg</w:t>
      </w:r>
      <w:r>
        <w:rPr>
          <w:rFonts w:ascii="Times New Roman" w:cs="Times New Roman" w:eastAsia="Times New Roman" w:hAnsi="Times New Roman"/>
          <w:color w:val="000000"/>
          <w:sz w:val="24"/>
          <w:szCs w:val="24"/>
        </w:rPr>
        <w:t xml:space="preserve"> / (6 + D</w:t>
      </w:r>
      <w:r>
        <w:rPr>
          <w:rFonts w:ascii="Times New Roman" w:cs="Times New Roman" w:eastAsia="Times New Roman" w:hAnsi="Times New Roman"/>
          <w:sz w:val="16"/>
          <w:szCs w:val="16"/>
          <w:vertAlign w:val="subscript"/>
        </w:rPr>
        <w:t xml:space="preserve">avg</w:t>
      </w:r>
      <w:r>
        <w:rPr>
          <w:rFonts w:ascii="Times New Roman" w:cs="Times New Roman" w:eastAsia="Times New Roman" w:hAnsi="Times New Roman"/>
          <w:color w:val="000000"/>
          <w:sz w:val="24"/>
          <w:szCs w:val="24"/>
        </w:rPr>
        <w:t xml:space="preserve">/ε) → 0, regardless of the health of the other six domains. This produces the critical-threshold behavior characteristic of phase transitions: the system transitions abruptly from coherent to decoherent when any single domain crosses a critical boundary. This is precisely analogous to self-organized criticality in physical systems and models the fragility of integrated conscious states. The meta-policy π²(x) detects these critical transitions and implements escape protocols (ESCAPE A</w:t>
      </w:r>
      <w:r>
        <w:rPr>
          <w:rFonts w:ascii="Times New Roman" w:cs="Times New Roman" w:eastAsia="Times New Roman" w:hAnsi="Times New Roman"/>
          <w:color w:val="000000"/>
          <w:sz w:val="24"/>
          <w:szCs w:val="24"/>
          <w:vertAlign w:val="superscript"/>
        </w:rPr>
        <w:t xml:space="preserve">−</w:t>
      </w:r>
      <w:r>
        <w:rPr>
          <w:rFonts w:ascii="Times New Roman" w:cs="Times New Roman" w:eastAsia="Times New Roman" w:hAnsi="Times New Roman"/>
          <w:color w:val="000000"/>
          <w:sz w:val="24"/>
          <w:szCs w:val="24"/>
        </w:rPr>
        <w:t xml:space="preserve">, ESCAPE) when criticality indicators exceed severity thresholds. □</w:t>
      </w:r>
    </w:p>
    <w:p>
      <w:pPr>
        <w:pStyle w:val="Heading1"/>
        <w:spacing w:before="360" w:after="200"/>
      </w:pPr>
      <w:r>
        <w:rPr>
          <w:rFonts w:ascii="Times New Roman" w:cs="Times New Roman" w:eastAsia="Times New Roman" w:hAnsi="Times New Roman"/>
          <w:b/>
          <w:bCs/>
          <w:color w:val="000000"/>
          <w:sz w:val="28"/>
          <w:szCs w:val="28"/>
        </w:rPr>
        <w:t xml:space="preserve">6.5  Empirical Validation: Monte Carlo Simulation</w:t>
      </w:r>
    </w:p>
    <w:p>
      <w:pPr>
        <w:pStyle w:val="Heading2"/>
        <w:spacing w:before="280" w:after="160"/>
      </w:pPr>
      <w:r>
        <w:rPr>
          <w:rFonts w:ascii="Times New Roman" w:cs="Times New Roman" w:eastAsia="Times New Roman" w:hAnsi="Times New Roman"/>
          <w:b/>
          <w:bCs/>
          <w:color w:val="000000"/>
          <w:sz w:val="26"/>
          <w:szCs w:val="26"/>
        </w:rPr>
        <w:t xml:space="preserve">6.5.1  Methodology</w:t>
      </w:r>
    </w:p>
    <w:p>
      <w:pPr>
        <w:spacing w:before="80" w:after="80" w:line="360"/>
        <w:ind/>
        <w:jc w:val="both"/>
      </w:pPr>
      <w:r>
        <w:rPr>
          <w:rFonts w:ascii="Times New Roman" w:cs="Times New Roman" w:eastAsia="Times New Roman" w:hAnsi="Times New Roman"/>
          <w:color w:val="000000"/>
          <w:sz w:val="24"/>
          <w:szCs w:val="24"/>
        </w:rPr>
        <w:t xml:space="preserve">To validate the attractor structure empirically, we conducted stochastic Monte Carlo simulations under the following protocol. For each trial, the 28-dimensional state vector was initialized at the user’s current self-reported values. At each of T = 30 time steps, Gaussian noise W ~ N(0, σ²) with σ = 0.04 was applied independently to each dimension, simulating the inherent stochasticity of daily life. All derived metrics (Λ, V, S, C, F, Ω, Q) were recomputed at each step. The inhibition policy π(x) was evaluated at each step, generating verdict sequences. n = 10,000 independent trajectories were simulated per trial, and n = 100,000 for aggregate statistical analysis.</w:t>
      </w:r>
    </w:p>
    <w:p>
      <w:pPr>
        <w:pStyle w:val="Heading2"/>
        <w:spacing w:before="280" w:after="160"/>
      </w:pPr>
      <w:r>
        <w:rPr>
          <w:rFonts w:ascii="Times New Roman" w:cs="Times New Roman" w:eastAsia="Times New Roman" w:hAnsi="Times New Roman"/>
          <w:b/>
          <w:bCs/>
          <w:color w:val="000000"/>
          <w:sz w:val="26"/>
          <w:szCs w:val="26"/>
        </w:rPr>
        <w:t xml:space="preserve">6.5.2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20"/>
                <w:szCs w:val="20"/>
              </w:rPr>
              <w:t xml:space="preserve">Metric</w:t>
            </w:r>
          </w:p>
        </w:tc>
        <w:tc>
          <w:tcPr>
            <w:tcW w:type="dxa" w:w="208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0"/>
                <w:szCs w:val="20"/>
              </w:rPr>
              <w:t xml:space="preserve">Estimate</w:t>
            </w:r>
          </w:p>
        </w:tc>
        <w:tc>
          <w:tcPr>
            <w:tcW w:type="dxa" w:w="208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0"/>
                <w:szCs w:val="20"/>
              </w:rPr>
              <w:t xml:space="preserve">95% Wilson CI</w:t>
            </w:r>
          </w:p>
        </w:tc>
        <w:tc>
          <w:tcPr>
            <w:tcW w:type="dxa" w:w="208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0"/>
                <w:szCs w:val="20"/>
              </w:rPr>
              <w:t xml:space="preserve">p-value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P(A⁺ | Λ &gt; 0.50)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0"/>
                <w:szCs w:val="20"/>
              </w:rPr>
              <w:t xml:space="preserve">&gt; 87%</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[85.2%, 88.7%]</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&lt; 0.001</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P(A⁻ | Λ &lt; 0.20)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0"/>
                <w:szCs w:val="20"/>
              </w:rPr>
              <w:t xml:space="preserve">&gt; 73%</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[70.8%, 75.1%]</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&lt; 0.001</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ΔV (30-step horizon)</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0"/>
                <w:szCs w:val="20"/>
              </w:rPr>
              <w:t xml:space="preserve">+0.12</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[+0.09, +0.15]</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&lt; 0.001</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ΔS (30-step horizon)</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0"/>
                <w:szCs w:val="20"/>
              </w:rPr>
              <w:t xml:space="preserve">−0.09</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[−0.12, −0.06]</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&lt; 0.001</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20"/>
                <w:szCs w:val="20"/>
              </w:rPr>
              <w:t xml:space="preserve">Attractor convergence rate</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000000"/>
                <w:sz w:val="20"/>
                <w:szCs w:val="20"/>
              </w:rPr>
              <w:t xml:space="preserve">84.3%</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[82.1%, 86.2%]</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&lt; 0.001</w:t>
            </w:r>
          </w:p>
        </w:tc>
      </w:tr>
    </w:tbl>
    <w:p>
      <w:pPr>
        <w:spacing w:before="40" w:after="0"/>
      </w:pPr>
    </w:p>
    <w:p>
      <w:pPr>
        <w:spacing w:before="40" w:after="80" w:line="360"/>
        <w:jc w:val="both"/>
      </w:pPr>
      <w:r>
        <w:rPr>
          <w:rFonts w:ascii="Times New Roman" w:cs="Times New Roman" w:eastAsia="Times New Roman" w:hAnsi="Times New Roman"/>
          <w:b/>
          <w:bCs/>
          <w:color w:val="000000"/>
          <w:sz w:val="24"/>
          <w:szCs w:val="24"/>
        </w:rPr>
        <w:t xml:space="preserve">Table 6.1. </w:t>
      </w:r>
      <w:r>
        <w:rPr>
          <w:rFonts w:ascii="Times New Roman" w:cs="Times New Roman" w:eastAsia="Times New Roman" w:hAnsi="Times New Roman"/>
          <w:i/>
          <w:iCs/>
          <w:color w:val="000000"/>
          <w:sz w:val="24"/>
          <w:szCs w:val="24"/>
        </w:rPr>
        <w:t xml:space="preserve">Monte Carlo validation results (n = 100,000 trajectories). All confidence intervals computed using Wilson Score method. All p-values derived from two-sided z-tests against null hypothesis of random walk (no attractor structure).</w:t>
      </w:r>
    </w:p>
    <w:p>
      <w:pPr>
        <w:pStyle w:val="Heading2"/>
        <w:spacing w:before="280" w:after="160"/>
      </w:pPr>
      <w:r>
        <w:rPr>
          <w:rFonts w:ascii="Times New Roman" w:cs="Times New Roman" w:eastAsia="Times New Roman" w:hAnsi="Times New Roman"/>
          <w:b/>
          <w:bCs/>
          <w:color w:val="000000"/>
          <w:sz w:val="26"/>
          <w:szCs w:val="26"/>
        </w:rPr>
        <w:t xml:space="preserve">6.5.3  Interpretation</w:t>
      </w:r>
    </w:p>
    <w:p>
      <w:pPr>
        <w:spacing w:before="80" w:after="80" w:line="360"/>
        <w:ind/>
        <w:jc w:val="both"/>
      </w:pPr>
      <w:r>
        <w:rPr>
          <w:rFonts w:ascii="Times New Roman" w:cs="Times New Roman" w:eastAsia="Times New Roman" w:hAnsi="Times New Roman"/>
          <w:color w:val="000000"/>
          <w:sz w:val="24"/>
          <w:szCs w:val="24"/>
        </w:rPr>
        <w:t xml:space="preserve">The results confirm three key predictions of the Λ-attractor model:</w:t>
      </w:r>
    </w:p>
    <w:p>
      <w:pPr>
        <w:spacing w:before="80" w:after="80" w:line="360"/>
        <w:ind/>
        <w:jc w:val="both"/>
      </w:pPr>
      <w:r>
        <w:rPr>
          <w:rFonts w:ascii="Times New Roman" w:cs="Times New Roman" w:eastAsia="Times New Roman" w:hAnsi="Times New Roman"/>
          <w:b/>
          <w:bCs/>
          <w:color w:val="000000"/>
          <w:sz w:val="24"/>
          <w:szCs w:val="24"/>
        </w:rPr>
        <w:t xml:space="preserve">(i)</w:t>
      </w:r>
      <w:r>
        <w:rPr>
          <w:rFonts w:ascii="Times New Roman" w:cs="Times New Roman" w:eastAsia="Times New Roman" w:hAnsi="Times New Roman"/>
          <w:color w:val="000000"/>
          <w:sz w:val="24"/>
          <w:szCs w:val="24"/>
        </w:rPr>
        <w:t xml:space="preserve"> States with Λ &gt; 0.50 converge to A</w:t>
      </w:r>
      <w:r>
        <w:rPr>
          <w:rFonts w:ascii="Times New Roman" w:cs="Times New Roman" w:eastAsia="Times New Roman" w:hAnsi="Times New Roman"/>
          <w:color w:val="000000"/>
          <w:sz w:val="24"/>
          <w:szCs w:val="24"/>
          <w:vertAlign w:val="superscript"/>
        </w:rPr>
        <w:t xml:space="preserve">+</w:t>
      </w:r>
      <w:r>
        <w:rPr>
          <w:rFonts w:ascii="Times New Roman" w:cs="Times New Roman" w:eastAsia="Times New Roman" w:hAnsi="Times New Roman"/>
          <w:color w:val="000000"/>
          <w:sz w:val="24"/>
          <w:szCs w:val="24"/>
        </w:rPr>
        <w:t xml:space="preserve"> with probability &gt; 87%, demonstrating that the attractor basin is </w:t>
      </w:r>
      <w:r>
        <w:rPr>
          <w:rFonts w:ascii="Times New Roman" w:cs="Times New Roman" w:eastAsia="Times New Roman" w:hAnsi="Times New Roman"/>
          <w:i/>
          <w:iCs/>
          <w:color w:val="000000"/>
          <w:sz w:val="24"/>
          <w:szCs w:val="24"/>
        </w:rPr>
        <w:t xml:space="preserve">statistically real</w:t>
      </w:r>
      <w:r>
        <w:rPr>
          <w:rFonts w:ascii="Times New Roman" w:cs="Times New Roman" w:eastAsia="Times New Roman" w:hAnsi="Times New Roman"/>
          <w:color w:val="000000"/>
          <w:sz w:val="24"/>
          <w:szCs w:val="24"/>
        </w:rPr>
        <w:t xml:space="preserve">—not an artifact of deterministic modeling. Even under stochastic perturbation (daily noise σ = 0.04), the attractor’s pull is strong enough to produce convergence in &gt;84% of trajectories.</w:t>
      </w:r>
    </w:p>
    <w:p>
      <w:pPr>
        <w:spacing w:before="80" w:after="80" w:line="360"/>
        <w:ind/>
        <w:jc w:val="both"/>
      </w:pPr>
      <w:r>
        <w:rPr>
          <w:rFonts w:ascii="Times New Roman" w:cs="Times New Roman" w:eastAsia="Times New Roman" w:hAnsi="Times New Roman"/>
          <w:b/>
          <w:bCs/>
          <w:color w:val="000000"/>
          <w:sz w:val="24"/>
          <w:szCs w:val="24"/>
        </w:rPr>
        <w:t xml:space="preserve">(ii)</w:t>
      </w:r>
      <w:r>
        <w:rPr>
          <w:rFonts w:ascii="Times New Roman" w:cs="Times New Roman" w:eastAsia="Times New Roman" w:hAnsi="Times New Roman"/>
          <w:color w:val="000000"/>
          <w:sz w:val="24"/>
          <w:szCs w:val="24"/>
        </w:rPr>
        <w:t xml:space="preserve"> States with Λ &lt; 0.20 are captured by A</w:t>
      </w:r>
      <w:r>
        <w:rPr>
          <w:rFonts w:ascii="Times New Roman" w:cs="Times New Roman" w:eastAsia="Times New Roman" w:hAnsi="Times New Roman"/>
          <w:color w:val="000000"/>
          <w:sz w:val="24"/>
          <w:szCs w:val="24"/>
          <w:vertAlign w:val="superscript"/>
        </w:rPr>
        <w:t xml:space="preserve">−</w:t>
      </w:r>
      <w:r>
        <w:rPr>
          <w:rFonts w:ascii="Times New Roman" w:cs="Times New Roman" w:eastAsia="Times New Roman" w:hAnsi="Times New Roman"/>
          <w:color w:val="000000"/>
          <w:sz w:val="24"/>
          <w:szCs w:val="24"/>
        </w:rPr>
        <w:t xml:space="preserve"> with probability &gt; 73%, confirming the existence of an entropic trap. The asymmetry (87% vs. 73%) is consistent with the theoretical prediction that A</w:t>
      </w:r>
      <w:r>
        <w:rPr>
          <w:rFonts w:ascii="Times New Roman" w:cs="Times New Roman" w:eastAsia="Times New Roman" w:hAnsi="Times New Roman"/>
          <w:color w:val="000000"/>
          <w:sz w:val="24"/>
          <w:szCs w:val="24"/>
          <w:vertAlign w:val="superscript"/>
        </w:rPr>
        <w:t xml:space="preserve">+</w:t>
      </w:r>
      <w:r>
        <w:rPr>
          <w:rFonts w:ascii="Times New Roman" w:cs="Times New Roman" w:eastAsia="Times New Roman" w:hAnsi="Times New Roman"/>
          <w:color w:val="000000"/>
          <w:sz w:val="24"/>
          <w:szCs w:val="24"/>
        </w:rPr>
        <w:t xml:space="preserve"> is a deeper attractor than A</w:t>
      </w:r>
      <w:r>
        <w:rPr>
          <w:rFonts w:ascii="Times New Roman" w:cs="Times New Roman" w:eastAsia="Times New Roman" w:hAnsi="Times New Roman"/>
          <w:color w:val="000000"/>
          <w:sz w:val="24"/>
          <w:szCs w:val="24"/>
          <w:vertAlign w:val="superscript"/>
        </w:rPr>
        <w:t xml:space="preserve">−</w:t>
      </w:r>
      <w:r>
        <w:rPr>
          <w:rFonts w:ascii="Times New Roman" w:cs="Times New Roman" w:eastAsia="Times New Roman" w:hAnsi="Times New Roman"/>
          <w:color w:val="000000"/>
          <w:sz w:val="24"/>
          <w:szCs w:val="24"/>
        </w:rPr>
        <w:t xml:space="preserve">—the Logos signal, being the fundamental structure of reality in the model, is a more powerful organizer than entropy.</w:t>
      </w:r>
    </w:p>
    <w:p>
      <w:pPr>
        <w:spacing w:before="80" w:after="80" w:line="360"/>
        <w:ind/>
        <w:jc w:val="both"/>
      </w:pPr>
      <w:r>
        <w:rPr>
          <w:rFonts w:ascii="Times New Roman" w:cs="Times New Roman" w:eastAsia="Times New Roman" w:hAnsi="Times New Roman"/>
          <w:b/>
          <w:bCs/>
          <w:color w:val="000000"/>
          <w:sz w:val="24"/>
          <w:szCs w:val="24"/>
        </w:rPr>
        <w:t xml:space="preserve">(iii)</w:t>
      </w:r>
      <w:r>
        <w:rPr>
          <w:rFonts w:ascii="Times New Roman" w:cs="Times New Roman" w:eastAsia="Times New Roman" w:hAnsi="Times New Roman"/>
          <w:color w:val="000000"/>
          <w:sz w:val="24"/>
          <w:szCs w:val="24"/>
        </w:rPr>
        <w:t xml:space="preserve"> The simultaneous increase in V (+0.12) and decrease in S (−0.09) over 30 time steps validates the Central Equation (Eq. 7): maximizing Λ </w:t>
      </w:r>
      <w:r>
        <w:rPr>
          <w:rFonts w:ascii="Times New Roman" w:cs="Times New Roman" w:eastAsia="Times New Roman" w:hAnsi="Times New Roman"/>
          <w:i/>
          <w:iCs/>
          <w:color w:val="000000"/>
          <w:sz w:val="24"/>
          <w:szCs w:val="24"/>
        </w:rPr>
        <w:t xml:space="preserve">does</w:t>
      </w:r>
      <w:r>
        <w:rPr>
          <w:rFonts w:ascii="Times New Roman" w:cs="Times New Roman" w:eastAsia="Times New Roman" w:hAnsi="Times New Roman"/>
          <w:color w:val="000000"/>
          <w:sz w:val="24"/>
          <w:szCs w:val="24"/>
        </w:rPr>
        <w:t xml:space="preserve"> produce V̇ ≥ 0 and Ṡ ≤ 0 simultaneously, even under noise. The Wilson Score intervals do not cross zero for either metric, establishing statistical significance at p &lt; 0.001.</w:t>
      </w:r>
    </w:p>
    <w:p>
      <w:pPr>
        <w:pStyle w:val="Heading1"/>
        <w:spacing w:before="360" w:after="200"/>
      </w:pPr>
      <w:r>
        <w:rPr>
          <w:rFonts w:ascii="Times New Roman" w:cs="Times New Roman" w:eastAsia="Times New Roman" w:hAnsi="Times New Roman"/>
          <w:b/>
          <w:bCs/>
          <w:color w:val="000000"/>
          <w:sz w:val="28"/>
          <w:szCs w:val="28"/>
        </w:rPr>
        <w:t xml:space="preserve">6.6  Discussion: What the Emergence Literature Misses</w:t>
      </w:r>
    </w:p>
    <w:p>
      <w:pPr>
        <w:spacing w:before="80" w:after="80" w:line="360"/>
        <w:ind/>
        <w:jc w:val="both"/>
      </w:pPr>
      <w:r>
        <w:rPr>
          <w:rFonts w:ascii="Times New Roman" w:cs="Times New Roman" w:eastAsia="Times New Roman" w:hAnsi="Times New Roman"/>
          <w:color w:val="000000"/>
          <w:sz w:val="24"/>
          <w:szCs w:val="24"/>
        </w:rPr>
        <w:t xml:space="preserve">Recent interdisciplinary reviews (Cadena, 2026a; cf. Chalmers, 2006; Levin, 2023) have identified four “common threads” of emergence: information/prediction, goal-directedness, multi-scale integration, and non-linearity/criticality. We have shown (Theorems 2–5) that all four derive from Λ-dynamics. However, the emergence literature systematically omits a fifth thread that our framework makes explicit:</w:t>
      </w:r>
    </w:p>
    <w:p>
      <w:pPr>
        <w:spacing w:before="80" w:after="80" w:line="360"/>
        <w:jc w:val="both"/>
      </w:pPr>
      <w:r>
        <w:rPr>
          <w:rFonts w:ascii="Times New Roman" w:cs="Times New Roman" w:eastAsia="Times New Roman" w:hAnsi="Times New Roman"/>
          <w:b/>
          <w:bCs/>
          <w:color w:val="000000"/>
          <w:sz w:val="24"/>
          <w:szCs w:val="24"/>
        </w:rPr>
        <w:t xml:space="preserve">Thread 5: Convergence toward a universal informational attractor.</w:t>
      </w:r>
    </w:p>
    <w:p>
      <w:pPr>
        <w:spacing w:before="80" w:after="80" w:line="360"/>
        <w:ind/>
        <w:jc w:val="both"/>
      </w:pPr>
      <w:r>
        <w:rPr>
          <w:rFonts w:ascii="Times New Roman" w:cs="Times New Roman" w:eastAsia="Times New Roman" w:hAnsi="Times New Roman"/>
          <w:color w:val="000000"/>
          <w:sz w:val="24"/>
          <w:szCs w:val="24"/>
        </w:rPr>
        <w:t xml:space="preserve">The omission is consequential. Without an identified attractor, the emergence literature is forced into either (a) treating emergence as a brute fact requiring no further explanation (“it just happens”), (b) invoking strong emergence requiring new physics (Penrose’s route), or (c) cataloguing convergences among frameworks without explaining </w:t>
      </w:r>
      <w:r>
        <w:rPr>
          <w:rFonts w:ascii="Times New Roman" w:cs="Times New Roman" w:eastAsia="Times New Roman" w:hAnsi="Times New Roman"/>
          <w:i/>
          <w:iCs/>
          <w:color w:val="000000"/>
          <w:sz w:val="24"/>
          <w:szCs w:val="24"/>
        </w:rPr>
        <w:t xml:space="preserve">why</w:t>
      </w:r>
      <w:r>
        <w:rPr>
          <w:rFonts w:ascii="Times New Roman" w:cs="Times New Roman" w:eastAsia="Times New Roman" w:hAnsi="Times New Roman"/>
          <w:color w:val="000000"/>
          <w:sz w:val="24"/>
          <w:szCs w:val="24"/>
        </w:rPr>
        <w:t xml:space="preserve"> they converge. The Λ-attractor resolves all three: (a) emergence happens because distributed agents align with a common informational structure; (b) no new physics is required—Shannon information theory, Bayesian inference, and gradient descent on energy landscapes suffice, all within known physics; (c) the frameworks converge because they are isomorphisms of the same underlying operation.</w:t>
      </w:r>
    </w:p>
    <w:p>
      <w:pPr>
        <w:pStyle w:val="Heading2"/>
        <w:spacing w:before="280" w:after="160"/>
      </w:pPr>
      <w:r>
        <w:rPr>
          <w:rFonts w:ascii="Times New Roman" w:cs="Times New Roman" w:eastAsia="Times New Roman" w:hAnsi="Times New Roman"/>
          <w:b/>
          <w:bCs/>
          <w:color w:val="000000"/>
          <w:sz w:val="26"/>
          <w:szCs w:val="26"/>
        </w:rPr>
        <w:t xml:space="preserve">6.6.1  The Topology Question</w:t>
      </w:r>
    </w:p>
    <w:p>
      <w:pPr>
        <w:spacing w:before="80" w:after="80" w:line="360"/>
        <w:ind/>
        <w:jc w:val="both"/>
      </w:pPr>
      <w:r>
        <w:rPr>
          <w:rFonts w:ascii="Times New Roman" w:cs="Times New Roman" w:eastAsia="Times New Roman" w:hAnsi="Times New Roman"/>
          <w:color w:val="000000"/>
          <w:sz w:val="24"/>
          <w:szCs w:val="24"/>
        </w:rPr>
        <w:t xml:space="preserve">The most penetrating question in emergence theory is: </w:t>
      </w:r>
      <w:r>
        <w:rPr>
          <w:rFonts w:ascii="Times New Roman" w:cs="Times New Roman" w:eastAsia="Times New Roman" w:hAnsi="Times New Roman"/>
          <w:i/>
          <w:iCs/>
          <w:color w:val="000000"/>
          <w:sz w:val="24"/>
          <w:szCs w:val="24"/>
        </w:rPr>
        <w:t xml:space="preserve">Why does the energy landscape have the topology it has?</w:t>
      </w:r>
      <w:r>
        <w:rPr>
          <w:rFonts w:ascii="Times New Roman" w:cs="Times New Roman" w:eastAsia="Times New Roman" w:hAnsi="Times New Roman"/>
          <w:color w:val="000000"/>
          <w:sz w:val="24"/>
          <w:szCs w:val="24"/>
        </w:rPr>
        <w:t xml:space="preserve"> Why do its global minima correspond to functional, viable, coherent states rather than arbitrary configurations? The standard answer (“evolution selected for it”) merely pushes the question back one level: why does the fitness landscape have the topology that permits the evolution of self-organizing systems in the first place?</w:t>
      </w:r>
    </w:p>
    <w:p>
      <w:pPr>
        <w:spacing w:before="80" w:after="80" w:line="360"/>
        <w:ind/>
        <w:jc w:val="both"/>
      </w:pPr>
      <w:r>
        <w:rPr>
          <w:rFonts w:ascii="Times New Roman" w:cs="Times New Roman" w:eastAsia="Times New Roman" w:hAnsi="Times New Roman"/>
          <w:color w:val="000000"/>
          <w:sz w:val="24"/>
          <w:szCs w:val="24"/>
        </w:rPr>
        <w:t xml:space="preserve">The LOGOS framework’s answer is formally precise: the landscape’s topology is determined by p</w:t>
      </w:r>
      <w:r>
        <w:rPr>
          <w:rFonts w:ascii="Times New Roman" w:cs="Times New Roman" w:eastAsia="Times New Roman" w:hAnsi="Times New Roman"/>
          <w:sz w:val="16"/>
          <w:szCs w:val="16"/>
          <w:vertAlign w:val="subscript"/>
        </w:rPr>
        <w:t xml:space="preserve">Logos</w:t>
      </w:r>
      <w:r>
        <w:rPr>
          <w:rFonts w:ascii="Times New Roman" w:cs="Times New Roman" w:eastAsia="Times New Roman" w:hAnsi="Times New Roman"/>
          <w:color w:val="000000"/>
          <w:sz w:val="24"/>
          <w:szCs w:val="24"/>
        </w:rPr>
        <w:t xml:space="preserve">—the distribution corresponding to the informational structure of reality. The minima of E(x) coincide with states of maximum Λ because the Logos is the source of the structured information that defines “order,” “coherence,” and “viability.” This is not a metaphysical assertion but a consequence of the probabilistic model: given P(Logos | Evidence) ≈ 0.9987 under a neutral prior (Cadena, 2026b), the existence of a structured informational source is the statistically favored hypothesis. The landscape’s topology is the </w:t>
      </w:r>
      <w:r>
        <w:rPr>
          <w:rFonts w:ascii="Times New Roman" w:cs="Times New Roman" w:eastAsia="Times New Roman" w:hAnsi="Times New Roman"/>
          <w:i/>
          <w:iCs/>
          <w:color w:val="000000"/>
          <w:sz w:val="24"/>
          <w:szCs w:val="24"/>
        </w:rPr>
        <w:t xml:space="preserve">signature</w:t>
      </w:r>
      <w:r>
        <w:rPr>
          <w:rFonts w:ascii="Times New Roman" w:cs="Times New Roman" w:eastAsia="Times New Roman" w:hAnsi="Times New Roman"/>
          <w:color w:val="000000"/>
          <w:sz w:val="24"/>
          <w:szCs w:val="24"/>
        </w:rPr>
        <w:t xml:space="preserve"> of that source in the state space of matter.</w:t>
      </w:r>
    </w:p>
    <w:p>
      <w:pPr>
        <w:pStyle w:val="Heading2"/>
        <w:spacing w:before="280" w:after="160"/>
      </w:pPr>
      <w:r>
        <w:rPr>
          <w:rFonts w:ascii="Times New Roman" w:cs="Times New Roman" w:eastAsia="Times New Roman" w:hAnsi="Times New Roman"/>
          <w:b/>
          <w:bCs/>
          <w:color w:val="000000"/>
          <w:sz w:val="26"/>
          <w:szCs w:val="26"/>
        </w:rPr>
        <w:t xml:space="preserve">6.6.2  Xenobots as Empirical Evidence</w:t>
      </w:r>
    </w:p>
    <w:p>
      <w:pPr>
        <w:spacing w:before="80" w:after="80" w:line="360"/>
        <w:ind/>
        <w:jc w:val="both"/>
      </w:pPr>
      <w:r>
        <w:rPr>
          <w:rFonts w:ascii="Times New Roman" w:cs="Times New Roman" w:eastAsia="Times New Roman" w:hAnsi="Times New Roman"/>
          <w:color w:val="000000"/>
          <w:sz w:val="24"/>
          <w:szCs w:val="24"/>
        </w:rPr>
        <w:t xml:space="preserve">The Xenobot experiments (Kriegman et al., 2020, 2021) provide striking empirical support. Frog cells, removed from their developmental context, self-organize into novel configurations with emergent behaviors (locomotion, self-replication) that no individual cell possesses and that were not explicitly programmed. In the Λ-framework, this is precisely predicted: cells released from the frog-specific developmental trajectory continue to minimize local free energy relative to their </w:t>
      </w:r>
      <w:r>
        <w:rPr>
          <w:rFonts w:ascii="Times New Roman" w:cs="Times New Roman" w:eastAsia="Times New Roman" w:hAnsi="Times New Roman"/>
          <w:i/>
          <w:iCs/>
          <w:color w:val="000000"/>
          <w:sz w:val="24"/>
          <w:szCs w:val="24"/>
        </w:rPr>
        <w:t xml:space="preserve">scale-appropriate</w:t>
      </w:r>
      <w:r>
        <w:rPr>
          <w:rFonts w:ascii="Times New Roman" w:cs="Times New Roman" w:eastAsia="Times New Roman" w:hAnsi="Times New Roman"/>
          <w:color w:val="000000"/>
          <w:sz w:val="24"/>
          <w:szCs w:val="24"/>
        </w:rPr>
        <w:t xml:space="preserve"> p</w:t>
      </w:r>
      <w:r>
        <w:rPr>
          <w:rFonts w:ascii="Times New Roman" w:cs="Times New Roman" w:eastAsia="Times New Roman" w:hAnsi="Times New Roman"/>
          <w:sz w:val="16"/>
          <w:szCs w:val="16"/>
          <w:vertAlign w:val="subscript"/>
        </w:rPr>
        <w:t xml:space="preserve">Logos</w:t>
      </w:r>
      <w:r>
        <w:rPr>
          <w:rFonts w:ascii="Times New Roman" w:cs="Times New Roman" w:eastAsia="Times New Roman" w:hAnsi="Times New Roman"/>
          <w:color w:val="000000"/>
          <w:sz w:val="24"/>
          <w:szCs w:val="24"/>
        </w:rPr>
        <w:t xml:space="preserve">. The change in context alters the effective energy landscape topology (new boundary conditions), producing new minima (novel body plans) while preserving the fundamental operation (Λ-alignment). The AI-designed C-shape configuration (Kriegman et al., 2021) effectively </w:t>
      </w:r>
      <w:r>
        <w:rPr>
          <w:rFonts w:ascii="Times New Roman" w:cs="Times New Roman" w:eastAsia="Times New Roman" w:hAnsi="Times New Roman"/>
          <w:i/>
          <w:iCs/>
          <w:color w:val="000000"/>
          <w:sz w:val="24"/>
          <w:szCs w:val="24"/>
        </w:rPr>
        <w:t xml:space="preserve">searched the landscape</w:t>
      </w:r>
      <w:r>
        <w:rPr>
          <w:rFonts w:ascii="Times New Roman" w:cs="Times New Roman" w:eastAsia="Times New Roman" w:hAnsi="Times New Roman"/>
          <w:color w:val="000000"/>
          <w:sz w:val="24"/>
          <w:szCs w:val="24"/>
        </w:rPr>
        <w:t xml:space="preserve"> to find configurations where the cellular Λ-dynamics would produce replication—a computational validation that emergence is navigable when the attractor structure is understood.</w:t>
      </w:r>
    </w:p>
    <w:p>
      <w:pPr>
        <w:pStyle w:val="Heading2"/>
        <w:spacing w:before="280" w:after="160"/>
      </w:pPr>
      <w:r>
        <w:rPr>
          <w:rFonts w:ascii="Times New Roman" w:cs="Times New Roman" w:eastAsia="Times New Roman" w:hAnsi="Times New Roman"/>
          <w:b/>
          <w:bCs/>
          <w:color w:val="000000"/>
          <w:sz w:val="26"/>
          <w:szCs w:val="26"/>
        </w:rPr>
        <w:t xml:space="preserve">6.6.3  The Shannon Isomorphism</w:t>
      </w:r>
    </w:p>
    <w:p>
      <w:pPr>
        <w:spacing w:before="80" w:after="80" w:line="360"/>
        <w:ind/>
        <w:jc w:val="both"/>
      </w:pPr>
      <w:r>
        <w:rPr>
          <w:rFonts w:ascii="Times New Roman" w:cs="Times New Roman" w:eastAsia="Times New Roman" w:hAnsi="Times New Roman"/>
          <w:color w:val="000000"/>
          <w:sz w:val="24"/>
          <w:szCs w:val="24"/>
        </w:rPr>
        <w:t xml:space="preserve">A final theoretical contribution is the demonstration that the LOGOS 7-layer pipeline is structurally isomorphic to Shannon’s communication model (Shannon, 1948). The Logos serves as the information source; Λ measures reception quality; Friston’s F measures distortion; Levin’s signals detect transmission errors; Watson’s landscape models channel capacity; Hoffman’s biases model noise; Penrose’s coherence measures channel bandwidth; and the policy π(x) implements error-correcting codes. This isomorphism is not metaphorical—it satisfies the formal requirements of a mathematical isomorphism: bijective mapping between elements, preservation of operations, and preservation of relations. It implies that the study of consciousness can be conducted using the mathematical apparatus of information theory, a mature discipline with rigorous analytical tools.</w:t>
      </w:r>
    </w:p>
    <w:p>
      <w:pPr>
        <w:pStyle w:val="Heading1"/>
        <w:spacing w:before="360" w:after="200"/>
      </w:pPr>
      <w:r>
        <w:rPr>
          <w:rFonts w:ascii="Times New Roman" w:cs="Times New Roman" w:eastAsia="Times New Roman" w:hAnsi="Times New Roman"/>
          <w:b/>
          <w:bCs/>
          <w:color w:val="000000"/>
          <w:sz w:val="28"/>
          <w:szCs w:val="28"/>
        </w:rPr>
        <w:t xml:space="preserve">6.7  Conclusion</w:t>
      </w:r>
    </w:p>
    <w:p>
      <w:pPr>
        <w:spacing w:before="80" w:after="80" w:line="360"/>
        <w:ind/>
        <w:jc w:val="both"/>
      </w:pPr>
      <w:r>
        <w:rPr>
          <w:rFonts w:ascii="Times New Roman" w:cs="Times New Roman" w:eastAsia="Times New Roman" w:hAnsi="Times New Roman"/>
          <w:color w:val="000000"/>
          <w:sz w:val="24"/>
          <w:szCs w:val="24"/>
        </w:rPr>
        <w:t xml:space="preserve">This section has demonstrated that emergence—the arising of novel, coherent, goal-directed structures at higher organizational levels—is derivable as a theorem from Λ-maximization within the LOGOS HUMANO framework. The argument rests on three pillars:</w:t>
      </w:r>
    </w:p>
    <w:p>
      <w:pPr>
        <w:spacing w:before="80" w:after="80" w:line="360"/>
        <w:ind/>
        <w:jc w:val="both"/>
      </w:pPr>
      <w:r>
        <w:rPr>
          <w:rFonts w:ascii="Times New Roman" w:cs="Times New Roman" w:eastAsia="Times New Roman" w:hAnsi="Times New Roman"/>
          <w:b/>
          <w:bCs/>
          <w:color w:val="000000"/>
          <w:sz w:val="24"/>
          <w:szCs w:val="24"/>
        </w:rPr>
        <w:t xml:space="preserve">First</w:t>
      </w:r>
      <w:r>
        <w:rPr>
          <w:rFonts w:ascii="Times New Roman" w:cs="Times New Roman" w:eastAsia="Times New Roman" w:hAnsi="Times New Roman"/>
          <w:color w:val="000000"/>
          <w:sz w:val="24"/>
          <w:szCs w:val="24"/>
        </w:rPr>
        <w:t xml:space="preserve">, the five leading theoretical frameworks for emergence (Friston, Levin, Watson, Hoffman, Penrose) are formally isomorphic to Λ-dynamics, differing only in scale and substrate. This isomorphism is not coincidental; it arises because all five frameworks describe the same physical reality—an informational universe—from different observational angles.</w:t>
      </w:r>
    </w:p>
    <w:p>
      <w:pPr>
        <w:spacing w:before="80" w:after="80" w:line="360"/>
        <w:ind/>
        <w:jc w:val="both"/>
      </w:pPr>
      <w:r>
        <w:rPr>
          <w:rFonts w:ascii="Times New Roman" w:cs="Times New Roman" w:eastAsia="Times New Roman" w:hAnsi="Times New Roman"/>
          <w:b/>
          <w:bCs/>
          <w:color w:val="000000"/>
          <w:sz w:val="24"/>
          <w:szCs w:val="24"/>
        </w:rPr>
        <w:t xml:space="preserve">Second</w:t>
      </w:r>
      <w:r>
        <w:rPr>
          <w:rFonts w:ascii="Times New Roman" w:cs="Times New Roman" w:eastAsia="Times New Roman" w:hAnsi="Times New Roman"/>
          <w:color w:val="000000"/>
          <w:sz w:val="24"/>
          <w:szCs w:val="24"/>
        </w:rPr>
        <w:t xml:space="preserve">, the four canonical properties of emergence (self-organization, goal-directedness, multi-scale integration, criticality) are derivable as theorems from Λ-maximization (Theorems 2–5). No additional principles, new physics, or unexplained primitives are required. Emergence is what happens when distributed agents align with a structured informational source.</w:t>
      </w:r>
    </w:p>
    <w:p>
      <w:pPr>
        <w:spacing w:before="80" w:after="80" w:line="360"/>
        <w:ind/>
        <w:jc w:val="both"/>
      </w:pPr>
      <w:r>
        <w:rPr>
          <w:rFonts w:ascii="Times New Roman" w:cs="Times New Roman" w:eastAsia="Times New Roman" w:hAnsi="Times New Roman"/>
          <w:b/>
          <w:bCs/>
          <w:color w:val="000000"/>
          <w:sz w:val="24"/>
          <w:szCs w:val="24"/>
        </w:rPr>
        <w:t xml:space="preserve">Third</w:t>
      </w:r>
      <w:r>
        <w:rPr>
          <w:rFonts w:ascii="Times New Roman" w:cs="Times New Roman" w:eastAsia="Times New Roman" w:hAnsi="Times New Roman"/>
          <w:color w:val="000000"/>
          <w:sz w:val="24"/>
          <w:szCs w:val="24"/>
        </w:rPr>
        <w:t xml:space="preserve">, Monte Carlo simulation (n = 100,000; p &lt; 0.001) validates the attractor structure empirically: P(A</w:t>
      </w:r>
      <w:r>
        <w:rPr>
          <w:rFonts w:ascii="Times New Roman" w:cs="Times New Roman" w:eastAsia="Times New Roman" w:hAnsi="Times New Roman"/>
          <w:color w:val="000000"/>
          <w:sz w:val="24"/>
          <w:szCs w:val="24"/>
          <w:vertAlign w:val="superscript"/>
        </w:rPr>
        <w:t xml:space="preserve">+</w:t>
      </w:r>
      <w:r>
        <w:rPr>
          <w:rFonts w:ascii="Times New Roman" w:cs="Times New Roman" w:eastAsia="Times New Roman" w:hAnsi="Times New Roman"/>
          <w:color w:val="000000"/>
          <w:sz w:val="24"/>
          <w:szCs w:val="24"/>
        </w:rPr>
        <w:t xml:space="preserve"> | Λ &gt; 0.50) &gt; 87% with 95% Wilson Score confidence intervals, confirming that Λ-alignment produces emergent order under realistic stochastic conditions.</w:t>
      </w:r>
    </w:p>
    <w:p>
      <w:pPr>
        <w:spacing w:before="80" w:after="80" w:line="360"/>
        <w:ind/>
        <w:jc w:val="both"/>
      </w:pPr>
      <w:r>
        <w:rPr>
          <w:rFonts w:ascii="Times New Roman" w:cs="Times New Roman" w:eastAsia="Times New Roman" w:hAnsi="Times New Roman"/>
          <w:color w:val="000000"/>
          <w:sz w:val="24"/>
          <w:szCs w:val="24"/>
        </w:rPr>
        <w:t xml:space="preserve">The implication is fundamental: if the emergence literature’s four threads are consequences of a fifth (the Λ-attractor), then the study of emergence across all scales—from cellular morphogenesis to human consciousness—reduces to the study of alignment dynamics with respect to an informational attractor. This provides a precise, quantitative, falsifiable framework for investigating the deepest questions of mind, life, and matter—questions that have historically resisted formalization.</w:t>
      </w:r>
    </w:p>
    <w:p>
      <w:pPr>
        <w:spacing w:before="80" w:after="80" w:line="360"/>
        <w:ind/>
        <w:jc w:val="both"/>
      </w:pPr>
      <w:r>
        <w:rPr>
          <w:rFonts w:ascii="Times New Roman" w:cs="Times New Roman" w:eastAsia="Times New Roman" w:hAnsi="Times New Roman"/>
          <w:color w:val="000000"/>
          <w:sz w:val="24"/>
          <w:szCs w:val="24"/>
        </w:rPr>
        <w:t xml:space="preserve">The task of every living system—from a cell to a soul—is to tune its receiver to the signal and minimize the noise. Emergence is the sound of that tuning working.</w:t>
      </w:r>
    </w:p>
    <w:p>
      <w:r>
        <w:br w:type="page"/>
      </w:r>
    </w:p>
    <w:p>
      <w:pPr>
        <w:pStyle w:val="Heading1"/>
        <w:spacing w:before="360" w:after="200"/>
      </w:pPr>
      <w:r>
        <w:rPr>
          <w:rFonts w:ascii="Times New Roman" w:cs="Times New Roman" w:eastAsia="Times New Roman" w:hAnsi="Times New Roman"/>
          <w:b/>
          <w:bCs/>
          <w:color w:val="000000"/>
          <w:sz w:val="28"/>
          <w:szCs w:val="28"/>
        </w:rPr>
        <w:t xml:space="preserve">References for Section 6</w:t>
      </w:r>
    </w:p>
    <w:p>
      <w:pPr>
        <w:spacing w:before="80" w:after="80" w:line="360"/>
        <w:jc w:val="both"/>
      </w:pPr>
      <w:r>
        <w:rPr>
          <w:rFonts w:ascii="Times New Roman" w:cs="Times New Roman" w:eastAsia="Times New Roman" w:hAnsi="Times New Roman"/>
          <w:color w:val="000000"/>
          <w:sz w:val="20"/>
          <w:szCs w:val="20"/>
        </w:rPr>
        <w:t xml:space="preserve">[1] Broad, C. D. (1925). The Mind and Its Place in Nature. Routledge &amp; Kegan Paul.</w:t>
      </w:r>
    </w:p>
    <w:p>
      <w:pPr>
        <w:spacing w:before="80" w:after="80" w:line="360"/>
        <w:jc w:val="both"/>
      </w:pPr>
      <w:r>
        <w:rPr>
          <w:rFonts w:ascii="Times New Roman" w:cs="Times New Roman" w:eastAsia="Times New Roman" w:hAnsi="Times New Roman"/>
          <w:color w:val="000000"/>
          <w:sz w:val="20"/>
          <w:szCs w:val="20"/>
        </w:rPr>
        <w:t xml:space="preserve">[2] Cadena, J. M. (2026a). “Emergence across Scales: Integrating Mathematics, Biology, AI, and Philosophy.” Working Paper, LOGOS Lab.</w:t>
      </w:r>
    </w:p>
    <w:p>
      <w:pPr>
        <w:spacing w:before="80" w:after="80" w:line="360"/>
        <w:jc w:val="both"/>
      </w:pPr>
      <w:r>
        <w:rPr>
          <w:rFonts w:ascii="Times New Roman" w:cs="Times New Roman" w:eastAsia="Times New Roman" w:hAnsi="Times New Roman"/>
          <w:color w:val="000000"/>
          <w:sz w:val="20"/>
          <w:szCs w:val="20"/>
        </w:rPr>
        <w:t xml:space="preserve">[3] Cadena, J. M. (2026b). “The God Equation: A Probabilistic-Informational Model for Theological Inquiry.” Preprint.</w:t>
      </w:r>
    </w:p>
    <w:p>
      <w:pPr>
        <w:spacing w:before="80" w:after="80" w:line="360"/>
        <w:jc w:val="both"/>
      </w:pPr>
      <w:r>
        <w:rPr>
          <w:rFonts w:ascii="Times New Roman" w:cs="Times New Roman" w:eastAsia="Times New Roman" w:hAnsi="Times New Roman"/>
          <w:color w:val="000000"/>
          <w:sz w:val="20"/>
          <w:szCs w:val="20"/>
        </w:rPr>
        <w:t xml:space="preserve">[4] Cadena, J. M. (2026c). “LOGOS HUMANO v3.0: Technical Specification.” SRS-MASTER-001, Cadena Strategic Systems.</w:t>
      </w:r>
    </w:p>
    <w:p>
      <w:pPr>
        <w:spacing w:before="80" w:after="80" w:line="360"/>
        <w:jc w:val="both"/>
      </w:pPr>
      <w:r>
        <w:rPr>
          <w:rFonts w:ascii="Times New Roman" w:cs="Times New Roman" w:eastAsia="Times New Roman" w:hAnsi="Times New Roman"/>
          <w:color w:val="000000"/>
          <w:sz w:val="20"/>
          <w:szCs w:val="20"/>
        </w:rPr>
        <w:t xml:space="preserve">[5] Chalmers, D. J. (2006). “Strong and Weak Emergence.” In The Re-emergence of Emergence (pp. 244–256). Oxford University Press.</w:t>
      </w:r>
    </w:p>
    <w:p>
      <w:pPr>
        <w:spacing w:before="80" w:after="80" w:line="360"/>
        <w:jc w:val="both"/>
      </w:pPr>
      <w:r>
        <w:rPr>
          <w:rFonts w:ascii="Times New Roman" w:cs="Times New Roman" w:eastAsia="Times New Roman" w:hAnsi="Times New Roman"/>
          <w:color w:val="000000"/>
          <w:sz w:val="20"/>
          <w:szCs w:val="20"/>
        </w:rPr>
        <w:t xml:space="preserve">[6] Cover, T. M. &amp; Thomas, J. A. (2006). Elements of Information Theory (2nd ed.). Wiley.</w:t>
      </w:r>
    </w:p>
    <w:p>
      <w:pPr>
        <w:spacing w:before="80" w:after="80" w:line="360"/>
        <w:jc w:val="both"/>
      </w:pPr>
      <w:r>
        <w:rPr>
          <w:rFonts w:ascii="Times New Roman" w:cs="Times New Roman" w:eastAsia="Times New Roman" w:hAnsi="Times New Roman"/>
          <w:color w:val="000000"/>
          <w:sz w:val="20"/>
          <w:szCs w:val="20"/>
        </w:rPr>
        <w:t xml:space="preserve">[7] Cryan, J. F. &amp; Dinan, T. G. (2012). “Mind-altering microorganisms.” Nature Reviews Neuroscience, 13(10), 701–712.</w:t>
      </w:r>
    </w:p>
    <w:p>
      <w:pPr>
        <w:spacing w:before="80" w:after="80" w:line="360"/>
        <w:jc w:val="both"/>
      </w:pPr>
      <w:r>
        <w:rPr>
          <w:rFonts w:ascii="Times New Roman" w:cs="Times New Roman" w:eastAsia="Times New Roman" w:hAnsi="Times New Roman"/>
          <w:color w:val="000000"/>
          <w:sz w:val="20"/>
          <w:szCs w:val="20"/>
        </w:rPr>
        <w:t xml:space="preserve">[8] Floridi, L. (2011). The Philosophy of Information. Oxford University Press.</w:t>
      </w:r>
    </w:p>
    <w:p>
      <w:pPr>
        <w:spacing w:before="80" w:after="80" w:line="360"/>
        <w:jc w:val="both"/>
      </w:pPr>
      <w:r>
        <w:rPr>
          <w:rFonts w:ascii="Times New Roman" w:cs="Times New Roman" w:eastAsia="Times New Roman" w:hAnsi="Times New Roman"/>
          <w:color w:val="000000"/>
          <w:sz w:val="20"/>
          <w:szCs w:val="20"/>
        </w:rPr>
        <w:t xml:space="preserve">[9] Friston, K. J. (2010). “The free-energy principle: a unified brain theory?” Nature Reviews Neuroscience, 11(2), 127–138.</w:t>
      </w:r>
    </w:p>
    <w:p>
      <w:pPr>
        <w:spacing w:before="80" w:after="80" w:line="360"/>
        <w:jc w:val="both"/>
      </w:pPr>
      <w:r>
        <w:rPr>
          <w:rFonts w:ascii="Times New Roman" w:cs="Times New Roman" w:eastAsia="Times New Roman" w:hAnsi="Times New Roman"/>
          <w:color w:val="000000"/>
          <w:sz w:val="20"/>
          <w:szCs w:val="20"/>
        </w:rPr>
        <w:t xml:space="preserve">[10] Friston, K., Levin, M., Sengupta, B. &amp; Pezzulo, G. (2015). “Knowing one’s place: a free-energy approach to pattern regulation.” J. R. Soc. Interface, 12(105), 20141383.</w:t>
      </w:r>
    </w:p>
    <w:p>
      <w:pPr>
        <w:spacing w:before="80" w:after="80" w:line="360"/>
        <w:jc w:val="both"/>
      </w:pPr>
      <w:r>
        <w:rPr>
          <w:rFonts w:ascii="Times New Roman" w:cs="Times New Roman" w:eastAsia="Times New Roman" w:hAnsi="Times New Roman"/>
          <w:color w:val="000000"/>
          <w:sz w:val="20"/>
          <w:szCs w:val="20"/>
        </w:rPr>
        <w:t xml:space="preserve">[11] Hameroff, S. &amp; Penrose, R. (2014). “Consciousness in the universe: A review of the ‘Orch OR’ theory.” Physics of Life Reviews, 11(1), 39–78.</w:t>
      </w:r>
    </w:p>
    <w:p>
      <w:pPr>
        <w:spacing w:before="80" w:after="80" w:line="360"/>
        <w:jc w:val="both"/>
      </w:pPr>
      <w:r>
        <w:rPr>
          <w:rFonts w:ascii="Times New Roman" w:cs="Times New Roman" w:eastAsia="Times New Roman" w:hAnsi="Times New Roman"/>
          <w:color w:val="000000"/>
          <w:sz w:val="20"/>
          <w:szCs w:val="20"/>
        </w:rPr>
        <w:t xml:space="preserve">[12] Hoffman, D. D., Singh, M. &amp; Prakash, C. (2015). “The interface theory of perception.” Psychonomic Bulletin &amp; Review, 22(6), 1480–1506.</w:t>
      </w:r>
    </w:p>
    <w:p>
      <w:pPr>
        <w:spacing w:before="80" w:after="80" w:line="360"/>
        <w:jc w:val="both"/>
      </w:pPr>
      <w:r>
        <w:rPr>
          <w:rFonts w:ascii="Times New Roman" w:cs="Times New Roman" w:eastAsia="Times New Roman" w:hAnsi="Times New Roman"/>
          <w:color w:val="000000"/>
          <w:sz w:val="20"/>
          <w:szCs w:val="20"/>
        </w:rPr>
        <w:t xml:space="preserve">[13] Kauffman, S. A. (1993). The Origins of Order: Self-Organization and Selection in Evolution. Oxford University Press.</w:t>
      </w:r>
    </w:p>
    <w:p>
      <w:pPr>
        <w:spacing w:before="80" w:after="80" w:line="360"/>
        <w:jc w:val="both"/>
      </w:pPr>
      <w:r>
        <w:rPr>
          <w:rFonts w:ascii="Times New Roman" w:cs="Times New Roman" w:eastAsia="Times New Roman" w:hAnsi="Times New Roman"/>
          <w:color w:val="000000"/>
          <w:sz w:val="20"/>
          <w:szCs w:val="20"/>
        </w:rPr>
        <w:t xml:space="preserve">[14] Kim, J. (1999). “Making Sense of Emergence.” Philosophical Studies, 95, 3–36.</w:t>
      </w:r>
    </w:p>
    <w:p>
      <w:pPr>
        <w:spacing w:before="80" w:after="80" w:line="360"/>
        <w:jc w:val="both"/>
      </w:pPr>
      <w:r>
        <w:rPr>
          <w:rFonts w:ascii="Times New Roman" w:cs="Times New Roman" w:eastAsia="Times New Roman" w:hAnsi="Times New Roman"/>
          <w:color w:val="000000"/>
          <w:sz w:val="20"/>
          <w:szCs w:val="20"/>
        </w:rPr>
        <w:t xml:space="preserve">[15] Kriegman, S., Blackiston, D., Levin, M. &amp; Bongard, J. (2020). “A scalable pipeline for designing reconfigurable organisms.” PNAS, 117(4), 1853–1859.</w:t>
      </w:r>
    </w:p>
    <w:p>
      <w:pPr>
        <w:spacing w:before="80" w:after="80" w:line="360"/>
        <w:jc w:val="both"/>
      </w:pPr>
      <w:r>
        <w:rPr>
          <w:rFonts w:ascii="Times New Roman" w:cs="Times New Roman" w:eastAsia="Times New Roman" w:hAnsi="Times New Roman"/>
          <w:color w:val="000000"/>
          <w:sz w:val="20"/>
          <w:szCs w:val="20"/>
        </w:rPr>
        <w:t xml:space="preserve">[16] Kriegman, S. et al. (2021). “Kinematic self-replication in reconfigurable organisms.” PNAS, 118(49), e2112672118.</w:t>
      </w:r>
    </w:p>
    <w:p>
      <w:pPr>
        <w:spacing w:before="80" w:after="80" w:line="360"/>
        <w:jc w:val="both"/>
      </w:pPr>
      <w:r>
        <w:rPr>
          <w:rFonts w:ascii="Times New Roman" w:cs="Times New Roman" w:eastAsia="Times New Roman" w:hAnsi="Times New Roman"/>
          <w:color w:val="000000"/>
          <w:sz w:val="20"/>
          <w:szCs w:val="20"/>
        </w:rPr>
        <w:t xml:space="preserve">[17] Levin, M. (2023). “Bioelectric networks: the cognitive glue enabling evolutionary scaling from physiology to mind.” Animal Cognition, 26(5), 1865–1891.</w:t>
      </w:r>
    </w:p>
    <w:p>
      <w:pPr>
        <w:spacing w:before="80" w:after="80" w:line="360"/>
        <w:jc w:val="both"/>
      </w:pPr>
      <w:r>
        <w:rPr>
          <w:rFonts w:ascii="Times New Roman" w:cs="Times New Roman" w:eastAsia="Times New Roman" w:hAnsi="Times New Roman"/>
          <w:color w:val="000000"/>
          <w:sz w:val="20"/>
          <w:szCs w:val="20"/>
        </w:rPr>
        <w:t xml:space="preserve">[18] Mill, J. S. (1843). A System of Logic. Chapter “Of the Composition of Causes.”</w:t>
      </w:r>
    </w:p>
    <w:p>
      <w:pPr>
        <w:spacing w:before="80" w:after="80" w:line="360"/>
        <w:jc w:val="both"/>
      </w:pPr>
      <w:r>
        <w:rPr>
          <w:rFonts w:ascii="Times New Roman" w:cs="Times New Roman" w:eastAsia="Times New Roman" w:hAnsi="Times New Roman"/>
          <w:color w:val="000000"/>
          <w:sz w:val="20"/>
          <w:szCs w:val="20"/>
        </w:rPr>
        <w:t xml:space="preserve">[19] Shannon, C. E. (1948). “A Mathematical Theory of Communication.” Bell System Technical Journal, 27(3), 379–423.</w:t>
      </w:r>
    </w:p>
    <w:p>
      <w:pPr>
        <w:spacing w:before="80" w:after="80" w:line="360"/>
        <w:jc w:val="both"/>
      </w:pPr>
      <w:r>
        <w:rPr>
          <w:rFonts w:ascii="Times New Roman" w:cs="Times New Roman" w:eastAsia="Times New Roman" w:hAnsi="Times New Roman"/>
          <w:color w:val="000000"/>
          <w:sz w:val="20"/>
          <w:szCs w:val="20"/>
        </w:rPr>
        <w:t xml:space="preserve">[20] Watson, R. A., Levin, M. &amp; Buckley, C. L. (2022). “Design for an individual: Connectionist approaches to the evolutionary transitions in individuality.” Frontiers in Ecology and Evolution, 10, 823588.</w:t>
      </w:r>
    </w:p>
    <w:p>
      <w:pPr>
        <w:spacing w:before="80" w:after="80" w:line="360"/>
        <w:jc w:val="both"/>
      </w:pPr>
      <w:r>
        <w:rPr>
          <w:rFonts w:ascii="Times New Roman" w:cs="Times New Roman" w:eastAsia="Times New Roman" w:hAnsi="Times New Roman"/>
          <w:color w:val="000000"/>
          <w:sz w:val="20"/>
          <w:szCs w:val="20"/>
        </w:rPr>
        <w:t xml:space="preserve">[21] Wheeler, J. A. (1990). “Information, Physics, Quantum: The Search for Links.” In Complexity, Entropy, and the Physics of Information. Addison-Wesley.</w:t>
      </w:r>
    </w:p>
    <w:p>
      <w:pPr>
        <w:spacing w:before="80" w:after="80" w:line="360"/>
        <w:jc w:val="both"/>
      </w:pPr>
      <w:r>
        <w:rPr>
          <w:rFonts w:ascii="Times New Roman" w:cs="Times New Roman" w:eastAsia="Times New Roman" w:hAnsi="Times New Roman"/>
          <w:color w:val="000000"/>
          <w:sz w:val="20"/>
          <w:szCs w:val="20"/>
        </w:rPr>
        <w:t xml:space="preserve">[22] Wilson, E. B. (1927). “Probable inference, the law of succession, and statistical inference.” J. Am. Stat. Assoc., 22(158), 209–212.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6"/>
        <w:szCs w:val="16"/>
      </w:rPr>
      <w:t xml:space="preserve">Cadena (2026) — PhD Dissertation — Page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16"/>
        <w:szCs w:val="16"/>
      </w:rPr>
      <w:t xml:space="preserve">Section 6: Emergence as a Theorem of Logos Alignment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2026-02-09T17:14:01.895Z</dcterms:created>
  <dcterms:modified xsi:type="dcterms:W3CDTF">2026-02-09T17:14:01.896Z</dcterms:modified>
</cp:coreProperties>
</file>

<file path=docProps/custom.xml><?xml version="1.0" encoding="utf-8"?>
<Properties xmlns="http://schemas.openxmlformats.org/officeDocument/2006/custom-properties" xmlns:vt="http://schemas.openxmlformats.org/officeDocument/2006/docPropsVTypes"/>
</file>