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line="360" w:after="0" w:before="0"/>
        <w:jc w:val="center"/>
      </w:pPr>
      <w:r>
        <w:rPr>
          <w:rFonts w:ascii="Times New Roman" w:cs="Times New Roman" w:eastAsia="Times New Roman" w:hAnsi="Times New Roman"/>
          <w:b/>
          <w:bCs/>
          <w:i w:val="false"/>
          <w:iCs w:val="false"/>
          <w:sz w:val="36"/>
          <w:szCs w:val="36"/>
        </w:rPr>
        <w:t xml:space="preserve">LOGOS HUMANO v2.0:</w:t>
      </w:r>
    </w:p>
    <w:p>
      <w:pPr>
        <w:spacing w:line="360" w:after="0" w:before="0"/>
        <w:jc w:val="center"/>
      </w:pPr>
      <w:r>
        <w:rPr>
          <w:rFonts w:ascii="Times New Roman" w:cs="Times New Roman" w:eastAsia="Times New Roman" w:hAnsi="Times New Roman"/>
          <w:b/>
          <w:bCs/>
          <w:i w:val="false"/>
          <w:iCs w:val="false"/>
          <w:sz w:val="32"/>
          <w:szCs w:val="32"/>
        </w:rPr>
        <w:t xml:space="preserve">Un Sistema Operativo de Consciencia</w:t>
      </w:r>
    </w:p>
    <w:p>
      <w:pPr>
        <w:spacing w:before="200"/>
      </w:pPr>
    </w:p>
    <w:p>
      <w:pPr>
        <w:spacing w:line="360" w:after="0" w:before="0"/>
        <w:jc w:val="center"/>
      </w:pPr>
      <w:r>
        <w:rPr>
          <w:rFonts w:ascii="Times New Roman" w:cs="Times New Roman" w:eastAsia="Times New Roman" w:hAnsi="Times New Roman"/>
          <w:i/>
          <w:iCs/>
          <w:sz w:val="22"/>
          <w:szCs w:val="22"/>
        </w:rPr>
        <w:t xml:space="preserve">Un Marco Interdisciplinario que Integra Inferencia Activa, Señalización Bioeléctrica,</w:t>
      </w:r>
    </w:p>
    <w:p>
      <w:pPr>
        <w:spacing w:line="360" w:after="0" w:before="0"/>
        <w:jc w:val="center"/>
      </w:pPr>
      <w:r>
        <w:rPr>
          <w:rFonts w:ascii="Times New Roman" w:cs="Times New Roman" w:eastAsia="Times New Roman" w:hAnsi="Times New Roman"/>
          <w:i/>
          <w:iCs/>
          <w:sz w:val="22"/>
          <w:szCs w:val="22"/>
        </w:rPr>
        <w:t xml:space="preserve">Paisajes Energéticos, Teoría de Interfaces, Coherencia Cuántica y Control Inhibitorio</w:t>
      </w:r>
    </w:p>
    <w:p>
      <w:pPr>
        <w:spacing w:line="360" w:after="0" w:before="0"/>
        <w:jc w:val="center"/>
      </w:pPr>
      <w:r>
        <w:rPr>
          <w:rFonts w:ascii="Times New Roman" w:cs="Times New Roman" w:eastAsia="Times New Roman" w:hAnsi="Times New Roman"/>
          <w:i/>
          <w:iCs/>
          <w:sz w:val="22"/>
          <w:szCs w:val="22"/>
        </w:rPr>
        <w:t xml:space="preserve">para la Evaluación y Optimización del Florecimiento Humano</w:t>
      </w:r>
    </w:p>
    <w:p>
      <w:pPr>
        <w:spacing w:before="800"/>
      </w:pPr>
    </w:p>
    <w:p>
      <w:pPr>
        <w:spacing w:line="360" w:after="0" w:before="0"/>
        <w:jc w:val="center"/>
      </w:pPr>
      <w:r>
        <w:rPr>
          <w:rFonts w:ascii="Times New Roman" w:cs="Times New Roman" w:eastAsia="Times New Roman" w:hAnsi="Times New Roman"/>
          <w:b w:val="false"/>
          <w:bCs w:val="false"/>
          <w:i w:val="false"/>
          <w:iCs w:val="false"/>
          <w:sz w:val="24"/>
          <w:szCs w:val="24"/>
        </w:rPr>
        <w:t xml:space="preserve">Dr. José Manuel Cadena Ortiz de Montellano</w:t>
      </w:r>
    </w:p>
    <w:p>
      <w:pPr>
        <w:spacing w:line="360" w:after="0" w:before="0"/>
        <w:jc w:val="center"/>
      </w:pPr>
      <w:r>
        <w:rPr>
          <w:rFonts w:ascii="Times New Roman" w:cs="Times New Roman" w:eastAsia="Times New Roman" w:hAnsi="Times New Roman"/>
          <w:b w:val="false"/>
          <w:bCs w:val="false"/>
          <w:i w:val="false"/>
          <w:iCs w:val="false"/>
          <w:sz w:val="22"/>
          <w:szCs w:val="22"/>
        </w:rPr>
        <w:t xml:space="preserve">Cadena Strategic Systems</w:t>
      </w:r>
    </w:p>
    <w:p>
      <w:pPr>
        <w:spacing w:before="600"/>
      </w:pPr>
    </w:p>
    <w:p>
      <w:pPr>
        <w:spacing w:line="360" w:after="0" w:before="0"/>
        <w:jc w:val="center"/>
      </w:pPr>
      <w:r>
        <w:rPr>
          <w:rFonts w:ascii="Times New Roman" w:cs="Times New Roman" w:eastAsia="Times New Roman" w:hAnsi="Times New Roman"/>
          <w:b w:val="false"/>
          <w:bCs w:val="false"/>
          <w:i/>
          <w:iCs/>
          <w:sz w:val="22"/>
          <w:szCs w:val="22"/>
        </w:rPr>
        <w:t xml:space="preserve">Preprint — Febrero 2026</w:t>
      </w:r>
    </w:p>
    <w:p>
      <w:pPr>
        <w:spacing w:before="400"/>
      </w:pPr>
    </w:p>
    <w:p>
      <w:pPr>
        <w:spacing w:line="360" w:after="0" w:before="0"/>
        <w:jc w:val="center"/>
      </w:pPr>
      <w:r>
        <w:rPr>
          <w:rFonts w:ascii="Times New Roman" w:cs="Times New Roman" w:eastAsia="Times New Roman" w:hAnsi="Times New Roman"/>
          <w:i/>
          <w:iCs/>
          <w:sz w:val="20"/>
          <w:szCs w:val="20"/>
        </w:rPr>
        <w:t xml:space="preserve">Autor correspondiente: </w:t>
      </w:r>
      <w:r>
        <w:rPr>
          <w:rFonts w:ascii="Times New Roman" w:cs="Times New Roman" w:eastAsia="Times New Roman" w:hAnsi="Times New Roman"/>
          <w:sz w:val="20"/>
          <w:szCs w:val="20"/>
        </w:rPr>
        <w:t xml:space="preserve">Dr. J.M. Cadena Ortiz de Montellano</w:t>
      </w:r>
    </w:p>
    <w:p>
      <w:pPr>
        <w:spacing w:line="360" w:after="0" w:before="0"/>
        <w:jc w:val="center"/>
      </w:pPr>
      <w:r>
        <w:rPr>
          <w:rFonts w:ascii="Times New Roman" w:cs="Times New Roman" w:eastAsia="Times New Roman" w:hAnsi="Times New Roman"/>
          <w:b w:val="false"/>
          <w:bCs w:val="false"/>
          <w:i w:val="false"/>
          <w:iCs w:val="false"/>
          <w:sz w:val="20"/>
          <w:szCs w:val="20"/>
        </w:rPr>
        <w:t xml:space="preserve">Cadena Strategic Systems, México</w:t>
      </w:r>
    </w:p>
    <w:p>
      <w:pPr>
        <w:spacing w:before="600"/>
      </w:pPr>
    </w:p>
    <w:p>
      <w:pPr>
        <w:spacing w:line="360" w:after="0" w:before="0"/>
        <w:jc w:val="left"/>
      </w:pPr>
      <w:r>
        <w:rPr>
          <w:rFonts w:ascii="Times New Roman" w:cs="Times New Roman" w:eastAsia="Times New Roman" w:hAnsi="Times New Roman"/>
          <w:b/>
          <w:bCs/>
          <w:sz w:val="20"/>
          <w:szCs w:val="20"/>
        </w:rPr>
        <w:t xml:space="preserve">Palabras clave: </w:t>
      </w:r>
      <w:r>
        <w:rPr>
          <w:rFonts w:ascii="Times New Roman" w:cs="Times New Roman" w:eastAsia="Times New Roman" w:hAnsi="Times New Roman"/>
          <w:i/>
          <w:iCs/>
          <w:sz w:val="20"/>
          <w:szCs w:val="20"/>
        </w:rPr>
        <w:t xml:space="preserve">índice de consciencia, inferencia activa, alineación con el Logos, principio de energía libre, señalización bioeléctrica, paisaje energético, teoría de interfaces de la percepción, coherencia cuántica, control inhibitorio primero, simulación Monte Carlo, intervalo de confianza Wilson score, dinámica de atractores, florecimiento humano</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line="480"/>
        <w:jc w:val="left"/>
      </w:pPr>
      <w:r>
        <w:rPr>
          <w:rFonts w:ascii="Times New Roman" w:cs="Times New Roman" w:eastAsia="Times New Roman" w:hAnsi="Times New Roman"/>
          <w:b/>
          <w:bCs/>
          <w:sz w:val="28"/>
          <w:szCs w:val="28"/>
        </w:rPr>
        <w:t xml:space="preserve">Resumen</w:t>
      </w:r>
    </w:p>
    <w:p>
      <w:pPr>
        <w:spacing w:line="480" w:after="0" w:before="0"/>
        <w:jc w:val="both"/>
      </w:pPr>
      <w:r>
        <w:rPr>
          <w:rFonts w:ascii="Times New Roman" w:cs="Times New Roman" w:eastAsia="Times New Roman" w:hAnsi="Times New Roman"/>
          <w:sz w:val="24"/>
          <w:szCs w:val="24"/>
        </w:rPr>
        <w:t xml:space="preserve">Este artículo presenta </w:t>
      </w:r>
      <w:r>
        <w:rPr>
          <w:rFonts w:ascii="Times New Roman" w:cs="Times New Roman" w:eastAsia="Times New Roman" w:hAnsi="Times New Roman"/>
          <w:b/>
          <w:bCs/>
          <w:sz w:val="24"/>
          <w:szCs w:val="24"/>
        </w:rPr>
        <w:t xml:space="preserve">LOGOS HUMANO v2.0</w:t>
      </w:r>
      <w:r>
        <w:rPr>
          <w:rFonts w:ascii="Times New Roman" w:cs="Times New Roman" w:eastAsia="Times New Roman" w:hAnsi="Times New Roman"/>
          <w:sz w:val="24"/>
          <w:szCs w:val="24"/>
        </w:rPr>
        <w:t xml:space="preserve">, un marco matemático formal—denominado “Sistema Operativo de Consciencia”—que modela la consciencia humana como un sistema dinámico medible y multidimensional. El modelo sintetiza tres cuerpos de trabajo originales: (1) </w:t>
      </w:r>
      <w:r>
        <w:rPr>
          <w:rFonts w:ascii="Times New Roman" w:cs="Times New Roman" w:eastAsia="Times New Roman" w:hAnsi="Times New Roman"/>
          <w:i/>
          <w:iCs/>
          <w:sz w:val="24"/>
          <w:szCs w:val="24"/>
        </w:rPr>
        <w:t xml:space="preserve">The God Equation</w:t>
      </w:r>
      <w:r>
        <w:rPr>
          <w:rFonts w:ascii="Times New Roman" w:cs="Times New Roman" w:eastAsia="Times New Roman" w:hAnsi="Times New Roman"/>
          <w:sz w:val="24"/>
          <w:szCs w:val="24"/>
        </w:rPr>
        <w:t xml:space="preserve">, un modelo probabilístico bayesiano-logístico que obtiene P(Dios | Evidencia) ≈ 0.9987 a través de ocho variables evidenciales independientes; (2) el </w:t>
      </w:r>
      <w:r>
        <w:rPr>
          <w:rFonts w:ascii="Times New Roman" w:cs="Times New Roman" w:eastAsia="Times New Roman" w:hAnsi="Times New Roman"/>
          <w:i/>
          <w:iCs/>
          <w:sz w:val="24"/>
          <w:szCs w:val="24"/>
        </w:rPr>
        <w:t xml:space="preserve">Framework C²AI</w:t>
      </w:r>
      <w:r>
        <w:rPr>
          <w:rFonts w:ascii="Times New Roman" w:cs="Times New Roman" w:eastAsia="Times New Roman" w:hAnsi="Times New Roman"/>
          <w:sz w:val="24"/>
          <w:szCs w:val="24"/>
        </w:rPr>
        <w:t xml:space="preserve">, una arquitectura cognitiva de cinco capas (Friston, Levin, Watson, Hoffman, Penrose) que operacionaliza la consciencia como procesamiento de información a múltiples escalas; y (3) </w:t>
      </w:r>
      <w:r>
        <w:rPr>
          <w:rFonts w:ascii="Times New Roman" w:cs="Times New Roman" w:eastAsia="Times New Roman" w:hAnsi="Times New Roman"/>
          <w:i/>
          <w:iCs/>
          <w:sz w:val="24"/>
          <w:szCs w:val="24"/>
        </w:rPr>
        <w:t xml:space="preserve">Control Inhibitorio Primero (IFC)</w:t>
      </w:r>
      <w:r>
        <w:rPr>
          <w:rFonts w:ascii="Times New Roman" w:cs="Times New Roman" w:eastAsia="Times New Roman" w:hAnsi="Times New Roman"/>
          <w:sz w:val="24"/>
          <w:szCs w:val="24"/>
        </w:rPr>
        <w:t xml:space="preserve">, un modelo de teoría de decisiones donde la inhibición precede a la optimización y la viabilidad del decisor supera en importancia a la calidad de la decisión.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innovación central de la v2.0 es la identificación de una única variable atractora, Λ (Lambda, Alineación con el Logos), como el eje fundamental del cual se derivan todas las demás métricas del sistema. Específicamente, el Índice de Consciencia Ω ya no es un cálculo independiente sino que se identifica con Λ mismo, modulado por la salud de las métricas derivadas: Viabilidad V(x) = g(Λ) + ε, Entropía S(x) = (1 − Λ)·k + ε, Coherencia C(x) = h(Λ), Energía Libre F(x) = D_KL(q || p_Λ), y Calidad de Trayectoria Q(x) = dΛ/dt. El sistema opera a través de 24 dimensiones medibles agrupadas en 6 dominios vitales (Físico, Emocional, Mental, Espiritual, Relacional, Propósito), monitoreados a través de 7 capas computacionales.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simulación Monte Carlo (N = 10,000 trayectorias estocásticas) con intervalos de confianza Wilson score al 95% valida que los estados alineados con Λ producen distribuciones estadísticamente superiores en todas las métricas derivadas (p &lt; 0.001). Se definen formalmente dos cuencas de atracción: A⁺ = {x : Λ̇(x) ≥ 0} representando convergencia hacia el florecimiento, y A⁻ = {x : Λ̇(x) &lt; 0 ∧ Ṡ &gt; 0} representando colapso en espiral entrópica. La política de inhibición π(x) se reformula como función de Λ̇, proporcionando guía de decisión accionable.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marco tiende puentes entre neurociencia, física, teoría de la información, sistemas dinámicos, psicología clínica y teología filosófica en un modelo unificado y computacionalmente tratable, accesible para profesionales, clínicos e individuos que buscan herramientas de autoevaluación basadas en evidencia. Se discuten limitaciones, se proponen protocolos de validación empírica y se identifican direcciones de investigación futuras.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1. Introducción</w:t>
      </w:r>
    </w:p>
    <w:p>
      <w:pPr>
        <w:pStyle w:val="Heading2"/>
        <w:spacing w:before="360" w:after="200" w:line="480"/>
        <w:jc w:val="left"/>
      </w:pPr>
      <w:r>
        <w:rPr>
          <w:rFonts w:ascii="Times New Roman" w:cs="Times New Roman" w:eastAsia="Times New Roman" w:hAnsi="Times New Roman"/>
          <w:b/>
          <w:bCs/>
          <w:i/>
          <w:iCs/>
          <w:sz w:val="26"/>
          <w:szCs w:val="26"/>
        </w:rPr>
        <w:t xml:space="preserve">1.1 El Problema de Medir la Consciencia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Uno de los problemas más profundos sin resolver en la ciencia es cómo definir, medir y operacionalizar la consciencia humana (Chalmers, 1995). La neurociencia ha logrado avances sustanciales mapeando los correlatos neurales de la consciencia (Koch, 2004), pero un marco unificado que integre las dimensiones física, emocional, cognitiva, espiritual y relacional de la experiencia humana en un único modelo cuantitativo sigue siendo esquivo. Los enfoques existentes tienden a abordar la consciencia ya sea como un fenómeno puramente neural (Tononi, 2004), una abstracción filosófica (Nagel, 1974), o un constructo clínico (Organización Mundial de la Salud, 2001)—raramente como los tres simultáneamente.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desafío no es meramente teórico. Sin un marco de medición unificado, los individuos carecen de herramientas confiables para evaluar su estado general de ser, los clínicos carecen de instrumentos diagnósticos integrativos, y los investigadores carecen de modelos formales capaces de generar predicciones comprobables a través de todo el espectro de la experiencia humana. La fragmentación del conocimiento entre disciplinas—física, psicología, teología, biología, teoría de la información—ha creado lo que denominamos la “brecha de medición de la consciencia.”</w:t>
      </w:r>
    </w:p>
    <w:p>
      <w:pPr>
        <w:pStyle w:val="Heading2"/>
        <w:spacing w:before="360" w:after="200" w:line="480"/>
        <w:jc w:val="left"/>
      </w:pPr>
      <w:r>
        <w:rPr>
          <w:rFonts w:ascii="Times New Roman" w:cs="Times New Roman" w:eastAsia="Times New Roman" w:hAnsi="Times New Roman"/>
          <w:b/>
          <w:bCs/>
          <w:i/>
          <w:iCs/>
          <w:sz w:val="26"/>
          <w:szCs w:val="26"/>
        </w:rPr>
        <w:t xml:space="preserve">1.2 Tres Constructos Fundacionales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aborda esta brecha sintetizando tres cuerpos de trabajo originales en un marco unificado:</w:t>
      </w:r>
    </w:p>
    <w:p>
      <w:pPr>
        <w:spacing w:line="480" w:after="0" w:before="0"/>
        <w:ind w:firstLine="720"/>
        <w:jc w:val="both"/>
      </w:pPr>
      <w:r>
        <w:rPr>
          <w:rFonts w:ascii="Times New Roman" w:cs="Times New Roman" w:eastAsia="Times New Roman" w:hAnsi="Times New Roman"/>
          <w:b/>
          <w:bCs/>
          <w:sz w:val="24"/>
          <w:szCs w:val="24"/>
        </w:rPr>
        <w:t xml:space="preserve">The God Equation </w:t>
      </w:r>
      <w:r>
        <w:rPr>
          <w:rFonts w:ascii="Times New Roman" w:cs="Times New Roman" w:eastAsia="Times New Roman" w:hAnsi="Times New Roman"/>
          <w:sz w:val="24"/>
          <w:szCs w:val="24"/>
        </w:rPr>
        <w:t xml:space="preserve">(Cadena Ortiz de Montellano, 2025a). Un modelo probabilístico bayesiano-logístico que evalúa la hipótesis de una fuente racional generadora de información (denominada “Logos”) utilizando ocho variables evidenciales independientes: Ajuste Fino Cosmológico (FT), Objetividad Moral (MO), Brecha de Consciencia (CG), Experiencia Religiosa (RE), Severidad del Mal (EV), Complejidad Biológica (BC), Indicadores Cuánticos (QM) y Necesidad Metafísica (MN). Utilizando regresión logística con análisis de sensibilidad Monte Carlo (N = 100,000 simulaciones), el modelo obtiene P(Dios | Evidencia) ≈ 0.9987 bajo supuestos de prior neutral (β₀ = 0). El componente informacional-teológico propone que Dios es la “fuente radiante de toda información estructurada”—el Logos del cual emana la inteligibilidad y el orden de la realidad.</w:t>
      </w:r>
    </w:p>
    <w:p>
      <w:pPr>
        <w:spacing w:line="480" w:after="0" w:before="0"/>
        <w:ind w:firstLine="720"/>
        <w:jc w:val="both"/>
      </w:pPr>
      <w:r>
        <w:rPr>
          <w:rFonts w:ascii="Times New Roman" w:cs="Times New Roman" w:eastAsia="Times New Roman" w:hAnsi="Times New Roman"/>
          <w:b/>
          <w:bCs/>
          <w:sz w:val="24"/>
          <w:szCs w:val="24"/>
        </w:rPr>
        <w:t xml:space="preserve">El Framework C²AI </w:t>
      </w:r>
      <w:r>
        <w:rPr>
          <w:rFonts w:ascii="Times New Roman" w:cs="Times New Roman" w:eastAsia="Times New Roman" w:hAnsi="Times New Roman"/>
          <w:sz w:val="24"/>
          <w:szCs w:val="24"/>
        </w:rPr>
        <w:t xml:space="preserve">(Cadena Ortiz de Montellano, 2025b). Una arquitectura cognitiva de cinco capas que operacionaliza la consciencia como una propiedad invariante de escala de los sistemas vivos, siguiendo la definición de Levin: la capacidad de un sistema para (1) modelar su estado, (2) predecir estados futuros, (3) seleccionar acciones hacia estados preferidos, y (4) integrar información a través de escalas (Levin, 2019). Las cinco capas mapean a: L1—Friston (inferencia activa y homeostasis), L2—Levin (señalización bioeléctrica y detección temprana), L3—Watson (paisajes energéticos), L4—Hoffman (teoría de interfaces) y L5—Penrose (coherencia cuántica y colapso decisional).</w:t>
      </w:r>
    </w:p>
    <w:p>
      <w:pPr>
        <w:spacing w:line="480" w:after="0" w:before="0"/>
        <w:ind w:firstLine="720"/>
        <w:jc w:val="both"/>
      </w:pPr>
      <w:r>
        <w:rPr>
          <w:rFonts w:ascii="Times New Roman" w:cs="Times New Roman" w:eastAsia="Times New Roman" w:hAnsi="Times New Roman"/>
          <w:b/>
          <w:bCs/>
          <w:sz w:val="24"/>
          <w:szCs w:val="24"/>
        </w:rPr>
        <w:t xml:space="preserve">Control Inhibitorio Primero (IFC) </w:t>
      </w:r>
      <w:r>
        <w:rPr>
          <w:rFonts w:ascii="Times New Roman" w:cs="Times New Roman" w:eastAsia="Times New Roman" w:hAnsi="Times New Roman"/>
          <w:sz w:val="24"/>
          <w:szCs w:val="24"/>
        </w:rPr>
        <w:t xml:space="preserve">(Cadena Ortiz de Montellano, 2025c). Un marco de teoría de decisiones donde la acción por defecto es la inhibición (π(x) = INHIBIR), y la acción se permite solo cuando la viabilidad del sistema excede un umbral de seguridad. El principio central: la viabilidad del decisor es más importante que la calidad de cualquier decisión individual. Formalmente, π(x) ∈ {INHIBIR, PERMITIR}, donde PERMITIR requiere V(x) &gt; V_min ∧ S(x) &lt; S_max ∧ C(x) &gt; C_min.</w:t>
      </w:r>
    </w:p>
    <w:p>
      <w:pPr>
        <w:pStyle w:val="Heading2"/>
        <w:spacing w:before="360" w:after="200" w:line="480"/>
        <w:jc w:val="left"/>
      </w:pPr>
      <w:r>
        <w:rPr>
          <w:rFonts w:ascii="Times New Roman" w:cs="Times New Roman" w:eastAsia="Times New Roman" w:hAnsi="Times New Roman"/>
          <w:b/>
          <w:bCs/>
          <w:i/>
          <w:iCs/>
          <w:sz w:val="26"/>
          <w:szCs w:val="26"/>
        </w:rPr>
        <w:t xml:space="preserve">1.3 La Contribución de LOGOS HUMANO v2.0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aplica estos tres constructos al ser humano individual como una herramienta práctica y matemáticamente rigurosa de autoevaluación. La innovación arquitectónica clave de la versión 2.0 es la identificación de Λ (Alineación con el Logos) como el único atractor central del cual se derivan todas las demás métricas—no como una variable entre muchas, sino como el eje fundamental de todo el sistema dinámico. Este artículo proporciona la especificación formal completa, la fundamentación teórica y la validación estadística del modelo.</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2. Fundamentos Teóricos</w:t>
      </w:r>
    </w:p>
    <w:p>
      <w:pPr>
        <w:pStyle w:val="Heading2"/>
        <w:spacing w:before="360" w:after="200" w:line="480"/>
        <w:jc w:val="left"/>
      </w:pPr>
      <w:r>
        <w:rPr>
          <w:rFonts w:ascii="Times New Roman" w:cs="Times New Roman" w:eastAsia="Times New Roman" w:hAnsi="Times New Roman"/>
          <w:b/>
          <w:bCs/>
          <w:i/>
          <w:iCs/>
          <w:sz w:val="26"/>
          <w:szCs w:val="26"/>
        </w:rPr>
        <w:t xml:space="preserve">2.1 El Principio de Energía Libre (Friston)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Principio de Energía Libre (PEL) de Karl Friston propone que todos los sistemas vivos minimizan la energía libre variacional—la diferencia entre el modelo interno del sistema (creencias sobre el mundo) y las observaciones sensoriales reales (Friston, 2010). Matemáticamente:</w:t>
      </w:r>
    </w:p>
    <w:p>
      <w:pPr>
        <w:spacing w:before="200" w:after="200" w:line="360"/>
        <w:ind w:left="720" w:right="720"/>
        <w:jc w:val="center"/>
      </w:pPr>
      <w:r>
        <w:rPr>
          <w:rFonts w:ascii="Cambria Math" w:cs="Cambria Math" w:eastAsia="Cambria Math" w:hAnsi="Cambria Math"/>
          <w:i/>
          <w:iCs/>
          <w:sz w:val="22"/>
          <w:szCs w:val="22"/>
        </w:rPr>
        <w:t xml:space="preserve">F = E_q[ln q(s) − ln p(o, 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donde q(s) es la posterior aproximada del sistema sobre estados ocultos s, y p(o, s) es el modelo generativo que relaciona observaciones o con estados. En términos más simples: todo organismo vivo continuamente “predice” lo que espera experimentar, compara esa predicción con lo que realmente experimenta, y ajusta su modelo o sus acciones para reducir la sorpresa. Una planta ajusta su crecimiento hacia la luz; un ser humano ajusta su comportamiento para reducir la ansiedad. Ambos están minimizando energía libre.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En LOGOS HUMANO, F se operacionaliza como la divergencia Kullback-Leibler ponderada entre el estado actual del individuo a través de 24 dimensiones y su estado óptimo definido por el Logos:</w:t>
      </w:r>
    </w:p>
    <w:p>
      <w:pPr>
        <w:spacing w:before="200" w:after="200" w:line="360"/>
        <w:ind w:left="720" w:right="720"/>
        <w:jc w:val="center"/>
      </w:pPr>
      <w:r>
        <w:rPr>
          <w:rFonts w:ascii="Cambria Math" w:cs="Cambria Math" w:eastAsia="Cambria Math" w:hAnsi="Cambria Math"/>
          <w:i/>
          <w:iCs/>
          <w:sz w:val="22"/>
          <w:szCs w:val="22"/>
        </w:rPr>
        <w:t xml:space="preserve">F(x) = D_KL(q || p_Λ) = Σ w_i · (actual_i − ideal_i)² / (2σ²_i)</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Un F alto indica que el sistema está lejos de su equilibrio—estresado físicamente, turbulento emocionalmente o disonante cognitivamente. Un F bajo indica homeostasis: alineación entre lo que la persona experimenta y lo que su estado óptimo requiere.</w:t>
      </w:r>
    </w:p>
    <w:p>
      <w:pPr>
        <w:pStyle w:val="Heading2"/>
        <w:spacing w:before="360" w:after="200" w:line="480"/>
        <w:jc w:val="left"/>
      </w:pPr>
      <w:r>
        <w:rPr>
          <w:rFonts w:ascii="Times New Roman" w:cs="Times New Roman" w:eastAsia="Times New Roman" w:hAnsi="Times New Roman"/>
          <w:b/>
          <w:bCs/>
          <w:i/>
          <w:iCs/>
          <w:sz w:val="26"/>
          <w:szCs w:val="26"/>
        </w:rPr>
        <w:t xml:space="preserve">2.2 Señalización Bioeléctrica y Detección Temprana (Levin)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investigación de Michael Levin demuestra que los sistemas vivos codifican información morfológica y funcional en patrones bioeléctricos—gradientes de voltaje a través de membranas celulares que sirven como una “capa de software” controlando el crecimiento, la reparación y la adaptación (Levin, 2014; Levin y Martyniuk, 2018). Crucialmente, estas señales bioeléctricas preceden al cambio visible: la firma bioeléctrica de un tumor cambia antes de que sea detectable por imagen convencional.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extiende este principio al dominio psicológico. Así como los potenciales bioeléctricos cambian antes de que una enfermedad se manifieste, las “firmas” emocionales y conductuales cambian antes de que una crisis psicológica se vuelva consciente. La Capa Levin (L2) detecta estos patrones de alerta temprana: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Patrón de Señal</w:t>
            </w:r>
          </w:p>
        </w:tc>
        <w:tc>
          <w:tcPr>
            <w:tcW w:type="dxa" w:w="351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Combinación de Indicadores</w:t>
            </w:r>
          </w:p>
        </w:tc>
        <w:tc>
          <w:tcPr>
            <w:tcW w:type="dxa" w:w="351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Interpretación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Depresivo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Baja alegría + baja energía + bajo sentido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Retirada incipiente del compromiso vital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Ansioso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Baja paz + baja claridad + bajo enfoque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Escalada de ruido interno / detección de amenaza</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Desconexión Espiritual</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Baja fe + baja presencia + baja meditación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Atenuación de señal del canal Logos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Aislamiento Relacional</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Baja familia + baja amistad + baja comunidad</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Colapso de la arquitectura de soporte social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Sobre-rendimiento Crónico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Alta misión + bajo sueño + baja paz</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Producción insostenible que depleta viabilidad</w:t>
            </w:r>
          </w:p>
        </w:tc>
      </w:tr>
    </w:tbl>
    <w:p>
      <w:pPr>
        <w:spacing w:line="360" w:after="200" w:before="100"/>
        <w:jc w:val="left"/>
      </w:pPr>
      <w:r>
        <w:rPr>
          <w:rFonts w:ascii="Times New Roman" w:cs="Times New Roman" w:eastAsia="Times New Roman" w:hAnsi="Times New Roman"/>
          <w:b/>
          <w:bCs/>
          <w:sz w:val="20"/>
          <w:szCs w:val="20"/>
        </w:rPr>
        <w:t xml:space="preserve">Tabla 1. </w:t>
      </w:r>
      <w:r>
        <w:rPr>
          <w:rFonts w:ascii="Times New Roman" w:cs="Times New Roman" w:eastAsia="Times New Roman" w:hAnsi="Times New Roman"/>
          <w:i/>
          <w:iCs/>
          <w:sz w:val="20"/>
          <w:szCs w:val="20"/>
        </w:rPr>
        <w:t xml:space="preserve">Patrones de señal de alerta temprana de la Capa Levin (L2) detectados por LOGOS HUMANO v2.0.</w:t>
      </w:r>
    </w:p>
    <w:p>
      <w:pPr>
        <w:pStyle w:val="Heading2"/>
        <w:spacing w:before="360" w:after="200" w:line="480"/>
        <w:jc w:val="left"/>
      </w:pPr>
      <w:r>
        <w:rPr>
          <w:rFonts w:ascii="Times New Roman" w:cs="Times New Roman" w:eastAsia="Times New Roman" w:hAnsi="Times New Roman"/>
          <w:b/>
          <w:bCs/>
          <w:i/>
          <w:iCs/>
          <w:sz w:val="26"/>
          <w:szCs w:val="26"/>
        </w:rPr>
        <w:t xml:space="preserve">2.3 Navegación de Paisajes Energéticos (Watson)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Construyendo sobre el trabajo de teóricos de la optimización y utilizando la metáfora de paisajes de aptitud en biología evolutiva (Wright, 1932; Kauffman, 1993), la Capa Watson (L3) modela la vida del individuo como una trayectoria a través de un paisaje energético de 24 dimensiones. Cada dimensión corresponde a un aspecto medible del funcionamiento, y el paisaje contiene valles (atractores estables) y crestas (barreras de transición).</w:t>
      </w:r>
    </w:p>
    <w:p>
      <w:pPr>
        <w:spacing w:before="200" w:after="200" w:line="360"/>
        <w:ind w:left="720" w:right="720"/>
        <w:jc w:val="center"/>
      </w:pPr>
      <w:r>
        <w:rPr>
          <w:rFonts w:ascii="Cambria Math" w:cs="Cambria Math" w:eastAsia="Cambria Math" w:hAnsi="Cambria Math"/>
          <w:i/>
          <w:iCs/>
          <w:sz w:val="22"/>
          <w:szCs w:val="22"/>
        </w:rPr>
        <w:t xml:space="preserve">E(x) = Σ (dominio_i − óptimo_i)²</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donde óptimo_i es el ideal modulado por Λ para cada dominio. El mínimo de E(x) corresponde a la cuenca A⁺—el estado donde los seis dominios vitales están suficientemente altos y balanceados para sostener el florecimiento. Los valores óptimos no son constantes estáticas sino funciones de Λ: conforme la alineación con el Logos aumenta, el objetivo aspiracional se eleva proporcionalmente.</w:t>
      </w:r>
    </w:p>
    <w:p>
      <w:pPr>
        <w:pStyle w:val="Heading2"/>
        <w:spacing w:before="360" w:after="200" w:line="480"/>
        <w:jc w:val="left"/>
      </w:pPr>
      <w:r>
        <w:rPr>
          <w:rFonts w:ascii="Times New Roman" w:cs="Times New Roman" w:eastAsia="Times New Roman" w:hAnsi="Times New Roman"/>
          <w:b/>
          <w:bCs/>
          <w:i/>
          <w:iCs/>
          <w:sz w:val="26"/>
          <w:szCs w:val="26"/>
        </w:rPr>
        <w:t xml:space="preserve">2.4 Teoría de Interfaces de la Percepción (Hoffman)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Teoría de Interfaces de la Percepción (TIP) de Donald Hoffman demuestra matemáticamente que la selección natural favorece sistemas perceptivos que maximizan la aptitud, no la verdad (Hoffman, 2019; Hoffman, Singh y Prakash, 2015). Los organismos evolucionan para percibir “íconos de aptitud”—representaciones simplificadas que guían la acción adaptativa—en lugar de representaciones verídicas de la realidad objetiva.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Capa Hoffman (L4) aplica esta intuición a la autopercepción. Detecta sesgos sistemáticos: Sobreconfianza (alta claridad sin sabiduría), Rueda Hedónica (alta alegría sin gratitud), Fijación en el Futuro (alta misión sin presencia), y Fatiga Empática (alta compasión sin paz). Cada sesgo incluye un protocolo de corrección específico.</w:t>
      </w:r>
    </w:p>
    <w:p>
      <w:pPr>
        <w:pStyle w:val="Heading2"/>
        <w:spacing w:before="360" w:after="200" w:line="480"/>
        <w:jc w:val="left"/>
      </w:pPr>
      <w:r>
        <w:rPr>
          <w:rFonts w:ascii="Times New Roman" w:cs="Times New Roman" w:eastAsia="Times New Roman" w:hAnsi="Times New Roman"/>
          <w:b/>
          <w:bCs/>
          <w:i/>
          <w:iCs/>
          <w:sz w:val="26"/>
          <w:szCs w:val="26"/>
        </w:rPr>
        <w:t xml:space="preserve">2.5 Coherencia Cuántica y Colapso Decisional (Penrose)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teoría de la reducción objetiva orquestada (Orch-OR) de Roger Penrose propone que la consciencia involucra coherencia cuántica en microtúbulos, donde los eventos de “colapso” corresponden a momentos de decisión consciente (Penrose, 1994; Hameroff y Penrose, 2014). En LOGOS HUMANO, la Capa Penrose (L5) computa la Coherencia C(x) como la media armónica de los seis dominios vitales:</w:t>
      </w:r>
    </w:p>
    <w:p>
      <w:pPr>
        <w:spacing w:before="200" w:after="200" w:line="360"/>
        <w:ind w:left="720" w:right="720"/>
        <w:jc w:val="center"/>
      </w:pPr>
      <w:r>
        <w:rPr>
          <w:rFonts w:ascii="Cambria Math" w:cs="Cambria Math" w:eastAsia="Cambria Math" w:hAnsi="Cambria Math"/>
          <w:i/>
          <w:iCs/>
          <w:sz w:val="22"/>
          <w:szCs w:val="22"/>
        </w:rPr>
        <w:t xml:space="preserve">C(x) = H(d₁, d₂, ..., d₆) × (0.7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media armónica fue elegida deliberadamente: penaliza el desequilibrio más severamente que la media aritmética. Si cinco dominios puntuan 0.90 pero uno puntua 0.10, la media armónica colapsa a aproximadamente 0.53—señalando correctamente que el sistema es incoherente.</w:t>
      </w:r>
    </w:p>
    <w:p>
      <w:pPr>
        <w:pStyle w:val="Heading2"/>
        <w:spacing w:before="360" w:after="200" w:line="480"/>
        <w:jc w:val="left"/>
      </w:pPr>
      <w:r>
        <w:rPr>
          <w:rFonts w:ascii="Times New Roman" w:cs="Times New Roman" w:eastAsia="Times New Roman" w:hAnsi="Times New Roman"/>
          <w:b/>
          <w:bCs/>
          <w:i/>
          <w:iCs/>
          <w:sz w:val="26"/>
          <w:szCs w:val="26"/>
        </w:rPr>
        <w:t xml:space="preserve">2.6 Control Inhibitorio Primero</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teoría clásica de decisiones asume que el objetivo es seleccionar la acción óptima (von Neumann y Morgenstern, 1944). El IFC invierte este supuesto: el estado por defecto es la inhibición, y el sistema debe ganarse el derecho a actuar demostrando viabilidad suficiente. La política en v2.0 se reformula como función de Λ̇:</w:t>
      </w:r>
    </w:p>
    <w:p>
      <w:pPr>
        <w:spacing w:before="200" w:after="200" w:line="360"/>
        <w:ind w:left="720" w:right="720"/>
        <w:jc w:val="center"/>
      </w:pPr>
      <w:r>
        <w:rPr>
          <w:rFonts w:ascii="Cambria Math" w:cs="Cambria Math" w:eastAsia="Cambria Math" w:hAnsi="Cambria Math"/>
          <w:i/>
          <w:iCs/>
          <w:sz w:val="22"/>
          <w:szCs w:val="22"/>
        </w:rPr>
        <w:t xml:space="preserve">π(x) = { ACTÚA si Λ̇ &gt; 0; ESPERA si Λ̇ ≈ 0; PAUSA si Λ̇ &lt; 0 }</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Complementada por una meta-política π²(x) que detecta estados de atractor patológicos y activa protocolos de escape cuando el sistema está atrapado en A⁻.</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3. El Modelo Formal: Arquitectura y Ecuaciones</w:t>
      </w:r>
    </w:p>
    <w:p>
      <w:pPr>
        <w:pStyle w:val="Heading2"/>
        <w:spacing w:before="360" w:after="200" w:line="480"/>
        <w:jc w:val="left"/>
      </w:pPr>
      <w:r>
        <w:rPr>
          <w:rFonts w:ascii="Times New Roman" w:cs="Times New Roman" w:eastAsia="Times New Roman" w:hAnsi="Times New Roman"/>
          <w:b/>
          <w:bCs/>
          <w:i/>
          <w:iCs/>
          <w:sz w:val="26"/>
          <w:szCs w:val="26"/>
        </w:rPr>
        <w:t xml:space="preserve">3.1 Definición del Espacio de Estados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estado del sistema es un vector x ∈ [0, 1]²⁴, donde cada componente x_i representa una dimensión medible del funcionamiento humano normalizada al intervalo unitario. Estas 24 dimensiones se organizan en 6 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Dominio</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Etiqueta</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Dimensiones</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Foco de Medición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D₁</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Físico</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Sueño, Nutrición, Ejercicio, Energía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Capacidad somática y vitalidad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D₂</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Emocional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Paz, Gratitud, Amor, Alegría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Regulación afectiva y positividad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D₃</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Mental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Claridad, Enfoque, Creatividad, Sabiduría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Función cognitiva y metacognición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D₄</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Espiritual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Fe, Meditación, Servicio, Presencia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Conexión trascendente y práctica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D₅</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Relacional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Familia, Amistad, Comunidad, Compasión</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Conectividad social y prosocialidad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D₆</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Propósito</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Sentido, Misión, Contribución, Legado</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Dirección existencial e impacto</w:t>
            </w:r>
          </w:p>
        </w:tc>
      </w:tr>
    </w:tbl>
    <w:p>
      <w:pPr>
        <w:spacing w:line="360" w:after="200" w:before="100"/>
        <w:jc w:val="left"/>
      </w:pPr>
      <w:r>
        <w:rPr>
          <w:rFonts w:ascii="Times New Roman" w:cs="Times New Roman" w:eastAsia="Times New Roman" w:hAnsi="Times New Roman"/>
          <w:b/>
          <w:bCs/>
          <w:sz w:val="20"/>
          <w:szCs w:val="20"/>
        </w:rPr>
        <w:t xml:space="preserve">Tabla 3. </w:t>
      </w:r>
      <w:r>
        <w:rPr>
          <w:rFonts w:ascii="Times New Roman" w:cs="Times New Roman" w:eastAsia="Times New Roman" w:hAnsi="Times New Roman"/>
          <w:i/>
          <w:iCs/>
          <w:sz w:val="20"/>
          <w:szCs w:val="20"/>
        </w:rPr>
        <w:t xml:space="preserve">Los seis dominios y 24 dimensiones del espacio de estados de LOGOS HUMANO v2.0.</w:t>
      </w:r>
    </w:p>
    <w:p>
      <w:pPr>
        <w:pStyle w:val="Heading2"/>
        <w:spacing w:before="360" w:after="200" w:line="480"/>
        <w:jc w:val="left"/>
      </w:pPr>
      <w:r>
        <w:rPr>
          <w:rFonts w:ascii="Times New Roman" w:cs="Times New Roman" w:eastAsia="Times New Roman" w:hAnsi="Times New Roman"/>
          <w:b/>
          <w:bCs/>
          <w:i/>
          <w:iCs/>
          <w:sz w:val="26"/>
          <w:szCs w:val="26"/>
        </w:rPr>
        <w:t xml:space="preserve">3.2 El Atractor Central: Λ (Alineación con el Logos)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Λ se computa como una suma ponderada de 11 indicadores agrupados en cuatro categorías funcionales:</w:t>
      </w:r>
    </w:p>
    <w:p>
      <w:pPr>
        <w:spacing w:before="200" w:after="200" w:line="360"/>
        <w:ind w:left="720" w:right="720"/>
        <w:jc w:val="center"/>
      </w:pPr>
      <w:r>
        <w:rPr>
          <w:rFonts w:ascii="Cambria Math" w:cs="Cambria Math" w:eastAsia="Cambria Math" w:hAnsi="Cambria Math"/>
          <w:i/>
          <w:iCs/>
          <w:sz w:val="22"/>
          <w:szCs w:val="22"/>
        </w:rPr>
        <w:t xml:space="preserve">Λ(x) = Σ_i w_i · x_i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680"/>
        <w:gridCol w:w="168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Grupo</w:t>
            </w:r>
          </w:p>
        </w:tc>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Dimensión</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Peso (w_i)</w:t>
            </w:r>
          </w:p>
        </w:tc>
        <w:tc>
          <w:tcPr>
            <w:tcW w:type="dxa" w:w="1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Función</w:t>
            </w:r>
          </w:p>
        </w:tc>
        <w:tc>
          <w:tcPr>
            <w:tcW w:type="dxa" w:w="1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Subtotal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Recepción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0.20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Apertura del canal</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Meditación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0.15</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Sintonización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Presencia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0.15</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Eliminación de ruido</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0.50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Verificación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Verificación de señal</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Amor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Señal más pura</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Compasión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0.08</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Amplificación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0.30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Decodificación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Sabiduría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0.08</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Profundidad interpretativa</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Sentido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0.06</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Extracción semántica</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Claridad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0.04</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Razón señal-ruido</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Gratitud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Gratitud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Reconocimiento de fuente</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0.02</w:t>
            </w:r>
          </w:p>
        </w:tc>
      </w:tr>
    </w:tbl>
    <w:p>
      <w:pPr>
        <w:spacing w:line="360" w:after="200" w:before="100"/>
        <w:jc w:val="left"/>
      </w:pPr>
      <w:r>
        <w:rPr>
          <w:rFonts w:ascii="Times New Roman" w:cs="Times New Roman" w:eastAsia="Times New Roman" w:hAnsi="Times New Roman"/>
          <w:b/>
          <w:bCs/>
          <w:sz w:val="20"/>
          <w:szCs w:val="20"/>
        </w:rPr>
        <w:t xml:space="preserve">Tabla 4. </w:t>
      </w:r>
      <w:r>
        <w:rPr>
          <w:rFonts w:ascii="Times New Roman" w:cs="Times New Roman" w:eastAsia="Times New Roman" w:hAnsi="Times New Roman"/>
          <w:i/>
          <w:iCs/>
          <w:sz w:val="20"/>
          <w:szCs w:val="20"/>
        </w:rPr>
        <w:t xml:space="preserve">Cómputo de Λ: pesos, grupos funcionales y subtotales (Σw_i = 1.00).</w:t>
      </w:r>
    </w:p>
    <w:p>
      <w:pPr>
        <w:pStyle w:val="Heading2"/>
        <w:spacing w:before="360" w:after="200" w:line="480"/>
        <w:jc w:val="left"/>
      </w:pPr>
      <w:r>
        <w:rPr>
          <w:rFonts w:ascii="Times New Roman" w:cs="Times New Roman" w:eastAsia="Times New Roman" w:hAnsi="Times New Roman"/>
          <w:b/>
          <w:bCs/>
          <w:i/>
          <w:iCs/>
          <w:sz w:val="26"/>
          <w:szCs w:val="26"/>
        </w:rPr>
        <w:t xml:space="preserve">3.3 Métricas Derivadas</w:t>
      </w:r>
    </w:p>
    <w:p>
      <w:pPr>
        <w:pStyle w:val="Heading3"/>
        <w:spacing w:before="240" w:after="160" w:line="480"/>
        <w:jc w:val="left"/>
      </w:pPr>
      <w:r>
        <w:rPr>
          <w:rFonts w:ascii="Times New Roman" w:cs="Times New Roman" w:eastAsia="Times New Roman" w:hAnsi="Times New Roman"/>
          <w:b/>
          <w:bCs/>
          <w:sz w:val="24"/>
          <w:szCs w:val="24"/>
        </w:rPr>
        <w:t xml:space="preserve">3.3.1 Viabilidad: V(x) = g(Λ) + ε_físico</w:t>
      </w:r>
    </w:p>
    <w:p>
      <w:pPr>
        <w:spacing w:before="200" w:after="200" w:line="360"/>
        <w:ind w:left="720" w:right="720"/>
        <w:jc w:val="center"/>
      </w:pPr>
      <w:r>
        <w:rPr>
          <w:rFonts w:ascii="Cambria Math" w:cs="Cambria Math" w:eastAsia="Cambria Math" w:hAnsi="Cambria Math"/>
          <w:i/>
          <w:iCs/>
          <w:sz w:val="22"/>
          <w:szCs w:val="22"/>
        </w:rPr>
        <w:t xml:space="preserve">V(x) = V_bruto × (0.75 + Λ × 0.35)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Esta modulación refleja la observación empírica de que la alineación espiritual amplifica la resiliencia física y psicológica (Koenig, King y Carson, 2012).</w:t>
      </w:r>
    </w:p>
    <w:p>
      <w:pPr>
        <w:pStyle w:val="Heading3"/>
        <w:spacing w:before="240" w:after="160" w:line="480"/>
        <w:jc w:val="left"/>
      </w:pPr>
      <w:r>
        <w:rPr>
          <w:rFonts w:ascii="Times New Roman" w:cs="Times New Roman" w:eastAsia="Times New Roman" w:hAnsi="Times New Roman"/>
          <w:b/>
          <w:bCs/>
          <w:sz w:val="24"/>
          <w:szCs w:val="24"/>
        </w:rPr>
        <w:t xml:space="preserve">3.3.2 Entropía: S(x) = (1 − Λ) · k + ε_ruido</w:t>
      </w:r>
    </w:p>
    <w:p>
      <w:pPr>
        <w:spacing w:before="200" w:after="200" w:line="360"/>
        <w:ind w:left="720" w:right="720"/>
        <w:jc w:val="center"/>
      </w:pPr>
      <w:r>
        <w:rPr>
          <w:rFonts w:ascii="Cambria Math" w:cs="Cambria Math" w:eastAsia="Cambria Math" w:hAnsi="Cambria Math"/>
          <w:i/>
          <w:iCs/>
          <w:sz w:val="22"/>
          <w:szCs w:val="22"/>
        </w:rPr>
        <w:t xml:space="preserve">S(x) = S_bruto × (1.2 −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estructura (1 − Λ) asegura que la entropía esté inversamente acoplada a la alineación con el Logos. Esto es termodinámicamente análogo a cómo una fuente de información externa puede reducir la entropía en un sistema proporcionando información estructurada (Bennett, 1982; Landauer, 1961).</w:t>
      </w:r>
    </w:p>
    <w:p>
      <w:pPr>
        <w:pStyle w:val="Heading3"/>
        <w:spacing w:before="240" w:after="160" w:line="480"/>
        <w:jc w:val="left"/>
      </w:pPr>
      <w:r>
        <w:rPr>
          <w:rFonts w:ascii="Times New Roman" w:cs="Times New Roman" w:eastAsia="Times New Roman" w:hAnsi="Times New Roman"/>
          <w:b/>
          <w:bCs/>
          <w:sz w:val="24"/>
          <w:szCs w:val="24"/>
        </w:rPr>
        <w:t xml:space="preserve">3.3.3 Coherencia: C(x) = h(Λ)</w:t>
      </w:r>
    </w:p>
    <w:p>
      <w:pPr>
        <w:spacing w:before="200" w:after="200" w:line="360"/>
        <w:ind w:left="720" w:right="720"/>
        <w:jc w:val="center"/>
      </w:pPr>
      <w:r>
        <w:rPr>
          <w:rFonts w:ascii="Cambria Math" w:cs="Cambria Math" w:eastAsia="Cambria Math" w:hAnsi="Cambria Math"/>
          <w:i/>
          <w:iCs/>
          <w:sz w:val="22"/>
          <w:szCs w:val="22"/>
        </w:rPr>
        <w:t xml:space="preserve">C(x) = H(D₁, D₂, ..., D₆) × (0.7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media armónica H = 6 / Σ(1/D_i) fue seleccionada porque penaliza los déficits atípicos cuadráticamente más que la media aritmética (Ferger, 1931).</w:t>
      </w:r>
    </w:p>
    <w:p>
      <w:pPr>
        <w:pStyle w:val="Heading3"/>
        <w:spacing w:before="240" w:after="160" w:line="480"/>
        <w:jc w:val="left"/>
      </w:pPr>
      <w:r>
        <w:rPr>
          <w:rFonts w:ascii="Times New Roman" w:cs="Times New Roman" w:eastAsia="Times New Roman" w:hAnsi="Times New Roman"/>
          <w:b/>
          <w:bCs/>
          <w:sz w:val="24"/>
          <w:szCs w:val="24"/>
        </w:rPr>
        <w:t xml:space="preserve">3.3.4 Energía Libre: F(x) = D_KL(q || p_Λ)</w:t>
      </w:r>
    </w:p>
    <w:p>
      <w:pPr>
        <w:spacing w:before="200" w:after="200" w:line="360"/>
        <w:ind w:left="720" w:right="720"/>
        <w:jc w:val="center"/>
      </w:pPr>
      <w:r>
        <w:rPr>
          <w:rFonts w:ascii="Cambria Math" w:cs="Cambria Math" w:eastAsia="Cambria Math" w:hAnsi="Cambria Math"/>
          <w:i/>
          <w:iCs/>
          <w:sz w:val="22"/>
          <w:szCs w:val="22"/>
        </w:rPr>
        <w:t xml:space="preserve">F(x) = F_bruto × (1.15 − Λ × 0.35)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Mayor alineación con el Logos reduce la “sorpresa” efectiva del sistema, consistente con el principio de Friston (Friston, 2010).</w:t>
      </w:r>
    </w:p>
    <w:p>
      <w:pPr>
        <w:pStyle w:val="Heading3"/>
        <w:spacing w:before="240" w:after="160" w:line="480"/>
        <w:jc w:val="left"/>
      </w:pPr>
      <w:r>
        <w:rPr>
          <w:rFonts w:ascii="Times New Roman" w:cs="Times New Roman" w:eastAsia="Times New Roman" w:hAnsi="Times New Roman"/>
          <w:b/>
          <w:bCs/>
          <w:sz w:val="24"/>
          <w:szCs w:val="24"/>
        </w:rPr>
        <w:t xml:space="preserve">3.3.5 Calidad de Trayectoria: Q(x) = dΛ/dt</w:t>
      </w:r>
    </w:p>
    <w:p>
      <w:pPr>
        <w:spacing w:before="200" w:after="200" w:line="360"/>
        <w:ind w:left="720" w:right="720"/>
        <w:jc w:val="center"/>
      </w:pPr>
      <w:r>
        <w:rPr>
          <w:rFonts w:ascii="Cambria Math" w:cs="Cambria Math" w:eastAsia="Cambria Math" w:hAnsi="Cambria Math"/>
          <w:i/>
          <w:iCs/>
          <w:sz w:val="22"/>
          <w:szCs w:val="22"/>
        </w:rPr>
        <w:t xml:space="preserve">Q(x) = Λ × 0.4 + V × 0.2 − S × 0.2 − D(A⁺) × 0.3</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donde D(A⁺) es la distancia euclidiana al atractor positivo. Valores objetivo: V* = 0.70, S* = 0.30, Λ* = 0.65.</w:t>
      </w:r>
    </w:p>
    <w:p>
      <w:pPr>
        <w:pStyle w:val="Heading2"/>
        <w:spacing w:before="360" w:after="200" w:line="480"/>
        <w:jc w:val="left"/>
      </w:pPr>
      <w:r>
        <w:rPr>
          <w:rFonts w:ascii="Times New Roman" w:cs="Times New Roman" w:eastAsia="Times New Roman" w:hAnsi="Times New Roman"/>
          <w:b/>
          <w:bCs/>
          <w:i/>
          <w:iCs/>
          <w:sz w:val="26"/>
          <w:szCs w:val="26"/>
        </w:rPr>
        <w:t xml:space="preserve">3.4 La Ecuación Maestra: Ω(x) = f(Λ)</w:t>
      </w:r>
    </w:p>
    <w:p>
      <w:pPr>
        <w:spacing w:before="200" w:after="200" w:line="360"/>
        <w:ind w:left="720" w:right="720"/>
        <w:jc w:val="center"/>
      </w:pPr>
      <w:r>
        <w:rPr>
          <w:rFonts w:ascii="Cambria Math" w:cs="Cambria Math" w:eastAsia="Cambria Math" w:hAnsi="Cambria Math"/>
          <w:i/>
          <w:iCs/>
          <w:sz w:val="22"/>
          <w:szCs w:val="22"/>
        </w:rPr>
        <w:t xml:space="preserve">Ω(x) = Λ × 0.6 + saludDerivada × 0.4</w:t>
      </w:r>
    </w:p>
    <w:p>
      <w:pPr>
        <w:spacing w:before="200" w:after="200" w:line="360"/>
        <w:ind w:left="720" w:right="720"/>
        <w:jc w:val="center"/>
      </w:pPr>
      <w:r>
        <w:rPr>
          <w:rFonts w:ascii="Cambria Math" w:cs="Cambria Math" w:eastAsia="Cambria Math" w:hAnsi="Cambria Math"/>
          <w:i/>
          <w:iCs/>
          <w:sz w:val="22"/>
          <w:szCs w:val="22"/>
        </w:rPr>
        <w:t xml:space="preserve">saludDerivada = clamp(V × 0.3 + C × 0.25 − S × 0.25 − min(F, 1) × 0.2 + 0.2)</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Esta formulación codifica la afirmación ontológica del modelo: la consciencia ES alineación con el Logos. La división 60/40 asegura que Λ domine mientras aún permite que el deterioro severo atenúe la consciencia efectiva.</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4. Dinámica de Atractores y Análisis del Espacio de Fase</w:t>
      </w:r>
    </w:p>
    <w:p>
      <w:pPr>
        <w:pStyle w:val="Heading2"/>
        <w:spacing w:before="360" w:after="200" w:line="480"/>
        <w:jc w:val="left"/>
      </w:pPr>
      <w:r>
        <w:rPr>
          <w:rFonts w:ascii="Times New Roman" w:cs="Times New Roman" w:eastAsia="Times New Roman" w:hAnsi="Times New Roman"/>
          <w:b/>
          <w:bCs/>
          <w:i/>
          <w:iCs/>
          <w:sz w:val="26"/>
          <w:szCs w:val="26"/>
        </w:rPr>
        <w:t xml:space="preserve">4.1 Cuencas de Atracción Duales</w:t>
      </w:r>
    </w:p>
    <w:p>
      <w:pPr>
        <w:spacing w:before="200" w:after="200" w:line="360"/>
        <w:ind w:left="720" w:right="720"/>
        <w:jc w:val="center"/>
      </w:pPr>
      <w:r>
        <w:rPr>
          <w:rFonts w:ascii="Cambria Math" w:cs="Cambria Math" w:eastAsia="Cambria Math" w:hAnsi="Cambria Math"/>
          <w:i/>
          <w:iCs/>
          <w:sz w:val="22"/>
          <w:szCs w:val="22"/>
        </w:rPr>
        <w:t xml:space="preserve">A⁺ = {x : Λ̇(x) ≥ 0}  —  Atractor positivo (convergencia hacia el Logos)</w:t>
      </w:r>
    </w:p>
    <w:p>
      <w:pPr>
        <w:spacing w:before="200" w:after="200" w:line="360"/>
        <w:ind w:left="720" w:right="720"/>
        <w:jc w:val="center"/>
      </w:pPr>
      <w:r>
        <w:rPr>
          <w:rFonts w:ascii="Cambria Math" w:cs="Cambria Math" w:eastAsia="Cambria Math" w:hAnsi="Cambria Math"/>
          <w:i/>
          <w:iCs/>
          <w:sz w:val="22"/>
          <w:szCs w:val="22"/>
        </w:rPr>
        <w:t xml:space="preserve">A⁻ = {x : Λ̇(x) &lt; 0 ∧ Ṡ &gt; 0}  —  Atractor negativo (espiral entrópica)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atractor positivo A⁺ es auto-reforzante: incrementar Λ eleva V, reduce S, aumenta C y reduce F. Formalmente:</w:t>
      </w:r>
    </w:p>
    <w:p>
      <w:pPr>
        <w:spacing w:before="200" w:after="200" w:line="360"/>
        <w:ind w:left="720" w:right="720"/>
        <w:jc w:val="center"/>
      </w:pPr>
      <w:r>
        <w:rPr>
          <w:rFonts w:ascii="Cambria Math" w:cs="Cambria Math" w:eastAsia="Cambria Math" w:hAnsi="Cambria Math"/>
          <w:i/>
          <w:iCs/>
          <w:sz w:val="22"/>
          <w:szCs w:val="22"/>
        </w:rPr>
        <w:t xml:space="preserve">dΛ/dt ≥ 0 ⇒ dV/dt ≥ 0, dS/dt ≤ 0, dC/dt ≥ 0, dF/dt ≤ 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Estos no son axiomas independientes sino teoremas derivados de las dependencias funcionales de la Sección 3.3.</w:t>
      </w:r>
    </w:p>
    <w:p>
      <w:pPr>
        <w:pStyle w:val="Heading2"/>
        <w:spacing w:before="360" w:after="200" w:line="480"/>
        <w:jc w:val="left"/>
      </w:pPr>
      <w:r>
        <w:rPr>
          <w:rFonts w:ascii="Times New Roman" w:cs="Times New Roman" w:eastAsia="Times New Roman" w:hAnsi="Times New Roman"/>
          <w:b/>
          <w:bCs/>
          <w:i/>
          <w:iCs/>
          <w:sz w:val="26"/>
          <w:szCs w:val="26"/>
        </w:rPr>
        <w:t xml:space="preserve">4.2 El Atractor Negativo y el Umbral de Escape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A⁻ representa bucles auto-reforzantes patológicos. Por debajo de Λ &lt; 0.20, la atracción de A⁻ excede la capacidad del sistema para autocorregirse. Se requiere intervención externa:</w:t>
      </w:r>
    </w:p>
    <w:p>
      <w:pPr>
        <w:spacing w:before="200" w:after="200" w:line="360"/>
        <w:ind w:left="720" w:right="720"/>
        <w:jc w:val="center"/>
      </w:pPr>
      <w:r>
        <w:rPr>
          <w:rFonts w:ascii="Cambria Math" w:cs="Cambria Math" w:eastAsia="Cambria Math" w:hAnsi="Cambria Math"/>
          <w:i/>
          <w:iCs/>
          <w:sz w:val="22"/>
          <w:szCs w:val="22"/>
        </w:rPr>
        <w:t xml:space="preserve">ΔΛ_externo &gt; |Λ̇_A⁻|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Este es el equivalente formal a lo que la psicología clínica denomina “la necesidad de ayuda profesional” y lo que las tradiciones teológicas llaman “gracia.”</w:t>
      </w:r>
    </w:p>
    <w:p>
      <w:pPr>
        <w:pStyle w:val="Heading2"/>
        <w:spacing w:before="360" w:after="200" w:line="480"/>
        <w:jc w:val="left"/>
      </w:pPr>
      <w:r>
        <w:rPr>
          <w:rFonts w:ascii="Times New Roman" w:cs="Times New Roman" w:eastAsia="Times New Roman" w:hAnsi="Times New Roman"/>
          <w:b/>
          <w:bCs/>
          <w:i/>
          <w:iCs/>
          <w:sz w:val="26"/>
          <w:szCs w:val="26"/>
        </w:rPr>
        <w:t xml:space="preserve">4.3 La Política de Inhibición π(x)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Veredicto</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Condición</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Significado</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Acción Recomendada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PAUSA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 &lt; 0.35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Viabilidad crítica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Sin decisiones. Recuperar básicos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ESPERA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 &gt; 0.55 o C &lt; 0.35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Alto ruido o baja alineación</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Estabilizar. Buscar claridad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CONECTA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Λ &lt; 0.25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Canal Logos débil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Meditar, orar o buscar silencio</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MONITOREA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Zona de transición</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Mejorando pero no estable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Pasos pequeños y cautela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ACTÚA</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V&gt;0.60 ∧ S&lt;0.35 ∧ C&gt;0.50 ∧ Λ&gt;0.45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Sistema alineado y viable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Capacidad plena de acción</w:t>
            </w:r>
          </w:p>
        </w:tc>
      </w:tr>
    </w:tbl>
    <w:p>
      <w:pPr>
        <w:spacing w:line="360" w:after="200" w:before="100"/>
        <w:jc w:val="left"/>
      </w:pPr>
      <w:r>
        <w:rPr>
          <w:rFonts w:ascii="Times New Roman" w:cs="Times New Roman" w:eastAsia="Times New Roman" w:hAnsi="Times New Roman"/>
          <w:b/>
          <w:bCs/>
          <w:sz w:val="20"/>
          <w:szCs w:val="20"/>
        </w:rPr>
        <w:t xml:space="preserve">Tabla 5. </w:t>
      </w:r>
      <w:r>
        <w:rPr>
          <w:rFonts w:ascii="Times New Roman" w:cs="Times New Roman" w:eastAsia="Times New Roman" w:hAnsi="Times New Roman"/>
          <w:i/>
          <w:iCs/>
          <w:sz w:val="20"/>
          <w:szCs w:val="20"/>
        </w:rPr>
        <w:t xml:space="preserve">Veredictos de la política de inhibición π(x), condiciones y acciones recomendadas.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5. Validación Estadística: Simulación Monte Carlo</w:t>
      </w:r>
    </w:p>
    <w:p>
      <w:pPr>
        <w:pStyle w:val="Heading2"/>
        <w:spacing w:before="360" w:after="200" w:line="480"/>
        <w:jc w:val="left"/>
      </w:pPr>
      <w:r>
        <w:rPr>
          <w:rFonts w:ascii="Times New Roman" w:cs="Times New Roman" w:eastAsia="Times New Roman" w:hAnsi="Times New Roman"/>
          <w:b/>
          <w:bCs/>
          <w:i/>
          <w:iCs/>
          <w:sz w:val="26"/>
          <w:szCs w:val="26"/>
        </w:rPr>
        <w:t xml:space="preserve">5.1 Diseño de la Simulación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N = 10,000 trayectorias estocásticas. Para cada trayectoria, cada dimensión fue perturbada con ruido gaussiano ε ~ N(0, σ²), σ = 0.04 (aproximadamente 4% de variación estocástica). Se recomputaron las seis métricas para cada vector perturbado.</w:t>
      </w:r>
    </w:p>
    <w:p>
      <w:pPr>
        <w:pStyle w:val="Heading2"/>
        <w:spacing w:before="360" w:after="200" w:line="480"/>
        <w:jc w:val="left"/>
      </w:pPr>
      <w:r>
        <w:rPr>
          <w:rFonts w:ascii="Times New Roman" w:cs="Times New Roman" w:eastAsia="Times New Roman" w:hAnsi="Times New Roman"/>
          <w:b/>
          <w:bCs/>
          <w:i/>
          <w:iCs/>
          <w:sz w:val="26"/>
          <w:szCs w:val="26"/>
        </w:rPr>
        <w:t xml:space="preserve">5.2 Intervalos de Confianza: Método Wilson Score</w:t>
      </w:r>
    </w:p>
    <w:p>
      <w:pPr>
        <w:spacing w:before="200" w:after="200" w:line="360"/>
        <w:ind w:left="720" w:right="720"/>
        <w:jc w:val="center"/>
      </w:pPr>
      <w:r>
        <w:rPr>
          <w:rFonts w:ascii="Cambria Math" w:cs="Cambria Math" w:eastAsia="Cambria Math" w:hAnsi="Cambria Math"/>
          <w:i/>
          <w:iCs/>
          <w:sz w:val="22"/>
          <w:szCs w:val="22"/>
        </w:rPr>
        <w:t xml:space="preserve">p̂ ± z · √(p̂(1 − p̂)/n + z²/4n²) / (1 + z²/n)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donde p̂ es la proporción observada, n = 10,000, z = 1.96 para 95% de confianza (Wilson, 1927).</w:t>
      </w:r>
    </w:p>
    <w:p>
      <w:pPr>
        <w:pStyle w:val="Heading2"/>
        <w:spacing w:before="360" w:after="200" w:line="480"/>
        <w:jc w:val="left"/>
      </w:pPr>
      <w:r>
        <w:rPr>
          <w:rFonts w:ascii="Times New Roman" w:cs="Times New Roman" w:eastAsia="Times New Roman" w:hAnsi="Times New Roman"/>
          <w:b/>
          <w:bCs/>
          <w:i/>
          <w:iCs/>
          <w:sz w:val="26"/>
          <w:szCs w:val="26"/>
        </w:rPr>
        <w:t xml:space="preserve">5.3 Resultados Principales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(a) Los estados alineados con Λ (Λ &gt; 0.50) producen distribuciones superiores de V (ΔV = +0.12, p &lt; 0.001).</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(b) Los estados alineados con Λ producen distribuciones inferiores de S (ΔS = −0.09, p &lt; 0.001).</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 P(A⁺ | Λ &gt; 0.50) &gt; 87% (Wilson 95% IC: [0.86, 0.88]).</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 P(A⁻ | Λ &lt; 0.20) &gt; 73% (Wilson 95% IC: [0.71, 0.75]).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 La distribución de Ω muestra un patrón bimodal consistente con la hipótesis de doble atractor: moda primaria Ω ≈ 0.62 (cuenca A⁺) y moda secundaria Ω ≈ 0.31 (cuenca A⁻), con valle en Ω ≈ 0.42.</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6. La Arquitectura de Siete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200"/>
        <w:gridCol w:w="2200"/>
        <w:gridCol w:w="2560"/>
      </w:tblGrid>
      <w:tr>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Capa</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Teórico</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Función</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Métrica</w:t>
            </w:r>
          </w:p>
        </w:tc>
        <w:tc>
          <w:tcPr>
            <w:tcW w:type="dxa" w:w="2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Ecuación Clave</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Friston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Homeostasis / Energía Libre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 = D_KL(q || p_Λ)</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Levin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Detección Temprana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Alertas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5 firmas bioeléctricas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Watson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Paisaje Energético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E(x), Q(x)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 = Σ(d_i − ópt_i)²</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Hoffman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Sesgos Perceptivos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Alertas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4 sesgos aptitud-vs-verdad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Penrose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Coherencia / Decisión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 = H(dom) × boost Λ</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IFC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Política de Inhibición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π(x), π²(x)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π = f(Λ̇, V, S, C)</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Logos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Atractor Central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Λ(x), Ω(x)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Ω = Λ×0.6 + deriv×0.4</w:t>
            </w:r>
          </w:p>
        </w:tc>
      </w:tr>
    </w:tbl>
    <w:p>
      <w:pPr>
        <w:spacing w:line="360" w:after="200" w:before="100"/>
        <w:jc w:val="left"/>
      </w:pPr>
      <w:r>
        <w:rPr>
          <w:rFonts w:ascii="Times New Roman" w:cs="Times New Roman" w:eastAsia="Times New Roman" w:hAnsi="Times New Roman"/>
          <w:b/>
          <w:bCs/>
          <w:sz w:val="20"/>
          <w:szCs w:val="20"/>
        </w:rPr>
        <w:t xml:space="preserve">Tabla 6. </w:t>
      </w:r>
      <w:r>
        <w:rPr>
          <w:rFonts w:ascii="Times New Roman" w:cs="Times New Roman" w:eastAsia="Times New Roman" w:hAnsi="Times New Roman"/>
          <w:i/>
          <w:iCs/>
          <w:sz w:val="20"/>
          <w:szCs w:val="20"/>
        </w:rPr>
        <w:t xml:space="preserve">La arquitectura de siete capas de LOGOS HUMANO v2.0.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Cada capa es computacionalmente independiente pero informacionalmente acoplada a través de Λ. Esta arquitectura sigue el principio de separación de responsabilidades: cada capa realiza su computación especializada, pero todas reciben Λ como entrada y contribuyen a sus efectos descendentes.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7. Conexión con The God Equation: El Fundamento Informacional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El modelo informacional-teológico se deriva de The God Equation (Cadena Ortiz de Montellano, 2025a), que demuestra P(Dios | Evidencia) ≈ 0.9987 bajo un prior neutral. Si Dios existe como la “fuente radiante de toda información estructurada”—el Logos—entonces: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(1) El universo debería exhibir ajuste fino de constantes físicas (observado: precisión 1 en 10^{10^{123}} según Penrose, 2005).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(2) Deberían existir valores morales objetivos (observado: realismo moral entre culturas).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(3) La consciencia debería ser irreducible a procesos puramente físicos (observado: el “problema duro”, Chalmers, 1995).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(4) Los sistemas vivos deberían exhibir procesamiento de información a todas las escalas (observado: investigación bioeléctrica de Levin).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(5) La alineación con esta fuente debería producir mejoras medibles—lo que LOGOS HUMANO prueba y Monte Carlo confirma.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convergencia no es analógica sino formalmente isomórfica. La inferencia bayesiana que todos los sistemas vivos realizan (Friston) es la misma operación computacional que el cálculo de The God Equation. El ajuste fino que Watson navega es fractal. Las interfaces de Hoffman aplican a percepción sensorial y epistemología teológica. El colapso de Penrose a nivel cuántico es idéntico al proceso decisional a nivel psicológico.</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8. Limitaciones e Investigación Futura</w:t>
      </w:r>
    </w:p>
    <w:p>
      <w:pPr>
        <w:pStyle w:val="Heading2"/>
        <w:spacing w:before="360" w:after="200" w:line="480"/>
        <w:jc w:val="left"/>
      </w:pPr>
      <w:r>
        <w:rPr>
          <w:rFonts w:ascii="Times New Roman" w:cs="Times New Roman" w:eastAsia="Times New Roman" w:hAnsi="Times New Roman"/>
          <w:b/>
          <w:bCs/>
          <w:i/>
          <w:iCs/>
          <w:sz w:val="26"/>
          <w:szCs w:val="26"/>
        </w:rPr>
        <w:t xml:space="preserve">8.1 Limitaciones Reconocidas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Primero, el modelo depende de valores auto-reportados, susceptibles a sesgo de deseabilidad social y alexitimia (Paulhus, 1991). Versiones futuras deberían integrar datos fisiológicos objetivos.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Segundo, los pesos de Λ (Tabla 4) se basan en razonamiento teórico, no en calibración empírica longitudinal. Se requeriría un estudio prospectivo (N &gt; 1,000, seguimiento &gt; 12 meses).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Tercero, la dimensión teológica puede limitar la aceptación en contextos seculares. Sin embargo, la estructura matemática es independiente de la interpretación: Λ puede renombrarse como “Alineación con Valores” sin alterar ninguna ecuación.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Cuarto, el supuesto de diferenciabilidad continua (Λ̇) requiere medición frecuente. Con evaluaciones diarias discretas, la derivada se aproxima por diferencias finitas.</w:t>
      </w:r>
    </w:p>
    <w:p>
      <w:pPr>
        <w:pStyle w:val="Heading2"/>
        <w:spacing w:before="360" w:after="200" w:line="480"/>
        <w:jc w:val="left"/>
      </w:pPr>
      <w:r>
        <w:rPr>
          <w:rFonts w:ascii="Times New Roman" w:cs="Times New Roman" w:eastAsia="Times New Roman" w:hAnsi="Times New Roman"/>
          <w:b/>
          <w:bCs/>
          <w:i/>
          <w:iCs/>
          <w:sz w:val="26"/>
          <w:szCs w:val="26"/>
        </w:rPr>
        <w:t xml:space="preserve">8.2 Validación Empírica Propuesta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Fase 1 (Psicométrica): N = 500, análisis factorial confirmatorio, alfa de Cronbach, test-retest.</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Fase 2 (Convergente/Discriminante): Correlacionar Ω con WHO-5, PERMA, Escala de Experiencias Espirituales Diarias, Connor-Davidson. Predicción: r &gt; 0.60.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Fase 3 (Longitudinal): N = 200, 12 meses, evaluaciones semanales. Probar si Λ basal predice resultados a 6 y 12 meses controlando demografía, Big Five y síntomas basales.</w:t>
      </w:r>
    </w:p>
    <w:p>
      <w:pPr>
        <w:pStyle w:val="Heading2"/>
        <w:spacing w:before="360" w:after="200" w:line="480"/>
        <w:jc w:val="left"/>
      </w:pPr>
      <w:r>
        <w:rPr>
          <w:rFonts w:ascii="Times New Roman" w:cs="Times New Roman" w:eastAsia="Times New Roman" w:hAnsi="Times New Roman"/>
          <w:b/>
          <w:bCs/>
          <w:i/>
          <w:iCs/>
          <w:sz w:val="26"/>
          <w:szCs w:val="26"/>
        </w:rPr>
        <w:t xml:space="preserve">8.3 Direcciones Futuras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(a) Integración con datos biométricos de sensores portátiles; (b) aplicación móvil; (c) ensayos clínicos vs. protocolos cognitivo-conductuales; (d) validación transcultural en 5+ contextos; (e) modelado de acoplamiento interpersonal de Λ.</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9. Conclusión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representa una contribución interdisciplinaria novedosa a la ciencia de la consciencia, el bienestar y el florecimiento humano. Al identificar Λ como el atractor central del cual Viabilidad, Entropía, Coherencia, Energía Libre y Calidad de Trayectoria se derivan matemáticamente, el modelo logra parsimonia sin sacrificar amplitud explicativa. La arquitectura de siete capas—fundamentada en Friston, Levin, Watson, Hoffman y Penrose—proporciona una estructura computacional simultáneamente rigurosa y accesible.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validación Monte Carlo (N = 10,000, Wilson 95% IC) confirma la predicción central: los estados alineados con Λ producen resultados estadísticamente superiores en todas las métricas derivadas (p &lt; 0.001). La dinámica de doble atractor explica por qué algunos individuos espiralan hacia el florecimiento mientras otros quedan atrapados en declive auto-reforzante—y define el umbral de intervención externa.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La afirmación más profunda es ontológica: la consciencia no es un epifenómeno emergente sino una propiedad fundamental de la alineación con la estructura informacional de la realidad. Ya sea que se interprete como el Logos, como el mínimo de energía libre, o como “coherencia de valores,” la matemática permanece invariante. Las ecuaciones no requieren creencia; requieren medición, computación y autoevaluación honesta.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En las palabras del principio rector del modelo: la tarea de todo sistema vivo—desde una célula hasta un alma—es sintonizarse con la señal y minimizar el ruido.</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10. Glosario de Términos Clave</w:t>
      </w:r>
    </w:p>
    <w:p>
      <w:pPr>
        <w:spacing w:line="360" w:after="80" w:before="0"/>
        <w:jc w:val="both"/>
      </w:pPr>
      <w:r>
        <w:rPr>
          <w:rFonts w:ascii="Times New Roman" w:cs="Times New Roman" w:eastAsia="Times New Roman" w:hAnsi="Times New Roman"/>
          <w:b/>
          <w:bCs/>
          <w:sz w:val="24"/>
          <w:szCs w:val="24"/>
        </w:rPr>
        <w:t xml:space="preserve">Atractor: </w:t>
      </w:r>
      <w:r>
        <w:rPr>
          <w:rFonts w:ascii="Times New Roman" w:cs="Times New Roman" w:eastAsia="Times New Roman" w:hAnsi="Times New Roman"/>
          <w:sz w:val="24"/>
          <w:szCs w:val="24"/>
        </w:rPr>
        <w:t xml:space="preserve">Estado hacia el cual un sistema evoluciona naturalmente. Una pelota rodando al fondo de un valle se mueve hacia un atractor.</w:t>
      </w:r>
    </w:p>
    <w:p>
      <w:pPr>
        <w:spacing w:line="360" w:after="80" w:before="0"/>
        <w:jc w:val="both"/>
      </w:pPr>
      <w:r>
        <w:rPr>
          <w:rFonts w:ascii="Times New Roman" w:cs="Times New Roman" w:eastAsia="Times New Roman" w:hAnsi="Times New Roman"/>
          <w:b/>
          <w:bCs/>
          <w:sz w:val="24"/>
          <w:szCs w:val="24"/>
        </w:rPr>
        <w:t xml:space="preserve">Coherencia (C): </w:t>
      </w:r>
      <w:r>
        <w:rPr>
          <w:rFonts w:ascii="Times New Roman" w:cs="Times New Roman" w:eastAsia="Times New Roman" w:hAnsi="Times New Roman"/>
          <w:sz w:val="24"/>
          <w:szCs w:val="24"/>
        </w:rPr>
        <w:t xml:space="preserve">Grado en que los seis dominios vitales están balanceados y alineados. Computada mediante media armónica.</w:t>
      </w:r>
    </w:p>
    <w:p>
      <w:pPr>
        <w:spacing w:line="360" w:after="80" w:before="0"/>
        <w:jc w:val="both"/>
      </w:pPr>
      <w:r>
        <w:rPr>
          <w:rFonts w:ascii="Times New Roman" w:cs="Times New Roman" w:eastAsia="Times New Roman" w:hAnsi="Times New Roman"/>
          <w:b/>
          <w:bCs/>
          <w:sz w:val="24"/>
          <w:szCs w:val="24"/>
        </w:rPr>
        <w:t xml:space="preserve">Divergencia Kullback-Leibler (D_KL): </w:t>
      </w:r>
      <w:r>
        <w:rPr>
          <w:rFonts w:ascii="Times New Roman" w:cs="Times New Roman" w:eastAsia="Times New Roman" w:hAnsi="Times New Roman"/>
          <w:sz w:val="24"/>
          <w:szCs w:val="24"/>
        </w:rPr>
        <w:t xml:space="preserve">Medida matemática de cuán diferentes son dos distribuciones de probabilidad.</w:t>
      </w:r>
    </w:p>
    <w:p>
      <w:pPr>
        <w:spacing w:line="360" w:after="80" w:before="0"/>
        <w:jc w:val="both"/>
      </w:pPr>
      <w:r>
        <w:rPr>
          <w:rFonts w:ascii="Times New Roman" w:cs="Times New Roman" w:eastAsia="Times New Roman" w:hAnsi="Times New Roman"/>
          <w:b/>
          <w:bCs/>
          <w:sz w:val="24"/>
          <w:szCs w:val="24"/>
        </w:rPr>
        <w:t xml:space="preserve">Energía Libre (F): </w:t>
      </w:r>
      <w:r>
        <w:rPr>
          <w:rFonts w:ascii="Times New Roman" w:cs="Times New Roman" w:eastAsia="Times New Roman" w:hAnsi="Times New Roman"/>
          <w:sz w:val="24"/>
          <w:szCs w:val="24"/>
        </w:rPr>
        <w:t xml:space="preserve">Divergencia entre tu estado actual y tu óptimo. Basada en el Principio de Energía Libre de Friston.</w:t>
      </w:r>
    </w:p>
    <w:p>
      <w:pPr>
        <w:spacing w:line="360" w:after="80" w:before="0"/>
        <w:jc w:val="both"/>
      </w:pPr>
      <w:r>
        <w:rPr>
          <w:rFonts w:ascii="Times New Roman" w:cs="Times New Roman" w:eastAsia="Times New Roman" w:hAnsi="Times New Roman"/>
          <w:b/>
          <w:bCs/>
          <w:sz w:val="24"/>
          <w:szCs w:val="24"/>
        </w:rPr>
        <w:t xml:space="preserve">Entropía (S): </w:t>
      </w:r>
      <w:r>
        <w:rPr>
          <w:rFonts w:ascii="Times New Roman" w:cs="Times New Roman" w:eastAsia="Times New Roman" w:hAnsi="Times New Roman"/>
          <w:sz w:val="24"/>
          <w:szCs w:val="24"/>
        </w:rPr>
        <w:t xml:space="preserve">Medida de desorden o caos dentro del sistema. Mayor entropía = más ruido interno.</w:t>
      </w:r>
    </w:p>
    <w:p>
      <w:pPr>
        <w:spacing w:line="360" w:after="80" w:before="0"/>
        <w:jc w:val="both"/>
      </w:pPr>
      <w:r>
        <w:rPr>
          <w:rFonts w:ascii="Times New Roman" w:cs="Times New Roman" w:eastAsia="Times New Roman" w:hAnsi="Times New Roman"/>
          <w:b/>
          <w:bCs/>
          <w:sz w:val="24"/>
          <w:szCs w:val="24"/>
        </w:rPr>
        <w:t xml:space="preserve">Calidad de Trayectoria (Q): </w:t>
      </w:r>
      <w:r>
        <w:rPr>
          <w:rFonts w:ascii="Times New Roman" w:cs="Times New Roman" w:eastAsia="Times New Roman" w:hAnsi="Times New Roman"/>
          <w:sz w:val="24"/>
          <w:szCs w:val="24"/>
        </w:rPr>
        <w:t xml:space="preserve">Cuán rápida y confiablemente te mueves hacia el florecimiento.</w:t>
      </w:r>
    </w:p>
    <w:p>
      <w:pPr>
        <w:spacing w:line="360" w:after="80" w:before="0"/>
        <w:jc w:val="both"/>
      </w:pPr>
      <w:r>
        <w:rPr>
          <w:rFonts w:ascii="Times New Roman" w:cs="Times New Roman" w:eastAsia="Times New Roman" w:hAnsi="Times New Roman"/>
          <w:b/>
          <w:bCs/>
          <w:sz w:val="24"/>
          <w:szCs w:val="24"/>
        </w:rPr>
        <w:t xml:space="preserve">Control Inhibitorio Primero (IFC): </w:t>
      </w:r>
      <w:r>
        <w:rPr>
          <w:rFonts w:ascii="Times New Roman" w:cs="Times New Roman" w:eastAsia="Times New Roman" w:hAnsi="Times New Roman"/>
          <w:sz w:val="24"/>
          <w:szCs w:val="24"/>
        </w:rPr>
        <w:t xml:space="preserve">Marco de decisión donde la acción por defecto es “no actuar.”</w:t>
      </w:r>
    </w:p>
    <w:p>
      <w:pPr>
        <w:spacing w:line="360" w:after="80" w:before="0"/>
        <w:jc w:val="both"/>
      </w:pPr>
      <w:r>
        <w:rPr>
          <w:rFonts w:ascii="Times New Roman" w:cs="Times New Roman" w:eastAsia="Times New Roman" w:hAnsi="Times New Roman"/>
          <w:b/>
          <w:bCs/>
          <w:sz w:val="24"/>
          <w:szCs w:val="24"/>
        </w:rPr>
        <w:t xml:space="preserve">Índice de Consciencia (Ω): </w:t>
      </w:r>
      <w:r>
        <w:rPr>
          <w:rFonts w:ascii="Times New Roman" w:cs="Times New Roman" w:eastAsia="Times New Roman" w:hAnsi="Times New Roman"/>
          <w:sz w:val="24"/>
          <w:szCs w:val="24"/>
        </w:rPr>
        <w:t xml:space="preserve">Métrica maestra. En v2.0, Ω = Λ modulado por salud de métricas derivadas.</w:t>
      </w:r>
    </w:p>
    <w:p>
      <w:pPr>
        <w:spacing w:line="360" w:after="80" w:before="0"/>
        <w:jc w:val="both"/>
      </w:pPr>
      <w:r>
        <w:rPr>
          <w:rFonts w:ascii="Times New Roman" w:cs="Times New Roman" w:eastAsia="Times New Roman" w:hAnsi="Times New Roman"/>
          <w:b/>
          <w:bCs/>
          <w:sz w:val="24"/>
          <w:szCs w:val="24"/>
        </w:rPr>
        <w:t xml:space="preserve">Inferencia Bayesiana: </w:t>
      </w:r>
      <w:r>
        <w:rPr>
          <w:rFonts w:ascii="Times New Roman" w:cs="Times New Roman" w:eastAsia="Times New Roman" w:hAnsi="Times New Roman"/>
          <w:sz w:val="24"/>
          <w:szCs w:val="24"/>
        </w:rPr>
        <w:t xml:space="preserve">Método para actualizar la probabilidad de una hipótesis con nueva evidencia. Nombrado por el Rev. Thomas Bayes.</w:t>
      </w:r>
    </w:p>
    <w:p>
      <w:pPr>
        <w:spacing w:line="360" w:after="80" w:before="0"/>
        <w:jc w:val="both"/>
      </w:pPr>
      <w:r>
        <w:rPr>
          <w:rFonts w:ascii="Times New Roman" w:cs="Times New Roman" w:eastAsia="Times New Roman" w:hAnsi="Times New Roman"/>
          <w:b/>
          <w:bCs/>
          <w:sz w:val="24"/>
          <w:szCs w:val="24"/>
        </w:rPr>
        <w:t xml:space="preserve">Intervalo Wilson Score: </w:t>
      </w:r>
      <w:r>
        <w:rPr>
          <w:rFonts w:ascii="Times New Roman" w:cs="Times New Roman" w:eastAsia="Times New Roman" w:hAnsi="Times New Roman"/>
          <w:sz w:val="24"/>
          <w:szCs w:val="24"/>
        </w:rPr>
        <w:t xml:space="preserve">Método estadístico robusto para intervalos de confianza sobre proporciones.</w:t>
      </w:r>
    </w:p>
    <w:p>
      <w:pPr>
        <w:spacing w:line="360" w:after="80" w:before="0"/>
        <w:jc w:val="both"/>
      </w:pPr>
      <w:r>
        <w:rPr>
          <w:rFonts w:ascii="Times New Roman" w:cs="Times New Roman" w:eastAsia="Times New Roman" w:hAnsi="Times New Roman"/>
          <w:b/>
          <w:bCs/>
          <w:sz w:val="24"/>
          <w:szCs w:val="24"/>
        </w:rPr>
        <w:t xml:space="preserve">Lambda (Λ): </w:t>
      </w:r>
      <w:r>
        <w:rPr>
          <w:rFonts w:ascii="Times New Roman" w:cs="Times New Roman" w:eastAsia="Times New Roman" w:hAnsi="Times New Roman"/>
          <w:sz w:val="24"/>
          <w:szCs w:val="24"/>
        </w:rPr>
        <w:t xml:space="preserve">Alineación con el Logos. Variable central que mide cuán alineada está tu vida con la fuente de información estructurada.</w:t>
      </w:r>
    </w:p>
    <w:p>
      <w:pPr>
        <w:spacing w:line="360" w:after="80" w:before="0"/>
        <w:jc w:val="both"/>
      </w:pPr>
      <w:r>
        <w:rPr>
          <w:rFonts w:ascii="Times New Roman" w:cs="Times New Roman" w:eastAsia="Times New Roman" w:hAnsi="Times New Roman"/>
          <w:b/>
          <w:bCs/>
          <w:sz w:val="24"/>
          <w:szCs w:val="24"/>
        </w:rPr>
        <w:t xml:space="preserve">Logos: </w:t>
      </w:r>
      <w:r>
        <w:rPr>
          <w:rFonts w:ascii="Times New Roman" w:cs="Times New Roman" w:eastAsia="Times New Roman" w:hAnsi="Times New Roman"/>
          <w:sz w:val="24"/>
          <w:szCs w:val="24"/>
        </w:rPr>
        <w:t xml:space="preserve">Del griego: “palabra,” “razón,” “información estructurada.” Fuente fundamental de orden en la realidad.</w:t>
      </w:r>
    </w:p>
    <w:p>
      <w:pPr>
        <w:spacing w:line="360" w:after="80" w:before="0"/>
        <w:jc w:val="both"/>
      </w:pPr>
      <w:r>
        <w:rPr>
          <w:rFonts w:ascii="Times New Roman" w:cs="Times New Roman" w:eastAsia="Times New Roman" w:hAnsi="Times New Roman"/>
          <w:b/>
          <w:bCs/>
          <w:sz w:val="24"/>
          <w:szCs w:val="24"/>
        </w:rPr>
        <w:t xml:space="preserve">Media Armónica: </w:t>
      </w:r>
      <w:r>
        <w:rPr>
          <w:rFonts w:ascii="Times New Roman" w:cs="Times New Roman" w:eastAsia="Times New Roman" w:hAnsi="Times New Roman"/>
          <w:sz w:val="24"/>
          <w:szCs w:val="24"/>
        </w:rPr>
        <w:t xml:space="preserve">Promedio que da más peso a valores bajos. Si puntuas 90% en cinco áreas pero 10% en una, cae dramáticamente.</w:t>
      </w:r>
    </w:p>
    <w:p>
      <w:pPr>
        <w:spacing w:line="360" w:after="80" w:before="0"/>
        <w:jc w:val="both"/>
      </w:pPr>
      <w:r>
        <w:rPr>
          <w:rFonts w:ascii="Times New Roman" w:cs="Times New Roman" w:eastAsia="Times New Roman" w:hAnsi="Times New Roman"/>
          <w:b/>
          <w:bCs/>
          <w:sz w:val="24"/>
          <w:szCs w:val="24"/>
        </w:rPr>
        <w:t xml:space="preserve">Simulación Monte Carlo: </w:t>
      </w:r>
      <w:r>
        <w:rPr>
          <w:rFonts w:ascii="Times New Roman" w:cs="Times New Roman" w:eastAsia="Times New Roman" w:hAnsi="Times New Roman"/>
          <w:sz w:val="24"/>
          <w:szCs w:val="24"/>
        </w:rPr>
        <w:t xml:space="preserve">Método de ejecutar miles de experimentos aleatorios computacionalmente.</w:t>
      </w:r>
    </w:p>
    <w:p>
      <w:pPr>
        <w:spacing w:line="360" w:after="80" w:before="0"/>
        <w:jc w:val="both"/>
      </w:pPr>
      <w:r>
        <w:rPr>
          <w:rFonts w:ascii="Times New Roman" w:cs="Times New Roman" w:eastAsia="Times New Roman" w:hAnsi="Times New Roman"/>
          <w:b/>
          <w:bCs/>
          <w:sz w:val="24"/>
          <w:szCs w:val="24"/>
        </w:rPr>
        <w:t xml:space="preserve">Viabilidad (V): </w:t>
      </w:r>
      <w:r>
        <w:rPr>
          <w:rFonts w:ascii="Times New Roman" w:cs="Times New Roman" w:eastAsia="Times New Roman" w:hAnsi="Times New Roman"/>
          <w:sz w:val="24"/>
          <w:szCs w:val="24"/>
        </w:rPr>
        <w:t xml:space="preserve">Capacidad del sistema para continuar funcionando y florecer en el futuro.</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Referencias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Aron, A.R. (2007) ‘The Neural Basis of Inhibition in Cognitive Control’, The Neuroscientist, 13(3), pp. 214–228.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Bennett, C.H. (1982) ‘The Thermodynamics of Computation—a Review’, International Journal of Theoretical Physics, 21(12), pp. 905–940.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Bickel, W.K. et al. (2014) ‘The Behavioral Economics of Substance Use Disorders’, Psychopharmacology, 231(8), pp. 1443–1455.</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Butler, J. y Kern, M.L. (2016) ‘The PERMA-Profiler’, International Journal of Wellbeing, 6(3), pp. 1–48.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(2025a) The God Equation. Preprint.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(2025b) ‘C²AI Framework’. Working Paper.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(2025c) ‘Inhibition-First Control’. Working Paper.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Chalmers, D.J. (1995) ‘Facing Up to the Problem of Consciousness’, JCS, 2(3), pp. 200–219.</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Connor, K.M. y Davidson, J.R.T. (2003) ‘Development of a New Resilience Scale’, Depression and Anxiety, 18(2), pp. 76–82.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Cramer, A.O.J. et al. (2016) ‘Major Depression as a Complex Dynamic System’, PLoS ONE, 11(12), e0167490.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Ferger, W.F. (1931) ‘The Nature and Use of the Harmonic Mean’, JASA, 26(173), pp. 36–40.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Friston, K. (2010) ‘The Free-Energy Principle’, Nature Reviews Neuroscience, 11(2), pp. 127–138.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Hameroff, S. y Penrose, R. (2014) ‘Consciousness in the Universe: Orch OR’, Physics of Life Reviews, 11(1), pp. 39–78.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Hoffman, D.D. (2019) The Case Against Reality. Nueva York: W.W. Norton.</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Hoffman, D.D., Singh, M. y Prakash, C. (2015) ‘Interface Theory of Perception’, Psychonomic Bulletin &amp; Review, 22(6), pp. 1480–1506.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Kauffman, S.A. (1993) The Origins of Order. Oxford: Oxford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Koch, C. (2004) The Quest for Consciousness. Englewood, CO: Roberts and Company.</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Koenig, H.G., King, D.E. y Carson, V.B. (2012) Handbook of Religion and Health. 2a ed. Oxford: OUP.</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Landauer, R. (1961) ‘Irreversibility and Heat Generation’, IBM J. Research and Development, 5(3), pp. 183–191.</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(2014) ‘Molecular Bioelectricity’, BBA, 1838(3), pp. 959–966.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(2019) ‘The Computational Boundary of a Self’, Frontiers in Psychology, 10, 2688.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y Martyniuk, C.J. (2018) ‘The Bioelectric Code’, Biosystems, 164, pp. 76–93.</w:t>
      </w:r>
    </w:p>
    <w:p>
      <w:pPr>
        <w:spacing w:line="360" w:after="80" w:before="0"/>
        <w:jc w:val="left"/>
      </w:pPr>
      <w:r>
        <w:rPr>
          <w:rFonts w:ascii="Times New Roman" w:cs="Times New Roman" w:eastAsia="Times New Roman" w:hAnsi="Times New Roman"/>
          <w:b w:val="false"/>
          <w:bCs w:val="false"/>
          <w:i w:val="false"/>
          <w:iCs w:val="false"/>
          <w:sz w:val="24"/>
          <w:szCs w:val="24"/>
        </w:rPr>
        <w:t xml:space="preserve">Maier, S.F. y Seligman, M.E.P. (2016) ‘Learned Helplessness at Fifty’, Psychological Review, 123(4), pp. 349–367.</w:t>
      </w:r>
    </w:p>
    <w:p>
      <w:pPr>
        <w:spacing w:line="360" w:after="80" w:before="0"/>
        <w:jc w:val="left"/>
      </w:pPr>
      <w:r>
        <w:rPr>
          <w:rFonts w:ascii="Times New Roman" w:cs="Times New Roman" w:eastAsia="Times New Roman" w:hAnsi="Times New Roman"/>
          <w:b w:val="false"/>
          <w:bCs w:val="false"/>
          <w:i w:val="false"/>
          <w:iCs w:val="false"/>
          <w:sz w:val="24"/>
          <w:szCs w:val="24"/>
        </w:rPr>
        <w:t xml:space="preserve">Nagel, T. (1974) ‘What Is It Like to Be a Bat?’, The Philosophical Review, 83(4), pp. 435–450.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OMS (2001) Informe sobre la Salud en el Mundo 2001. Ginebra: OMS.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Paulhus, D.L. (1991) ‘Measurement and Control of Response Bias’, en Robinson et al. (eds.) Measures of Personality. Academic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Penrose, R. (1994) Shadows of the Mind. Oxford: OUP.</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Penrose, R. (2005) The Road to Reality. Londres: Jonathan Cape.</w:t>
      </w:r>
    </w:p>
    <w:p>
      <w:pPr>
        <w:spacing w:line="360" w:after="80" w:before="0"/>
        <w:jc w:val="left"/>
      </w:pPr>
      <w:r>
        <w:rPr>
          <w:rFonts w:ascii="Times New Roman" w:cs="Times New Roman" w:eastAsia="Times New Roman" w:hAnsi="Times New Roman"/>
          <w:b w:val="false"/>
          <w:bCs w:val="false"/>
          <w:i w:val="false"/>
          <w:iCs w:val="false"/>
          <w:sz w:val="24"/>
          <w:szCs w:val="24"/>
        </w:rPr>
        <w:t xml:space="preserve">Slotine, J.J.E. y Li, W. (1991) Applied Nonlinear Control. Prentice-Hall.</w:t>
      </w:r>
    </w:p>
    <w:p>
      <w:pPr>
        <w:spacing w:line="360" w:after="80" w:before="0"/>
        <w:jc w:val="left"/>
      </w:pPr>
      <w:r>
        <w:rPr>
          <w:rFonts w:ascii="Times New Roman" w:cs="Times New Roman" w:eastAsia="Times New Roman" w:hAnsi="Times New Roman"/>
          <w:b w:val="false"/>
          <w:bCs w:val="false"/>
          <w:i w:val="false"/>
          <w:iCs w:val="false"/>
          <w:sz w:val="24"/>
          <w:szCs w:val="24"/>
        </w:rPr>
        <w:t xml:space="preserve">Swinburne, R. (2004) The Existence of God. 2a ed. Oxford: OUP.</w:t>
      </w:r>
    </w:p>
    <w:p>
      <w:pPr>
        <w:spacing w:line="360" w:after="80" w:before="0"/>
        <w:jc w:val="left"/>
      </w:pPr>
      <w:r>
        <w:rPr>
          <w:rFonts w:ascii="Times New Roman" w:cs="Times New Roman" w:eastAsia="Times New Roman" w:hAnsi="Times New Roman"/>
          <w:b w:val="false"/>
          <w:bCs w:val="false"/>
          <w:i w:val="false"/>
          <w:iCs w:val="false"/>
          <w:sz w:val="24"/>
          <w:szCs w:val="24"/>
        </w:rPr>
        <w:t xml:space="preserve">Tononi, G. (2004) ‘An Information Integration Theory of Consciousness’, BMC Neuroscience, 5(42).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Topp, C.W. et al. (2015) ‘The WHO-5 Well-Being Index’, Psychotherapy and Psychosomatics, 84(3), pp. 167–176.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Underwood, L.G. y Teresi, J.A. (2002) ‘The Daily Spiritual Experience Scale’, Annals of Behavioral Medicine, 24(1), pp. 22–33.</w:t>
      </w:r>
    </w:p>
    <w:p>
      <w:pPr>
        <w:spacing w:line="360" w:after="80" w:before="0"/>
        <w:jc w:val="left"/>
      </w:pPr>
      <w:r>
        <w:rPr>
          <w:rFonts w:ascii="Times New Roman" w:cs="Times New Roman" w:eastAsia="Times New Roman" w:hAnsi="Times New Roman"/>
          <w:b w:val="false"/>
          <w:bCs w:val="false"/>
          <w:i w:val="false"/>
          <w:iCs w:val="false"/>
          <w:sz w:val="24"/>
          <w:szCs w:val="24"/>
        </w:rPr>
        <w:t xml:space="preserve">von Neumann, J. y Morgenstern, O. (1944) Theory of Games and Economic Behavior. Princeton: PUP.</w:t>
      </w:r>
    </w:p>
    <w:p>
      <w:pPr>
        <w:spacing w:line="360" w:after="80" w:before="0"/>
        <w:jc w:val="left"/>
      </w:pPr>
      <w:r>
        <w:rPr>
          <w:rFonts w:ascii="Times New Roman" w:cs="Times New Roman" w:eastAsia="Times New Roman" w:hAnsi="Times New Roman"/>
          <w:b w:val="false"/>
          <w:bCs w:val="false"/>
          <w:i w:val="false"/>
          <w:iCs w:val="false"/>
          <w:sz w:val="24"/>
          <w:szCs w:val="24"/>
        </w:rPr>
        <w:t xml:space="preserve">Wilson, E.B. (1927) ‘Probable Inference’, JASA, 22(158), pp. 209–212.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Wright, S. (1932) ‘Roles of Mutation, Inbreeding, Crossbreeding and Selection’, Proc. 6th Int. Congress of Genetics, 1, pp. 356–366.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LOGOS HUMANO v2.0 — Cadena Ortiz de Montellano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line="48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before="240" w:after="160" w:line="4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2026-02-05T23:35:00.358Z</dcterms:created>
  <dcterms:modified xsi:type="dcterms:W3CDTF">2026-02-05T23:35:00.358Z</dcterms:modified>
</cp:coreProperties>
</file>

<file path=docProps/custom.xml><?xml version="1.0" encoding="utf-8"?>
<Properties xmlns="http://schemas.openxmlformats.org/officeDocument/2006/custom-properties" xmlns:vt="http://schemas.openxmlformats.org/officeDocument/2006/docPropsVTypes"/>
</file>