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Auditoría de costos AWS — AppTurnos / SWALP</w:t>
      </w:r>
    </w:p>
    <w:p>
      <w:r>
        <w:rPr>
          <w:b/>
          <w:i w:val="0"/>
        </w:rPr>
        <w:t>Fecha de la auditoría: 7 de septiembre de 2026</w:t>
      </w:r>
    </w:p>
    <w:p>
      <w:r>
        <w:rPr>
          <w:b w:val="0"/>
          <w:i w:val="0"/>
        </w:rPr>
        <w:t>Región: us-east-1 (Norte de Virginia) · Modelo: on-demand</w:t>
      </w:r>
    </w:p>
    <w:p>
      <w:r>
        <w:rPr>
          <w:b w:val="0"/>
          <w:i w:val="0"/>
        </w:rPr>
        <w:t>Precios verificados uno a uno en la calculadora oficial de AWS (https://calculator.aws) y, para ElastiCache, contra la AWS Price List Bulk API. Ninguna cifra proviene de comparativas de terceros.</w:t>
      </w:r>
    </w:p>
    <w:p>
      <w:r>
        <w:rPr>
          <w:b w:val="0"/>
          <w:i w:val="0"/>
        </w:rPr>
        <w:t>Tasa de cambio usada: 4.050 COP/USD</w:t>
      </w:r>
    </w:p>
    <w:p>
      <w:r>
        <w:rPr>
          <w:b w:val="0"/>
          <w:i w:val="0"/>
        </w:rPr>
        <w:t>Presupuesto tope del proyecto: 150.000 COP/mes</w:t>
      </w:r>
    </w:p>
    <w:p/>
    <w:p>
      <w:pPr>
        <w:pStyle w:val="Heading1"/>
      </w:pPr>
      <w:r>
        <w:rPr>
          <w:color w:val="1F3864"/>
        </w:rPr>
        <w:t>1. Resumen ejecutivo</w:t>
      </w:r>
    </w:p>
    <w:p>
      <w:r>
        <w:rPr>
          <w:b w:val="0"/>
          <w:i w:val="0"/>
        </w:rPr>
        <w:t>Esta auditoría nace de una alarma: una estimación de costos de AWS que circulaba parecía indicar que el proyecto costaría mucho más de lo presupuestado. La conclusión es que la alarma era infundada, y por una razón concreta.</w:t>
      </w:r>
    </w:p>
    <w:p>
      <w:pPr>
        <w:pStyle w:val="Heading2"/>
      </w:pPr>
      <w:r>
        <w:rPr>
          <w:color w:val="1F3864"/>
        </w:rPr>
        <w:t>1.1 La estimación de terceros no contenía ningún precio</w:t>
      </w:r>
    </w:p>
    <w:p>
      <w:r>
        <w:rPr>
          <w:b w:val="0"/>
          <w:i w:val="0"/>
        </w:rPr>
        <w:t>Se revisó la conversación completa que originó la alarma. Consta de dos preguntas: «qué es AWS Well-Architected» y «dame un ejemplo con Django en EC2 y RDS». La respuesta es una guía genérica de los seis pilares del marco Well-Architected. No aparece ni una sola cifra en dólares en toda la conversación.</w:t>
      </w:r>
    </w:p>
    <w:p>
      <w:r>
        <w:rPr>
          <w:b w:val="0"/>
          <w:i w:val="0"/>
        </w:rPr>
        <w:t>Lo que genera el sobrecosto no es un cálculo: es la arquitectura que esa guía recomienda por defecto, que es la plantilla de libro de texto y no está dimensionada para 300 usuarios y 30 solicitudes al día.</w:t>
      </w:r>
    </w:p>
    <w:p>
      <w:pPr>
        <w:pStyle w:val="Heading2"/>
      </w:pPr>
      <w:r>
        <w:rPr>
          <w:color w:val="1F3864"/>
        </w:rPr>
        <w:t>1.2 Cifras finales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320"/>
          </w:tcPr>
          <w:p>
            <w:r/>
            <w:r>
              <w:rPr>
                <w:b/>
              </w:rPr>
              <w:t>Escenario</w:t>
            </w:r>
          </w:p>
        </w:tc>
        <w:tc>
          <w:tcPr>
            <w:tcW w:type="dxa" w:w="1584"/>
          </w:tcPr>
          <w:p>
            <w:r/>
            <w:r>
              <w:rPr>
                <w:b/>
              </w:rPr>
              <w:t>USD/mes</w:t>
            </w:r>
          </w:p>
        </w:tc>
        <w:tc>
          <w:tcPr>
            <w:tcW w:type="dxa" w:w="1584"/>
          </w:tcPr>
          <w:p>
            <w:r/>
            <w:r>
              <w:rPr>
                <w:b/>
              </w:rPr>
              <w:t>Con IVA 19 %</w:t>
            </w:r>
          </w:p>
        </w:tc>
        <w:tc>
          <w:tcPr>
            <w:tcW w:type="dxa" w:w="1872"/>
          </w:tcPr>
          <w:p>
            <w:r/>
            <w:r>
              <w:rPr>
                <w:b/>
              </w:rPr>
              <w:t>COP/mes</w:t>
            </w:r>
          </w:p>
        </w:tc>
      </w:tr>
      <w:tr>
        <w:tc>
          <w:tcPr>
            <w:tcW w:type="dxa" w:w="4320"/>
          </w:tcPr>
          <w:p>
            <w:r/>
            <w:r>
              <w:t>Arquitectura del proyecto (t4g.micro)</w:t>
            </w:r>
          </w:p>
        </w:tc>
        <w:tc>
          <w:tcPr>
            <w:tcW w:type="dxa" w:w="1584"/>
          </w:tcPr>
          <w:p>
            <w:pPr>
              <w:jc w:val="right"/>
            </w:pPr>
            <w:r/>
            <w:r>
              <w:t>26,96</w:t>
            </w:r>
          </w:p>
        </w:tc>
        <w:tc>
          <w:tcPr>
            <w:tcW w:type="dxa" w:w="1584"/>
          </w:tcPr>
          <w:p>
            <w:pPr>
              <w:jc w:val="right"/>
            </w:pPr>
            <w:r/>
            <w:r>
              <w:t>32,08</w:t>
            </w:r>
          </w:p>
        </w:tc>
        <w:tc>
          <w:tcPr>
            <w:tcW w:type="dxa" w:w="1872"/>
          </w:tcPr>
          <w:p>
            <w:pPr>
              <w:jc w:val="right"/>
            </w:pPr>
            <w:r/>
            <w:r>
              <w:t>≈ 130.000</w:t>
            </w:r>
          </w:p>
        </w:tc>
      </w:tr>
      <w:tr>
        <w:tc>
          <w:tcPr>
            <w:tcW w:type="dxa" w:w="4320"/>
          </w:tcPr>
          <w:p>
            <w:r/>
            <w:r>
              <w:t>Arquitectura genérica Well-Architected</w:t>
            </w:r>
          </w:p>
        </w:tc>
        <w:tc>
          <w:tcPr>
            <w:tcW w:type="dxa" w:w="1584"/>
          </w:tcPr>
          <w:p>
            <w:pPr>
              <w:jc w:val="right"/>
            </w:pPr>
            <w:r/>
            <w:r>
              <w:t>112,31</w:t>
            </w:r>
          </w:p>
        </w:tc>
        <w:tc>
          <w:tcPr>
            <w:tcW w:type="dxa" w:w="1584"/>
          </w:tcPr>
          <w:p>
            <w:pPr>
              <w:jc w:val="right"/>
            </w:pPr>
            <w:r/>
            <w:r>
              <w:t>133,65</w:t>
            </w:r>
          </w:p>
        </w:tc>
        <w:tc>
          <w:tcPr>
            <w:tcW w:type="dxa" w:w="1872"/>
          </w:tcPr>
          <w:p>
            <w:pPr>
              <w:jc w:val="right"/>
            </w:pPr>
            <w:r/>
            <w:r>
              <w:t>≈ 541.000</w:t>
            </w:r>
          </w:p>
        </w:tc>
      </w:tr>
      <w:tr>
        <w:tc>
          <w:tcPr>
            <w:tcW w:type="dxa" w:w="4320"/>
          </w:tcPr>
          <w:p>
            <w:r>
              <w:rPr>
                <w:b/>
              </w:rPr>
            </w:r>
            <w:r>
              <w:rPr>
                <w:b/>
              </w:rPr>
              <w:t>Diferencia</w:t>
            </w:r>
          </w:p>
        </w:tc>
        <w:tc>
          <w:tcPr>
            <w:tcW w:type="dxa" w:w="1584"/>
          </w:tcPr>
          <w:p>
            <w:pPr>
              <w:jc w:val="right"/>
            </w:pPr>
            <w:r>
              <w:rPr>
                <w:b/>
              </w:rPr>
            </w:r>
            <w:r>
              <w:rPr>
                <w:b/>
              </w:rPr>
              <w:t>+85,35</w:t>
            </w:r>
          </w:p>
        </w:tc>
        <w:tc>
          <w:tcPr>
            <w:tcW w:type="dxa" w:w="1584"/>
          </w:tcPr>
          <w:p>
            <w:pPr>
              <w:jc w:val="right"/>
            </w:pPr>
            <w:r>
              <w:rPr>
                <w:b/>
              </w:rPr>
            </w:r>
            <w:r>
              <w:rPr>
                <w:b/>
              </w:rPr>
              <w:t>+101,57</w:t>
            </w:r>
          </w:p>
        </w:tc>
        <w:tc>
          <w:tcPr>
            <w:tcW w:type="dxa" w:w="1872"/>
          </w:tcPr>
          <w:p>
            <w:pPr>
              <w:jc w:val="right"/>
            </w:pPr>
            <w:r>
              <w:rPr>
                <w:b/>
              </w:rPr>
            </w:r>
            <w:r>
              <w:rPr>
                <w:b/>
              </w:rPr>
              <w:t>≈ +411.000</w:t>
            </w:r>
          </w:p>
        </w:tc>
      </w:tr>
    </w:tbl>
    <w:p/>
    <w:p>
      <w:r>
        <w:rPr>
          <w:b/>
          <w:i w:val="0"/>
        </w:rPr>
        <w:t>La arquitectura genérica cuesta 4,2 veces más y se sale del presupuesto por un factor de 3,6. La arquitectura del proyecto cabe dentro del techo de 150.000 COP/mes.</w:t>
      </w:r>
    </w:p>
    <w:p>
      <w:r>
        <w:br w:type="page"/>
      </w:r>
    </w:p>
    <w:p>
      <w:pPr>
        <w:pStyle w:val="Heading1"/>
      </w:pPr>
      <w:r>
        <w:rPr>
          <w:color w:val="1F3864"/>
        </w:rPr>
        <w:t>2. Verificación del presupuesto del proyecto</w:t>
      </w:r>
    </w:p>
    <w:p>
      <w:r>
        <w:rPr>
          <w:b w:val="0"/>
          <w:i w:val="0"/>
        </w:rPr>
        <w:t>Se reconstruyó la estimación completa en calculator.aws, servicio por servicio, para contrastarla contra el documento «arquitectura-aws-rds-recomendada.md». Todos los precios coinciden.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744"/>
          </w:tcPr>
          <w:p>
            <w:r/>
            <w:r>
              <w:rPr>
                <w:b/>
              </w:rPr>
              <w:t>Recurso</w:t>
            </w:r>
          </w:p>
        </w:tc>
        <w:tc>
          <w:tcPr>
            <w:tcW w:type="dxa" w:w="1440"/>
          </w:tcPr>
          <w:p>
            <w:r/>
            <w:r>
              <w:rPr>
                <w:b/>
              </w:rPr>
              <w:t>Documento</w:t>
            </w:r>
          </w:p>
        </w:tc>
        <w:tc>
          <w:tcPr>
            <w:tcW w:type="dxa" w:w="1872"/>
          </w:tcPr>
          <w:p>
            <w:r/>
            <w:r>
              <w:rPr>
                <w:b/>
              </w:rPr>
              <w:t>Calculadora AWS</w:t>
            </w:r>
          </w:p>
        </w:tc>
        <w:tc>
          <w:tcPr>
            <w:tcW w:type="dxa" w:w="2160"/>
          </w:tcPr>
          <w:p>
            <w:r/>
            <w:r>
              <w:rPr>
                <w:b/>
              </w:rPr>
              <w:t>Precio unitario</w:t>
            </w:r>
          </w:p>
        </w:tc>
      </w:tr>
      <w:tr>
        <w:tc>
          <w:tcPr>
            <w:tcW w:type="dxa" w:w="3744"/>
          </w:tcPr>
          <w:p>
            <w:r/>
            <w:r>
              <w:t>EC2 t4g.micro (2 vCPU, 1 GiB)</w:t>
            </w:r>
          </w:p>
        </w:tc>
        <w:tc>
          <w:tcPr>
            <w:tcW w:type="dxa" w:w="1440"/>
          </w:tcPr>
          <w:p>
            <w:pPr>
              <w:jc w:val="right"/>
            </w:pPr>
            <w:r/>
            <w:r>
              <w:t>6,13</w:t>
            </w:r>
          </w:p>
        </w:tc>
        <w:tc>
          <w:tcPr>
            <w:tcW w:type="dxa" w:w="1872"/>
          </w:tcPr>
          <w:p>
            <w:pPr>
              <w:jc w:val="right"/>
            </w:pPr>
            <w:r/>
            <w:r>
              <w:t>6,13</w:t>
            </w:r>
          </w:p>
        </w:tc>
        <w:tc>
          <w:tcPr>
            <w:tcW w:type="dxa" w:w="2160"/>
          </w:tcPr>
          <w:p>
            <w:pPr>
              <w:jc w:val="right"/>
            </w:pPr>
            <w:r/>
            <w:r>
              <w:t>0,0084 USD/h</w:t>
            </w:r>
          </w:p>
        </w:tc>
      </w:tr>
      <w:tr>
        <w:tc>
          <w:tcPr>
            <w:tcW w:type="dxa" w:w="3744"/>
          </w:tcPr>
          <w:p>
            <w:r/>
            <w:r>
              <w:t>Disco EC2 — EBS gp3 20 GB</w:t>
            </w:r>
          </w:p>
        </w:tc>
        <w:tc>
          <w:tcPr>
            <w:tcW w:type="dxa" w:w="1440"/>
          </w:tcPr>
          <w:p>
            <w:pPr>
              <w:jc w:val="right"/>
            </w:pPr>
            <w:r/>
            <w:r>
              <w:t>1,60</w:t>
            </w:r>
          </w:p>
        </w:tc>
        <w:tc>
          <w:tcPr>
            <w:tcW w:type="dxa" w:w="1872"/>
          </w:tcPr>
          <w:p>
            <w:pPr>
              <w:jc w:val="right"/>
            </w:pPr>
            <w:r/>
            <w:r>
              <w:t>1,60</w:t>
            </w:r>
          </w:p>
        </w:tc>
        <w:tc>
          <w:tcPr>
            <w:tcW w:type="dxa" w:w="2160"/>
          </w:tcPr>
          <w:p>
            <w:pPr>
              <w:jc w:val="right"/>
            </w:pPr>
            <w:r/>
            <w:r>
              <w:t>0,08 USD/GB-mes</w:t>
            </w:r>
          </w:p>
        </w:tc>
      </w:tr>
      <w:tr>
        <w:tc>
          <w:tcPr>
            <w:tcW w:type="dxa" w:w="3744"/>
          </w:tcPr>
          <w:p>
            <w:r/>
            <w:r>
              <w:t>RDS db.t4g.micro MySQL Single-AZ</w:t>
            </w:r>
          </w:p>
        </w:tc>
        <w:tc>
          <w:tcPr>
            <w:tcW w:type="dxa" w:w="1440"/>
          </w:tcPr>
          <w:p>
            <w:pPr>
              <w:jc w:val="right"/>
            </w:pPr>
            <w:r/>
            <w:r>
              <w:t>11,68</w:t>
            </w:r>
          </w:p>
        </w:tc>
        <w:tc>
          <w:tcPr>
            <w:tcW w:type="dxa" w:w="1872"/>
          </w:tcPr>
          <w:p>
            <w:pPr>
              <w:jc w:val="right"/>
            </w:pPr>
            <w:r/>
            <w:r>
              <w:t>11,68</w:t>
            </w:r>
          </w:p>
        </w:tc>
        <w:tc>
          <w:tcPr>
            <w:tcW w:type="dxa" w:w="2160"/>
          </w:tcPr>
          <w:p>
            <w:pPr>
              <w:jc w:val="right"/>
            </w:pPr>
            <w:r/>
            <w:r>
              <w:t>0,016 USD/h</w:t>
            </w:r>
          </w:p>
        </w:tc>
      </w:tr>
      <w:tr>
        <w:tc>
          <w:tcPr>
            <w:tcW w:type="dxa" w:w="3744"/>
          </w:tcPr>
          <w:p>
            <w:r/>
            <w:r>
              <w:t>Almacenamiento RDS gp3 20 GB</w:t>
            </w:r>
          </w:p>
        </w:tc>
        <w:tc>
          <w:tcPr>
            <w:tcW w:type="dxa" w:w="1440"/>
          </w:tcPr>
          <w:p>
            <w:pPr>
              <w:jc w:val="right"/>
            </w:pPr>
            <w:r/>
            <w:r>
              <w:t>2,30</w:t>
            </w:r>
          </w:p>
        </w:tc>
        <w:tc>
          <w:tcPr>
            <w:tcW w:type="dxa" w:w="1872"/>
          </w:tcPr>
          <w:p>
            <w:pPr>
              <w:jc w:val="right"/>
            </w:pPr>
            <w:r/>
            <w:r>
              <w:t>2,30</w:t>
            </w:r>
          </w:p>
        </w:tc>
        <w:tc>
          <w:tcPr>
            <w:tcW w:type="dxa" w:w="2160"/>
          </w:tcPr>
          <w:p>
            <w:pPr>
              <w:jc w:val="right"/>
            </w:pPr>
            <w:r/>
            <w:r>
              <w:t>0,115 USD/GB-mes</w:t>
            </w:r>
          </w:p>
        </w:tc>
      </w:tr>
      <w:tr>
        <w:tc>
          <w:tcPr>
            <w:tcW w:type="dxa" w:w="3744"/>
          </w:tcPr>
          <w:p>
            <w:r/>
            <w:r>
              <w:t>IPv4 pública (1 Elastic IP)</w:t>
            </w:r>
          </w:p>
        </w:tc>
        <w:tc>
          <w:tcPr>
            <w:tcW w:type="dxa" w:w="1440"/>
          </w:tcPr>
          <w:p>
            <w:pPr>
              <w:jc w:val="right"/>
            </w:pPr>
            <w:r/>
            <w:r>
              <w:t>3,65</w:t>
            </w:r>
          </w:p>
        </w:tc>
        <w:tc>
          <w:tcPr>
            <w:tcW w:type="dxa" w:w="1872"/>
          </w:tcPr>
          <w:p>
            <w:pPr>
              <w:jc w:val="right"/>
            </w:pPr>
            <w:r/>
            <w:r>
              <w:t>3,65</w:t>
            </w:r>
          </w:p>
        </w:tc>
        <w:tc>
          <w:tcPr>
            <w:tcW w:type="dxa" w:w="2160"/>
          </w:tcPr>
          <w:p>
            <w:pPr>
              <w:jc w:val="right"/>
            </w:pPr>
            <w:r/>
            <w:r>
              <w:t>0,005 USD/h</w:t>
            </w:r>
          </w:p>
        </w:tc>
      </w:tr>
      <w:tr>
        <w:tc>
          <w:tcPr>
            <w:tcW w:type="dxa" w:w="3744"/>
          </w:tcPr>
          <w:p>
            <w:r/>
            <w:r>
              <w:t>Amazon SES (6.000 correos/mes)</w:t>
            </w:r>
          </w:p>
        </w:tc>
        <w:tc>
          <w:tcPr>
            <w:tcW w:type="dxa" w:w="1440"/>
          </w:tcPr>
          <w:p>
            <w:pPr>
              <w:jc w:val="right"/>
            </w:pPr>
            <w:r/>
            <w:r>
              <w:t>0,60</w:t>
            </w:r>
          </w:p>
        </w:tc>
        <w:tc>
          <w:tcPr>
            <w:tcW w:type="dxa" w:w="1872"/>
          </w:tcPr>
          <w:p>
            <w:pPr>
              <w:jc w:val="right"/>
            </w:pPr>
            <w:r/>
            <w:r>
              <w:t>0,60</w:t>
            </w:r>
          </w:p>
        </w:tc>
        <w:tc>
          <w:tcPr>
            <w:tcW w:type="dxa" w:w="2160"/>
          </w:tcPr>
          <w:p>
            <w:pPr>
              <w:jc w:val="right"/>
            </w:pPr>
            <w:r/>
            <w:r>
              <w:t>0,10 USD/1.000</w:t>
            </w:r>
          </w:p>
        </w:tc>
      </w:tr>
      <w:tr>
        <w:tc>
          <w:tcPr>
            <w:tcW w:type="dxa" w:w="3744"/>
          </w:tcPr>
          <w:p>
            <w:r>
              <w:rPr>
                <w:b/>
              </w:rPr>
            </w:r>
            <w:r>
              <w:rPr>
                <w:b/>
              </w:rPr>
              <w:t>Subtotal verificado</w:t>
            </w:r>
          </w:p>
        </w:tc>
        <w:tc>
          <w:tcPr>
            <w:tcW w:type="dxa" w:w="1440"/>
          </w:tcPr>
          <w:p>
            <w:pPr>
              <w:jc w:val="right"/>
            </w:pPr>
            <w:r>
              <w:rPr>
                <w:b/>
              </w:rPr>
            </w:r>
            <w:r>
              <w:rPr>
                <w:b/>
              </w:rPr>
              <w:t>25,96</w:t>
            </w:r>
          </w:p>
        </w:tc>
        <w:tc>
          <w:tcPr>
            <w:tcW w:type="dxa" w:w="1872"/>
          </w:tcPr>
          <w:p>
            <w:pPr>
              <w:jc w:val="right"/>
            </w:pPr>
            <w:r>
              <w:rPr>
                <w:b/>
              </w:rPr>
            </w:r>
            <w:r>
              <w:rPr>
                <w:b/>
              </w:rPr>
              <w:t>25,96</w:t>
            </w:r>
          </w:p>
        </w:tc>
        <w:tc>
          <w:tcPr>
            <w:tcW w:type="dxa" w:w="2160"/>
          </w:tcPr>
          <w:p>
            <w:pPr>
              <w:jc w:val="right"/>
            </w:pPr>
            <w:r>
              <w:rPr>
                <w:b/>
              </w:rPr>
            </w:r>
            <w:r>
              <w:rPr>
                <w:b/>
              </w:rPr>
              <w:t>—</w:t>
            </w:r>
          </w:p>
        </w:tc>
      </w:tr>
    </w:tbl>
    <w:p/>
    <w:p>
      <w:r>
        <w:rPr>
          <w:b w:val="0"/>
          <w:i w:val="0"/>
        </w:rPr>
        <w:t>El documento suma además 1,00 USD por CloudWatch y transferencia de datos de salida, lo que da el subtotal de 26,96 USD y 32,08 USD con IVA — unos 130.000 COP al mes.</w:t>
      </w:r>
    </w:p>
    <w:p>
      <w:pPr>
        <w:pStyle w:val="Heading2"/>
      </w:pPr>
      <w:r>
        <w:rPr>
          <w:color w:val="1F3864"/>
        </w:rPr>
        <w:t>2.1 Confirmación de la advertencia sobre precios mal etiquetados</w:t>
      </w:r>
    </w:p>
    <w:p>
      <w:r>
        <w:rPr>
          <w:b w:val="0"/>
          <w:i w:val="0"/>
        </w:rPr>
        <w:t>El documento advertía que algunas comparativas publican db.t4g.micro a 0,03 USD/h y que ese es en realidad el precio Multi-AZ. La calculadora lo confirma: Single-AZ son 0,016 USD/h y Multi-AZ son exactamente 0,032 USD/h, el doble. La advertencia del documento es correcta.</w:t>
      </w:r>
    </w:p>
    <w:p>
      <w:r>
        <w:br w:type="page"/>
      </w:r>
    </w:p>
    <w:p>
      <w:pPr>
        <w:pStyle w:val="Heading1"/>
      </w:pPr>
      <w:r>
        <w:rPr>
          <w:color w:val="1F3864"/>
        </w:rPr>
        <w:t>3. ¿El costo depende de cuánto se use la app?</w:t>
      </w:r>
    </w:p>
    <w:p>
      <w:r>
        <w:rPr>
          <w:b w:val="0"/>
          <w:i w:val="0"/>
        </w:rPr>
        <w:t>Pregunta frecuente y necesaria: si la aplicación está disponible 24 horas al día los 7 días de la semana, y los 300 exploradores entran a consultar sus turnos, sanciones y restricciones, y los supervisores descargan el reporte diario y registran novedades, ¿el costo sigue siendo el mismo?</w:t>
      </w:r>
    </w:p>
    <w:p>
      <w:r>
        <w:rPr>
          <w:b/>
          <w:i w:val="0"/>
        </w:rPr>
        <w:t>Sí. Prácticamente todo el costo es por tener la infraestructura encendida, no por el trabajo que atiende.</w:t>
      </w:r>
    </w:p>
    <w:p>
      <w:pPr>
        <w:pStyle w:val="Heading2"/>
      </w:pPr>
      <w:r>
        <w:rPr>
          <w:color w:val="1F3864"/>
        </w:rPr>
        <w:t>3.1 Lo que no cambia con el uso</w:t>
      </w:r>
    </w:p>
    <w:p>
      <w:r>
        <w:rPr>
          <w:b w:val="0"/>
          <w:i w:val="0"/>
        </w:rPr>
        <w:t>Estos componentes se facturan por hora de existencia o por GB aprovisionado. Cuestan exactamente lo mismo con cero usuarios que con los 300 usándola intensamente todo el día:</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tcPr>
          <w:p>
            <w:r/>
            <w:r>
              <w:rPr>
                <w:b/>
              </w:rPr>
              <w:t>Componente</w:t>
            </w:r>
          </w:p>
        </w:tc>
        <w:tc>
          <w:tcPr>
            <w:tcW w:type="dxa" w:w="3456"/>
          </w:tcPr>
          <w:p>
            <w:r/>
            <w:r>
              <w:rPr>
                <w:b/>
              </w:rPr>
              <w:t>Cómo se factura</w:t>
            </w:r>
          </w:p>
        </w:tc>
        <w:tc>
          <w:tcPr>
            <w:tcW w:type="dxa" w:w="1728"/>
          </w:tcPr>
          <w:p>
            <w:r/>
            <w:r>
              <w:rPr>
                <w:b/>
              </w:rPr>
              <w:t>USD/mes</w:t>
            </w:r>
          </w:p>
        </w:tc>
      </w:tr>
      <w:tr>
        <w:tc>
          <w:tcPr>
            <w:tcW w:type="dxa" w:w="3456"/>
          </w:tcPr>
          <w:p>
            <w:r/>
            <w:r>
              <w:t>EC2 t4g.micro</w:t>
            </w:r>
          </w:p>
        </w:tc>
        <w:tc>
          <w:tcPr>
            <w:tcW w:type="dxa" w:w="3456"/>
          </w:tcPr>
          <w:p>
            <w:pPr>
              <w:jc w:val="right"/>
            </w:pPr>
            <w:r/>
            <w:r>
              <w:t>por hora encendida</w:t>
            </w:r>
          </w:p>
        </w:tc>
        <w:tc>
          <w:tcPr>
            <w:tcW w:type="dxa" w:w="1728"/>
          </w:tcPr>
          <w:p>
            <w:pPr>
              <w:jc w:val="right"/>
            </w:pPr>
            <w:r/>
            <w:r>
              <w:t>6,13</w:t>
            </w:r>
          </w:p>
        </w:tc>
      </w:tr>
      <w:tr>
        <w:tc>
          <w:tcPr>
            <w:tcW w:type="dxa" w:w="3456"/>
          </w:tcPr>
          <w:p>
            <w:r/>
            <w:r>
              <w:t>Disco de la EC2</w:t>
            </w:r>
          </w:p>
        </w:tc>
        <w:tc>
          <w:tcPr>
            <w:tcW w:type="dxa" w:w="3456"/>
          </w:tcPr>
          <w:p>
            <w:pPr>
              <w:jc w:val="right"/>
            </w:pPr>
            <w:r/>
            <w:r>
              <w:t>por GB aprovisionado</w:t>
            </w:r>
          </w:p>
        </w:tc>
        <w:tc>
          <w:tcPr>
            <w:tcW w:type="dxa" w:w="1728"/>
          </w:tcPr>
          <w:p>
            <w:pPr>
              <w:jc w:val="right"/>
            </w:pPr>
            <w:r/>
            <w:r>
              <w:t>1,60</w:t>
            </w:r>
          </w:p>
        </w:tc>
      </w:tr>
      <w:tr>
        <w:tc>
          <w:tcPr>
            <w:tcW w:type="dxa" w:w="3456"/>
          </w:tcPr>
          <w:p>
            <w:r/>
            <w:r>
              <w:t>RDS db.t4g.micro</w:t>
            </w:r>
          </w:p>
        </w:tc>
        <w:tc>
          <w:tcPr>
            <w:tcW w:type="dxa" w:w="3456"/>
          </w:tcPr>
          <w:p>
            <w:pPr>
              <w:jc w:val="right"/>
            </w:pPr>
            <w:r/>
            <w:r>
              <w:t>por hora encendida</w:t>
            </w:r>
          </w:p>
        </w:tc>
        <w:tc>
          <w:tcPr>
            <w:tcW w:type="dxa" w:w="1728"/>
          </w:tcPr>
          <w:p>
            <w:pPr>
              <w:jc w:val="right"/>
            </w:pPr>
            <w:r/>
            <w:r>
              <w:t>11,68</w:t>
            </w:r>
          </w:p>
        </w:tc>
      </w:tr>
      <w:tr>
        <w:tc>
          <w:tcPr>
            <w:tcW w:type="dxa" w:w="3456"/>
          </w:tcPr>
          <w:p>
            <w:r/>
            <w:r>
              <w:t>Disco de RDS</w:t>
            </w:r>
          </w:p>
        </w:tc>
        <w:tc>
          <w:tcPr>
            <w:tcW w:type="dxa" w:w="3456"/>
          </w:tcPr>
          <w:p>
            <w:pPr>
              <w:jc w:val="right"/>
            </w:pPr>
            <w:r/>
            <w:r>
              <w:t>por GB aprovisionado</w:t>
            </w:r>
          </w:p>
        </w:tc>
        <w:tc>
          <w:tcPr>
            <w:tcW w:type="dxa" w:w="1728"/>
          </w:tcPr>
          <w:p>
            <w:pPr>
              <w:jc w:val="right"/>
            </w:pPr>
            <w:r/>
            <w:r>
              <w:t>2,30</w:t>
            </w:r>
          </w:p>
        </w:tc>
      </w:tr>
      <w:tr>
        <w:tc>
          <w:tcPr>
            <w:tcW w:type="dxa" w:w="3456"/>
          </w:tcPr>
          <w:p>
            <w:r/>
            <w:r>
              <w:t>IPv4 pública</w:t>
            </w:r>
          </w:p>
        </w:tc>
        <w:tc>
          <w:tcPr>
            <w:tcW w:type="dxa" w:w="3456"/>
          </w:tcPr>
          <w:p>
            <w:pPr>
              <w:jc w:val="right"/>
            </w:pPr>
            <w:r/>
            <w:r>
              <w:t>por hora asignada</w:t>
            </w:r>
          </w:p>
        </w:tc>
        <w:tc>
          <w:tcPr>
            <w:tcW w:type="dxa" w:w="1728"/>
          </w:tcPr>
          <w:p>
            <w:pPr>
              <w:jc w:val="right"/>
            </w:pPr>
            <w:r/>
            <w:r>
              <w:t>3,65</w:t>
            </w:r>
          </w:p>
        </w:tc>
      </w:tr>
      <w:tr>
        <w:tc>
          <w:tcPr>
            <w:tcW w:type="dxa" w:w="3456"/>
          </w:tcPr>
          <w:p>
            <w:r>
              <w:rPr>
                <w:b/>
              </w:rPr>
            </w:r>
            <w:r>
              <w:rPr>
                <w:b/>
              </w:rPr>
              <w:t>Subtotal fijo</w:t>
            </w:r>
          </w:p>
        </w:tc>
        <w:tc>
          <w:tcPr>
            <w:tcW w:type="dxa" w:w="3456"/>
          </w:tcPr>
          <w:p>
            <w:pPr>
              <w:jc w:val="right"/>
            </w:pPr>
            <w:r>
              <w:rPr>
                <w:b/>
              </w:rPr>
            </w:r>
            <w:r>
              <w:rPr>
                <w:b/>
              </w:rPr>
              <w:t>—</w:t>
            </w:r>
          </w:p>
        </w:tc>
        <w:tc>
          <w:tcPr>
            <w:tcW w:type="dxa" w:w="1728"/>
          </w:tcPr>
          <w:p>
            <w:pPr>
              <w:jc w:val="right"/>
            </w:pPr>
            <w:r>
              <w:rPr>
                <w:b/>
              </w:rPr>
            </w:r>
            <w:r>
              <w:rPr>
                <w:b/>
              </w:rPr>
              <w:t>25,36</w:t>
            </w:r>
          </w:p>
        </w:tc>
      </w:tr>
    </w:tbl>
    <w:p/>
    <w:p>
      <w:r>
        <w:rPr>
          <w:b w:val="0"/>
          <w:i w:val="0"/>
        </w:rPr>
        <w:t>AWS cobra por mantener la instancia disponible las 730 horas del mes, no por peticiones atendidas. Es el modelo opuesto al de un servicio «serverless», donde sí se paga por invocación.</w:t>
      </w:r>
    </w:p>
    <w:p>
      <w:pPr>
        <w:pStyle w:val="Heading2"/>
      </w:pPr>
      <w:r>
        <w:rPr>
          <w:color w:val="1F3864"/>
        </w:rPr>
        <w:t>3.2 Lo que sí varía (y ya está presupuestado)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736"/>
          </w:tcPr>
          <w:p>
            <w:r/>
            <w:r>
              <w:rPr>
                <w:b/>
              </w:rPr>
              <w:t>Concepto</w:t>
            </w:r>
          </w:p>
        </w:tc>
        <w:tc>
          <w:tcPr>
            <w:tcW w:type="dxa" w:w="2736"/>
          </w:tcPr>
          <w:p>
            <w:r/>
            <w:r>
              <w:rPr>
                <w:b/>
              </w:rPr>
              <w:t>Tarifa</w:t>
            </w:r>
          </w:p>
        </w:tc>
        <w:tc>
          <w:tcPr>
            <w:tcW w:type="dxa" w:w="2880"/>
          </w:tcPr>
          <w:p>
            <w:r/>
            <w:r>
              <w:rPr>
                <w:b/>
              </w:rPr>
              <w:t>Uso real del proyecto</w:t>
            </w:r>
          </w:p>
        </w:tc>
        <w:tc>
          <w:tcPr>
            <w:tcW w:type="dxa" w:w="1296"/>
          </w:tcPr>
          <w:p>
            <w:r/>
            <w:r>
              <w:rPr>
                <w:b/>
              </w:rPr>
              <w:t>USD/mes</w:t>
            </w:r>
          </w:p>
        </w:tc>
      </w:tr>
      <w:tr>
        <w:tc>
          <w:tcPr>
            <w:tcW w:type="dxa" w:w="2736"/>
          </w:tcPr>
          <w:p>
            <w:r/>
            <w:r>
              <w:t>Amazon SES</w:t>
            </w:r>
          </w:p>
        </w:tc>
        <w:tc>
          <w:tcPr>
            <w:tcW w:type="dxa" w:w="2736"/>
          </w:tcPr>
          <w:p>
            <w:pPr>
              <w:jc w:val="right"/>
            </w:pPr>
            <w:r/>
            <w:r>
              <w:t>0,10 USD / 1.000 correos</w:t>
            </w:r>
          </w:p>
        </w:tc>
        <w:tc>
          <w:tcPr>
            <w:tcW w:type="dxa" w:w="2880"/>
          </w:tcPr>
          <w:p>
            <w:pPr>
              <w:jc w:val="right"/>
            </w:pPr>
            <w:r/>
            <w:r>
              <w:t>≈ 6.000 correos al mes</w:t>
            </w:r>
          </w:p>
        </w:tc>
        <w:tc>
          <w:tcPr>
            <w:tcW w:type="dxa" w:w="1296"/>
          </w:tcPr>
          <w:p>
            <w:pPr>
              <w:jc w:val="right"/>
            </w:pPr>
            <w:r/>
            <w:r>
              <w:t>0,60</w:t>
            </w:r>
          </w:p>
        </w:tc>
      </w:tr>
      <w:tr>
        <w:tc>
          <w:tcPr>
            <w:tcW w:type="dxa" w:w="2736"/>
          </w:tcPr>
          <w:p>
            <w:r/>
            <w:r>
              <w:t>Transferencia de salida</w:t>
            </w:r>
          </w:p>
        </w:tc>
        <w:tc>
          <w:tcPr>
            <w:tcW w:type="dxa" w:w="2736"/>
          </w:tcPr>
          <w:p>
            <w:pPr>
              <w:jc w:val="right"/>
            </w:pPr>
            <w:r/>
            <w:r>
              <w:t>primeros 100 GB gratis</w:t>
            </w:r>
          </w:p>
        </w:tc>
        <w:tc>
          <w:tcPr>
            <w:tcW w:type="dxa" w:w="2880"/>
          </w:tcPr>
          <w:p>
            <w:pPr>
              <w:jc w:val="right"/>
            </w:pPr>
            <w:r/>
            <w:r>
              <w:t>decenas de GB al mes</w:t>
            </w:r>
          </w:p>
        </w:tc>
        <w:tc>
          <w:tcPr>
            <w:tcW w:type="dxa" w:w="1296"/>
          </w:tcPr>
          <w:p>
            <w:pPr>
              <w:jc w:val="right"/>
            </w:pPr>
            <w:r/>
            <w:r>
              <w:t>≈ 0</w:t>
            </w:r>
          </w:p>
        </w:tc>
      </w:tr>
    </w:tbl>
    <w:p/>
    <w:p>
      <w:r>
        <w:rPr>
          <w:b w:val="0"/>
          <w:i w:val="0"/>
        </w:rPr>
        <w:t>Sobre la transferencia de datos, se revisó qué sale realmente hacia el navegador:</w:t>
      </w:r>
    </w:p>
    <w:p>
      <w:pPr>
        <w:pStyle w:val="ListBullet"/>
      </w:pPr>
      <w:r>
        <w:t>Los archivos estáticos (72 MB de CSS, JavaScript, fuentes e imágenes) se descargan una sola vez y quedan en la caché del navegador. No se vuelven a transferir en cada visita.</w:t>
      </w:r>
    </w:p>
    <w:p>
      <w:pPr>
        <w:pStyle w:val="ListBullet"/>
      </w:pPr>
      <w:r>
        <w:t>Ya cacheados, cada pantalla —Mis Turnos, sanciones, restricciones— mueve solo HTML y JSON, del orden de decenas de kilobytes.</w:t>
      </w:r>
    </w:p>
    <w:p>
      <w:pPr>
        <w:pStyle w:val="ListBullet"/>
      </w:pPr>
      <w:r>
        <w:t>El reporte diario del supervisor (reporte_operacion_&lt;fecha&gt;.xlsx, cinco hojas, generado en turnos/api/views/reportes.py) pesa cientos de kilobytes. Treinta descargas al mes son irrelevantes frente al umbral gratuito.</w:t>
      </w:r>
    </w:p>
    <w:p>
      <w:r>
        <w:rPr>
          <w:b w:val="0"/>
          <w:i w:val="0"/>
        </w:rPr>
        <w:t>Para que SES llegara a importar, el volumen tendría que multiplicarse por dieciséis hasta unos 100.000 correos mensuales, y aun así serían 10 USD.</w:t>
      </w:r>
    </w:p>
    <w:p>
      <w:pPr>
        <w:pStyle w:val="Heading2"/>
      </w:pPr>
      <w:r>
        <w:rPr>
          <w:color w:val="1F3864"/>
        </w:rPr>
        <w:t>3.3 Dónde sí se nota el uso intensivo: en la velocidad, no en la factura</w:t>
      </w:r>
    </w:p>
    <w:p>
      <w:r>
        <w:rPr>
          <w:b w:val="0"/>
          <w:i w:val="0"/>
        </w:rPr>
        <w:t>t4g.micro es una instancia «burstable»: tiene un rendimiento base y acumula créditos de CPU mientras está ociosa. Si el uso sostenido supera ese rendimiento base —por ejemplo, si buena parte del equipo abre el tablero a la misma hora del cambio de turno— los créditos se agotan.</w:t>
      </w:r>
    </w:p>
    <w:p>
      <w:r>
        <w:rPr>
          <w:b/>
          <w:i w:val="0"/>
        </w:rPr>
        <w:t>Aquí es donde importa una decisión ya tomada en el plan: mantener la EC2 en modo «standard», no en «unlimited». En modo standard, al agotarse los créditos la instancia se ralentiza pero no cobra de más. En modo unlimited, que es el valor por defecto de AWS, seguiría rápida facturando el excedente sin techo.</w:t>
      </w:r>
    </w:p>
    <w:p>
      <w:r>
        <w:rPr>
          <w:b w:val="0"/>
          <w:i w:val="0"/>
        </w:rPr>
        <w:t>Consecuencia práctica: con la configuración del plan, el uso intenso se manifiesta como lentitud, nunca como una factura sorpresa. Y si la lentitud aparece, subir a t4g.small es un clic y una decisión deliberada, no un cargo inesperado.</w:t>
      </w:r>
    </w:p>
    <w:p>
      <w:pPr>
        <w:pStyle w:val="Heading2"/>
      </w:pPr>
      <w:r>
        <w:rPr>
          <w:color w:val="1F3864"/>
        </w:rPr>
        <w:t>3.4 La excepción que hay que vigilar</w:t>
      </w:r>
    </w:p>
    <w:p>
      <w:r>
        <w:rPr>
          <w:b w:val="0"/>
          <w:i w:val="0"/>
        </w:rPr>
        <w:t>En RDS el modo unlimited no se puede desactivar. La documentación de AWS es explícita: todas las instancias burstable de RDS están configuradas en Unlimited y no existe un modo standard. Si la base de datos agotara créditos de forma sostenida, AWS cobraría el excedente.</w:t>
      </w:r>
    </w:p>
    <w:p>
      <w:r>
        <w:rPr>
          <w:b w:val="0"/>
          <w:i w:val="0"/>
        </w:rPr>
        <w:t>Con 7,4 MB de base de datos —que cabe entera en memoria, de modo que las lecturas del tablero ni siquiera tocan disco— es improbable. Por eso el plan exige la alarma de CloudWatch sobre CPUSurplusCreditsCharged mayor que cero: es el único aviso de que RDS empezó a cobrar por encima del base.</w:t>
      </w:r>
    </w:p>
    <w:p>
      <w:r>
        <w:rPr>
          <w:b/>
          <w:i w:val="0"/>
        </w:rPr>
        <w:t>En resumen: los 130.000 COP mensuales son un costo fijo, no una estimación de consumo. Lo que el uso real puede mover son céntimos de SES y de transferencia. El riesgo verdadero de tener 300 exploradores activos es de rendimiento, y está acotado por el modo standard más el presupuesto con alerta en 30 USD.</w:t>
      </w:r>
    </w:p>
    <w:p>
      <w:r>
        <w:br w:type="page"/>
      </w:r>
    </w:p>
    <w:p>
      <w:pPr>
        <w:pStyle w:val="Heading1"/>
      </w:pPr>
      <w:r>
        <w:rPr>
          <w:color w:val="1F3864"/>
        </w:rPr>
        <w:t>4. Dos trampas de la propia calculadora de AWS</w:t>
      </w:r>
    </w:p>
    <w:p>
      <w:r>
        <w:rPr>
          <w:b w:val="0"/>
          <w:i w:val="0"/>
        </w:rPr>
        <w:t>Al configurar Amazon RDS en calculator.aws, dos opciones vienen activadas por defecto y ninguna de las dos se usa en este proyecto:</w:t>
      </w:r>
    </w:p>
    <w:tbl>
      <w:tblPr>
        <w:tblStyle w:val="LightGrid-Accent1"/>
        <w:tblW w:type="auto" w:w="0"/>
        <w:jc w:val="center"/>
        <w:tblLook w:firstColumn="1" w:firstRow="1" w:lastColumn="0" w:lastRow="0" w:noHBand="0" w:noVBand="1" w:val="04A0"/>
      </w:tblPr>
      <w:tblGrid>
        <w:gridCol w:w="2880"/>
        <w:gridCol w:w="2880"/>
        <w:gridCol w:w="2880"/>
      </w:tblGrid>
      <w:tr>
        <w:tc>
          <w:tcPr>
            <w:tcW w:type="dxa" w:w="4320"/>
          </w:tcPr>
          <w:p>
            <w:r/>
            <w:r>
              <w:rPr>
                <w:b/>
              </w:rPr>
              <w:t>Opción activada por defecto</w:t>
            </w:r>
          </w:p>
        </w:tc>
        <w:tc>
          <w:tcPr>
            <w:tcW w:type="dxa" w:w="2304"/>
          </w:tcPr>
          <w:p>
            <w:r/>
            <w:r>
              <w:rPr>
                <w:b/>
              </w:rPr>
              <w:t>Costo que añade</w:t>
            </w:r>
          </w:p>
        </w:tc>
        <w:tc>
          <w:tcPr>
            <w:tcW w:type="dxa" w:w="2016"/>
          </w:tcPr>
          <w:p>
            <w:r/>
            <w:r>
              <w:rPr>
                <w:b/>
              </w:rPr>
              <w:t>¿La usa la app?</w:t>
            </w:r>
          </w:p>
        </w:tc>
      </w:tr>
      <w:tr>
        <w:tc>
          <w:tcPr>
            <w:tcW w:type="dxa" w:w="4320"/>
          </w:tcPr>
          <w:p>
            <w:r/>
            <w:r>
              <w:t>RDS Proxy</w:t>
            </w:r>
          </w:p>
        </w:tc>
        <w:tc>
          <w:tcPr>
            <w:tcW w:type="dxa" w:w="2304"/>
          </w:tcPr>
          <w:p>
            <w:pPr>
              <w:jc w:val="right"/>
            </w:pPr>
            <w:r/>
            <w:r>
              <w:t>21,90 USD/mes</w:t>
            </w:r>
          </w:p>
        </w:tc>
        <w:tc>
          <w:tcPr>
            <w:tcW w:type="dxa" w:w="2016"/>
          </w:tcPr>
          <w:p>
            <w:pPr>
              <w:jc w:val="right"/>
            </w:pPr>
            <w:r/>
            <w:r>
              <w:t>No</w:t>
            </w:r>
          </w:p>
        </w:tc>
      </w:tr>
      <w:tr>
        <w:tc>
          <w:tcPr>
            <w:tcW w:type="dxa" w:w="4320"/>
          </w:tcPr>
          <w:p>
            <w:r/>
            <w:r>
              <w:t>CloudWatch Database Insights</w:t>
            </w:r>
          </w:p>
        </w:tc>
        <w:tc>
          <w:tcPr>
            <w:tcW w:type="dxa" w:w="2304"/>
          </w:tcPr>
          <w:p>
            <w:pPr>
              <w:jc w:val="right"/>
            </w:pPr>
            <w:r/>
            <w:r>
              <w:t>10,52 USD/mes</w:t>
            </w:r>
          </w:p>
        </w:tc>
        <w:tc>
          <w:tcPr>
            <w:tcW w:type="dxa" w:w="2016"/>
          </w:tcPr>
          <w:p>
            <w:pPr>
              <w:jc w:val="right"/>
            </w:pPr>
            <w:r/>
            <w:r>
              <w:t>No</w:t>
            </w:r>
          </w:p>
        </w:tc>
      </w:tr>
      <w:tr>
        <w:tc>
          <w:tcPr>
            <w:tcW w:type="dxa" w:w="4320"/>
          </w:tcPr>
          <w:p>
            <w:r>
              <w:rPr>
                <w:b/>
              </w:rPr>
            </w:r>
            <w:r>
              <w:rPr>
                <w:b/>
              </w:rPr>
              <w:t>Sobrecosto total si no se apagan</w:t>
            </w:r>
          </w:p>
        </w:tc>
        <w:tc>
          <w:tcPr>
            <w:tcW w:type="dxa" w:w="2304"/>
          </w:tcPr>
          <w:p>
            <w:pPr>
              <w:jc w:val="right"/>
            </w:pPr>
            <w:r>
              <w:rPr>
                <w:b/>
              </w:rPr>
            </w:r>
            <w:r>
              <w:rPr>
                <w:b/>
              </w:rPr>
              <w:t>32,42 USD/mes</w:t>
            </w:r>
          </w:p>
        </w:tc>
        <w:tc>
          <w:tcPr>
            <w:tcW w:type="dxa" w:w="2016"/>
          </w:tcPr>
          <w:p>
            <w:pPr>
              <w:jc w:val="right"/>
            </w:pPr>
            <w:r>
              <w:rPr>
                <w:b/>
              </w:rPr>
            </w:r>
            <w:r>
              <w:rPr>
                <w:b/>
              </w:rPr>
              <w:t>—</w:t>
            </w:r>
          </w:p>
        </w:tc>
      </w:tr>
    </w:tbl>
    <w:p/>
    <w:p>
      <w:r>
        <w:rPr>
          <w:b/>
          <w:i w:val="0"/>
        </w:rPr>
        <w:t>Quien reproduzca la estimación sin apagar esos dos interruptores obtiene una factura de RDS más de tres veces mayor que la real, y concluye que el presupuesto está mal calculado. Es la explicación más probable de las cifras infladas que circulan.</w:t>
      </w:r>
    </w:p>
    <w:p>
      <w:r>
        <w:rPr>
          <w:b w:val="0"/>
          <w:i/>
        </w:rPr>
        <w:t>Recomendación operativa: cualquier estimación de RDS que se comparta debe indicar explícitamente que RDS Proxy y Database Insights están en «No».</w:t>
      </w:r>
    </w:p>
    <w:p>
      <w:r>
        <w:br w:type="page"/>
      </w:r>
    </w:p>
    <w:p>
      <w:pPr>
        <w:pStyle w:val="Heading1"/>
      </w:pPr>
      <w:r>
        <w:rPr>
          <w:color w:val="1F3864"/>
        </w:rPr>
        <w:t>5. Desglose de la arquitectura genérica Well-Architected</w:t>
      </w:r>
    </w:p>
    <w:p>
      <w:r>
        <w:rPr>
          <w:b w:val="0"/>
          <w:i w:val="0"/>
        </w:rPr>
        <w:t>Estos son los componentes que recomienda la guía genérica y lo que cuesta cada uno a la escala real del proyecto. Los importes marcados como verificados se midieron en calculator.aws durante esta auditoría.</w:t>
      </w:r>
    </w:p>
    <w:tbl>
      <w:tblPr>
        <w:tblStyle w:val="LightGrid-Accent1"/>
        <w:tblW w:type="auto" w:w="0"/>
        <w:jc w:val="center"/>
        <w:tblLook w:firstColumn="1" w:firstRow="1" w:lastColumn="0" w:lastRow="0" w:noHBand="0" w:noVBand="1" w:val="04A0"/>
      </w:tblPr>
      <w:tblGrid>
        <w:gridCol w:w="2880"/>
        <w:gridCol w:w="2880"/>
        <w:gridCol w:w="2880"/>
      </w:tblGrid>
      <w:tr>
        <w:tc>
          <w:tcPr>
            <w:tcW w:type="dxa" w:w="4896"/>
          </w:tcPr>
          <w:p>
            <w:r/>
            <w:r>
              <w:rPr>
                <w:b/>
              </w:rPr>
              <w:t>Componente</w:t>
            </w:r>
          </w:p>
        </w:tc>
        <w:tc>
          <w:tcPr>
            <w:tcW w:type="dxa" w:w="1584"/>
          </w:tcPr>
          <w:p>
            <w:r/>
            <w:r>
              <w:rPr>
                <w:b/>
              </w:rPr>
              <w:t>USD/mes</w:t>
            </w:r>
          </w:p>
        </w:tc>
        <w:tc>
          <w:tcPr>
            <w:tcW w:type="dxa" w:w="2160"/>
          </w:tcPr>
          <w:p>
            <w:r/>
            <w:r>
              <w:rPr>
                <w:b/>
              </w:rPr>
              <w:t>Origen</w:t>
            </w:r>
          </w:p>
        </w:tc>
      </w:tr>
      <w:tr>
        <w:tc>
          <w:tcPr>
            <w:tcW w:type="dxa" w:w="4896"/>
          </w:tcPr>
          <w:p>
            <w:r/>
            <w:r>
              <w:t>EC2 t4g.micro × 2 (Auto Scaling, mínimo 2)</w:t>
            </w:r>
          </w:p>
        </w:tc>
        <w:tc>
          <w:tcPr>
            <w:tcW w:type="dxa" w:w="1584"/>
          </w:tcPr>
          <w:p>
            <w:pPr>
              <w:jc w:val="right"/>
            </w:pPr>
            <w:r/>
            <w:r>
              <w:t>12,26</w:t>
            </w:r>
          </w:p>
        </w:tc>
        <w:tc>
          <w:tcPr>
            <w:tcW w:type="dxa" w:w="2160"/>
          </w:tcPr>
          <w:p>
            <w:pPr>
              <w:jc w:val="right"/>
            </w:pPr>
            <w:r/>
            <w:r>
              <w:t>Verificado</w:t>
            </w:r>
          </w:p>
        </w:tc>
      </w:tr>
      <w:tr>
        <w:tc>
          <w:tcPr>
            <w:tcW w:type="dxa" w:w="4896"/>
          </w:tcPr>
          <w:p>
            <w:r/>
            <w:r>
              <w:t>EBS gp3 20 GB × 2</w:t>
            </w:r>
          </w:p>
        </w:tc>
        <w:tc>
          <w:tcPr>
            <w:tcW w:type="dxa" w:w="1584"/>
          </w:tcPr>
          <w:p>
            <w:pPr>
              <w:jc w:val="right"/>
            </w:pPr>
            <w:r/>
            <w:r>
              <w:t>3,20</w:t>
            </w:r>
          </w:p>
        </w:tc>
        <w:tc>
          <w:tcPr>
            <w:tcW w:type="dxa" w:w="2160"/>
          </w:tcPr>
          <w:p>
            <w:pPr>
              <w:jc w:val="right"/>
            </w:pPr>
            <w:r/>
            <w:r>
              <w:t>Verificado</w:t>
            </w:r>
          </w:p>
        </w:tc>
      </w:tr>
      <w:tr>
        <w:tc>
          <w:tcPr>
            <w:tcW w:type="dxa" w:w="4896"/>
          </w:tcPr>
          <w:p>
            <w:r/>
            <w:r>
              <w:t>Application Load Balancer</w:t>
            </w:r>
          </w:p>
        </w:tc>
        <w:tc>
          <w:tcPr>
            <w:tcW w:type="dxa" w:w="1584"/>
          </w:tcPr>
          <w:p>
            <w:pPr>
              <w:jc w:val="right"/>
            </w:pPr>
            <w:r/>
            <w:r>
              <w:t>16,66</w:t>
            </w:r>
          </w:p>
        </w:tc>
        <w:tc>
          <w:tcPr>
            <w:tcW w:type="dxa" w:w="2160"/>
          </w:tcPr>
          <w:p>
            <w:pPr>
              <w:jc w:val="right"/>
            </w:pPr>
            <w:r/>
            <w:r>
              <w:t>Verificado</w:t>
            </w:r>
          </w:p>
        </w:tc>
      </w:tr>
      <w:tr>
        <w:tc>
          <w:tcPr>
            <w:tcW w:type="dxa" w:w="4896"/>
          </w:tcPr>
          <w:p>
            <w:r/>
            <w:r>
              <w:t>NAT Gateway (EC2 en subred privada)</w:t>
            </w:r>
          </w:p>
        </w:tc>
        <w:tc>
          <w:tcPr>
            <w:tcW w:type="dxa" w:w="1584"/>
          </w:tcPr>
          <w:p>
            <w:pPr>
              <w:jc w:val="right"/>
            </w:pPr>
            <w:r/>
            <w:r>
              <w:t>33,30</w:t>
            </w:r>
          </w:p>
        </w:tc>
        <w:tc>
          <w:tcPr>
            <w:tcW w:type="dxa" w:w="2160"/>
          </w:tcPr>
          <w:p>
            <w:pPr>
              <w:jc w:val="right"/>
            </w:pPr>
            <w:r/>
            <w:r>
              <w:t>Verificado</w:t>
            </w:r>
          </w:p>
        </w:tc>
      </w:tr>
      <w:tr>
        <w:tc>
          <w:tcPr>
            <w:tcW w:type="dxa" w:w="4896"/>
          </w:tcPr>
          <w:p>
            <w:r/>
            <w:r>
              <w:t>RDS db.t4g.micro Multi-AZ</w:t>
            </w:r>
          </w:p>
        </w:tc>
        <w:tc>
          <w:tcPr>
            <w:tcW w:type="dxa" w:w="1584"/>
          </w:tcPr>
          <w:p>
            <w:pPr>
              <w:jc w:val="right"/>
            </w:pPr>
            <w:r/>
            <w:r>
              <w:t>23,36</w:t>
            </w:r>
          </w:p>
        </w:tc>
        <w:tc>
          <w:tcPr>
            <w:tcW w:type="dxa" w:w="2160"/>
          </w:tcPr>
          <w:p>
            <w:pPr>
              <w:jc w:val="right"/>
            </w:pPr>
            <w:r/>
            <w:r>
              <w:t>Verificado</w:t>
            </w:r>
          </w:p>
        </w:tc>
      </w:tr>
      <w:tr>
        <w:tc>
          <w:tcPr>
            <w:tcW w:type="dxa" w:w="4896"/>
          </w:tcPr>
          <w:p>
            <w:r/>
            <w:r>
              <w:t>Almacenamiento RDS 20 GB Multi-AZ</w:t>
            </w:r>
          </w:p>
        </w:tc>
        <w:tc>
          <w:tcPr>
            <w:tcW w:type="dxa" w:w="1584"/>
          </w:tcPr>
          <w:p>
            <w:pPr>
              <w:jc w:val="right"/>
            </w:pPr>
            <w:r/>
            <w:r>
              <w:t>4,60</w:t>
            </w:r>
          </w:p>
        </w:tc>
        <w:tc>
          <w:tcPr>
            <w:tcW w:type="dxa" w:w="2160"/>
          </w:tcPr>
          <w:p>
            <w:pPr>
              <w:jc w:val="right"/>
            </w:pPr>
            <w:r/>
            <w:r>
              <w:t>Verificado</w:t>
            </w:r>
          </w:p>
        </w:tc>
      </w:tr>
      <w:tr>
        <w:tc>
          <w:tcPr>
            <w:tcW w:type="dxa" w:w="4896"/>
          </w:tcPr>
          <w:p>
            <w:r/>
            <w:r>
              <w:t>ElastiCache cache.t4g.micro (Redis)</w:t>
            </w:r>
          </w:p>
        </w:tc>
        <w:tc>
          <w:tcPr>
            <w:tcW w:type="dxa" w:w="1584"/>
          </w:tcPr>
          <w:p>
            <w:pPr>
              <w:jc w:val="right"/>
            </w:pPr>
            <w:r/>
            <w:r>
              <w:t>11,68</w:t>
            </w:r>
          </w:p>
        </w:tc>
        <w:tc>
          <w:tcPr>
            <w:tcW w:type="dxa" w:w="2160"/>
          </w:tcPr>
          <w:p>
            <w:pPr>
              <w:jc w:val="right"/>
            </w:pPr>
            <w:r/>
            <w:r>
              <w:t>Verificado</w:t>
            </w:r>
          </w:p>
        </w:tc>
      </w:tr>
      <w:tr>
        <w:tc>
          <w:tcPr>
            <w:tcW w:type="dxa" w:w="4896"/>
          </w:tcPr>
          <w:p>
            <w:r/>
            <w:r>
              <w:t>IPv4 pública para el NAT Gateway</w:t>
            </w:r>
          </w:p>
        </w:tc>
        <w:tc>
          <w:tcPr>
            <w:tcW w:type="dxa" w:w="1584"/>
          </w:tcPr>
          <w:p>
            <w:pPr>
              <w:jc w:val="right"/>
            </w:pPr>
            <w:r/>
            <w:r>
              <w:t>3,65</w:t>
            </w:r>
          </w:p>
        </w:tc>
        <w:tc>
          <w:tcPr>
            <w:tcW w:type="dxa" w:w="2160"/>
          </w:tcPr>
          <w:p>
            <w:pPr>
              <w:jc w:val="right"/>
            </w:pPr>
            <w:r/>
            <w:r>
              <w:t>Verificado</w:t>
            </w:r>
          </w:p>
        </w:tc>
      </w:tr>
      <w:tr>
        <w:tc>
          <w:tcPr>
            <w:tcW w:type="dxa" w:w="4896"/>
          </w:tcPr>
          <w:p>
            <w:r/>
            <w:r>
              <w:t>Amazon SES</w:t>
            </w:r>
          </w:p>
        </w:tc>
        <w:tc>
          <w:tcPr>
            <w:tcW w:type="dxa" w:w="1584"/>
          </w:tcPr>
          <w:p>
            <w:pPr>
              <w:jc w:val="right"/>
            </w:pPr>
            <w:r/>
            <w:r>
              <w:t>0,60</w:t>
            </w:r>
          </w:p>
        </w:tc>
        <w:tc>
          <w:tcPr>
            <w:tcW w:type="dxa" w:w="2160"/>
          </w:tcPr>
          <w:p>
            <w:pPr>
              <w:jc w:val="right"/>
            </w:pPr>
            <w:r/>
            <w:r>
              <w:t>Verificado</w:t>
            </w:r>
          </w:p>
        </w:tc>
      </w:tr>
      <w:tr>
        <w:tc>
          <w:tcPr>
            <w:tcW w:type="dxa" w:w="4896"/>
          </w:tcPr>
          <w:p>
            <w:r/>
            <w:r>
              <w:t>S3 + CloudFront para estáticos</w:t>
            </w:r>
          </w:p>
        </w:tc>
        <w:tc>
          <w:tcPr>
            <w:tcW w:type="dxa" w:w="1584"/>
          </w:tcPr>
          <w:p>
            <w:pPr>
              <w:jc w:val="right"/>
            </w:pPr>
            <w:r/>
            <w:r>
              <w:t>1,00</w:t>
            </w:r>
          </w:p>
        </w:tc>
        <w:tc>
          <w:tcPr>
            <w:tcW w:type="dxa" w:w="2160"/>
          </w:tcPr>
          <w:p>
            <w:pPr>
              <w:jc w:val="right"/>
            </w:pPr>
            <w:r/>
            <w:r>
              <w:t>Estimado</w:t>
            </w:r>
          </w:p>
        </w:tc>
      </w:tr>
      <w:tr>
        <w:tc>
          <w:tcPr>
            <w:tcW w:type="dxa" w:w="4896"/>
          </w:tcPr>
          <w:p>
            <w:r/>
            <w:r>
              <w:t>CodePipeline / CodeBuild</w:t>
            </w:r>
          </w:p>
        </w:tc>
        <w:tc>
          <w:tcPr>
            <w:tcW w:type="dxa" w:w="1584"/>
          </w:tcPr>
          <w:p>
            <w:pPr>
              <w:jc w:val="right"/>
            </w:pPr>
            <w:r/>
            <w:r>
              <w:t>1,00</w:t>
            </w:r>
          </w:p>
        </w:tc>
        <w:tc>
          <w:tcPr>
            <w:tcW w:type="dxa" w:w="2160"/>
          </w:tcPr>
          <w:p>
            <w:pPr>
              <w:jc w:val="right"/>
            </w:pPr>
            <w:r/>
            <w:r>
              <w:t>Estimado</w:t>
            </w:r>
          </w:p>
        </w:tc>
      </w:tr>
      <w:tr>
        <w:tc>
          <w:tcPr>
            <w:tcW w:type="dxa" w:w="4896"/>
          </w:tcPr>
          <w:p>
            <w:r/>
            <w:r>
              <w:t>CloudWatch y transferencia de salida</w:t>
            </w:r>
          </w:p>
        </w:tc>
        <w:tc>
          <w:tcPr>
            <w:tcW w:type="dxa" w:w="1584"/>
          </w:tcPr>
          <w:p>
            <w:pPr>
              <w:jc w:val="right"/>
            </w:pPr>
            <w:r/>
            <w:r>
              <w:t>1,00</w:t>
            </w:r>
          </w:p>
        </w:tc>
        <w:tc>
          <w:tcPr>
            <w:tcW w:type="dxa" w:w="2160"/>
          </w:tcPr>
          <w:p>
            <w:pPr>
              <w:jc w:val="right"/>
            </w:pPr>
            <w:r/>
            <w:r>
              <w:t>Estimado</w:t>
            </w:r>
          </w:p>
        </w:tc>
      </w:tr>
      <w:tr>
        <w:tc>
          <w:tcPr>
            <w:tcW w:type="dxa" w:w="4896"/>
          </w:tcPr>
          <w:p>
            <w:r>
              <w:rPr>
                <w:b/>
              </w:rPr>
            </w:r>
            <w:r>
              <w:rPr>
                <w:b/>
              </w:rPr>
              <w:t>Total</w:t>
            </w:r>
          </w:p>
        </w:tc>
        <w:tc>
          <w:tcPr>
            <w:tcW w:type="dxa" w:w="1584"/>
          </w:tcPr>
          <w:p>
            <w:pPr>
              <w:jc w:val="right"/>
            </w:pPr>
            <w:r>
              <w:rPr>
                <w:b/>
              </w:rPr>
            </w:r>
            <w:r>
              <w:rPr>
                <w:b/>
              </w:rPr>
              <w:t>112,31</w:t>
            </w:r>
          </w:p>
        </w:tc>
        <w:tc>
          <w:tcPr>
            <w:tcW w:type="dxa" w:w="2160"/>
          </w:tcPr>
          <w:p>
            <w:pPr>
              <w:jc w:val="right"/>
            </w:pPr>
            <w:r>
              <w:rPr>
                <w:b/>
              </w:rPr>
            </w:r>
            <w:r>
              <w:rPr>
                <w:b/>
              </w:rPr>
              <w:t>—</w:t>
            </w:r>
          </w:p>
        </w:tc>
      </w:tr>
    </w:tbl>
    <w:p/>
    <w:p>
      <w:r>
        <w:rPr>
          <w:b/>
          <w:i w:val="0"/>
        </w:rPr>
        <w:t>Con IVA del 19 %: 133,65 USD/mes, unos 541.000 COP. El presupuesto del proyecto es de 150.000 COP/mes.</w:t>
      </w:r>
    </w:p>
    <w:p>
      <w:pPr>
        <w:pStyle w:val="Heading2"/>
      </w:pPr>
      <w:r>
        <w:rPr>
          <w:color w:val="1F3864"/>
        </w:rPr>
        <w:t>5.1 Nota sobre ElastiCache</w:t>
      </w:r>
    </w:p>
    <w:p>
      <w:r>
        <w:rPr>
          <w:b w:val="0"/>
          <w:i w:val="0"/>
        </w:rPr>
        <w:t>El precio de ElastiCache no se pudo obtener desde calculator.aws: el formulario bloquea el selector de tipo de nodo al filtrar por nombre. Se verificó contra la AWS Price List Bulk API, el catálogo oficial que alimenta a la propia calculadora (catálogo 20260903183902, publicado el 3 de septiembre de 2026).</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304"/>
          </w:tcPr>
          <w:p>
            <w:r/>
            <w:r>
              <w:rPr>
                <w:b/>
              </w:rPr>
              <w:t>Motor</w:t>
            </w:r>
          </w:p>
        </w:tc>
        <w:tc>
          <w:tcPr>
            <w:tcW w:type="dxa" w:w="1728"/>
          </w:tcPr>
          <w:p>
            <w:r/>
            <w:r>
              <w:rPr>
                <w:b/>
              </w:rPr>
              <w:t>Memoria</w:t>
            </w:r>
          </w:p>
        </w:tc>
        <w:tc>
          <w:tcPr>
            <w:tcW w:type="dxa" w:w="1152"/>
          </w:tcPr>
          <w:p>
            <w:r/>
            <w:r>
              <w:rPr>
                <w:b/>
              </w:rPr>
              <w:t>vCPU</w:t>
            </w:r>
          </w:p>
        </w:tc>
        <w:tc>
          <w:tcPr>
            <w:tcW w:type="dxa" w:w="1728"/>
          </w:tcPr>
          <w:p>
            <w:r/>
            <w:r>
              <w:rPr>
                <w:b/>
              </w:rPr>
              <w:t>USD/hora</w:t>
            </w:r>
          </w:p>
        </w:tc>
        <w:tc>
          <w:tcPr>
            <w:tcW w:type="dxa" w:w="1728"/>
          </w:tcPr>
          <w:p>
            <w:r/>
            <w:r>
              <w:rPr>
                <w:b/>
              </w:rPr>
              <w:t>USD/mes</w:t>
            </w:r>
          </w:p>
        </w:tc>
      </w:tr>
      <w:tr>
        <w:tc>
          <w:tcPr>
            <w:tcW w:type="dxa" w:w="2304"/>
          </w:tcPr>
          <w:p>
            <w:r/>
            <w:r>
              <w:t>Redis</w:t>
            </w:r>
          </w:p>
        </w:tc>
        <w:tc>
          <w:tcPr>
            <w:tcW w:type="dxa" w:w="1728"/>
          </w:tcPr>
          <w:p>
            <w:pPr>
              <w:jc w:val="right"/>
            </w:pPr>
            <w:r/>
            <w:r>
              <w:t>0,5 GiB</w:t>
            </w:r>
          </w:p>
        </w:tc>
        <w:tc>
          <w:tcPr>
            <w:tcW w:type="dxa" w:w="1152"/>
          </w:tcPr>
          <w:p>
            <w:pPr>
              <w:jc w:val="right"/>
            </w:pPr>
            <w:r/>
            <w:r>
              <w:t>2</w:t>
            </w:r>
          </w:p>
        </w:tc>
        <w:tc>
          <w:tcPr>
            <w:tcW w:type="dxa" w:w="1728"/>
          </w:tcPr>
          <w:p>
            <w:pPr>
              <w:jc w:val="right"/>
            </w:pPr>
            <w:r/>
            <w:r>
              <w:t>0,0160</w:t>
            </w:r>
          </w:p>
        </w:tc>
        <w:tc>
          <w:tcPr>
            <w:tcW w:type="dxa" w:w="1728"/>
          </w:tcPr>
          <w:p>
            <w:pPr>
              <w:jc w:val="right"/>
            </w:pPr>
            <w:r/>
            <w:r>
              <w:t>11,68</w:t>
            </w:r>
          </w:p>
        </w:tc>
      </w:tr>
      <w:tr>
        <w:tc>
          <w:tcPr>
            <w:tcW w:type="dxa" w:w="2304"/>
          </w:tcPr>
          <w:p>
            <w:r/>
            <w:r>
              <w:t>Memcached</w:t>
            </w:r>
          </w:p>
        </w:tc>
        <w:tc>
          <w:tcPr>
            <w:tcW w:type="dxa" w:w="1728"/>
          </w:tcPr>
          <w:p>
            <w:pPr>
              <w:jc w:val="right"/>
            </w:pPr>
            <w:r/>
            <w:r>
              <w:t>0,5 GiB</w:t>
            </w:r>
          </w:p>
        </w:tc>
        <w:tc>
          <w:tcPr>
            <w:tcW w:type="dxa" w:w="1152"/>
          </w:tcPr>
          <w:p>
            <w:pPr>
              <w:jc w:val="right"/>
            </w:pPr>
            <w:r/>
            <w:r>
              <w:t>2</w:t>
            </w:r>
          </w:p>
        </w:tc>
        <w:tc>
          <w:tcPr>
            <w:tcW w:type="dxa" w:w="1728"/>
          </w:tcPr>
          <w:p>
            <w:pPr>
              <w:jc w:val="right"/>
            </w:pPr>
            <w:r/>
            <w:r>
              <w:t>0,0160</w:t>
            </w:r>
          </w:p>
        </w:tc>
        <w:tc>
          <w:tcPr>
            <w:tcW w:type="dxa" w:w="1728"/>
          </w:tcPr>
          <w:p>
            <w:pPr>
              <w:jc w:val="right"/>
            </w:pPr>
            <w:r/>
            <w:r>
              <w:t>11,68</w:t>
            </w:r>
          </w:p>
        </w:tc>
      </w:tr>
      <w:tr>
        <w:tc>
          <w:tcPr>
            <w:tcW w:type="dxa" w:w="2304"/>
          </w:tcPr>
          <w:p>
            <w:r/>
            <w:r>
              <w:t>Valkey</w:t>
            </w:r>
          </w:p>
        </w:tc>
        <w:tc>
          <w:tcPr>
            <w:tcW w:type="dxa" w:w="1728"/>
          </w:tcPr>
          <w:p>
            <w:pPr>
              <w:jc w:val="right"/>
            </w:pPr>
            <w:r/>
            <w:r>
              <w:t>0,5 GiB</w:t>
            </w:r>
          </w:p>
        </w:tc>
        <w:tc>
          <w:tcPr>
            <w:tcW w:type="dxa" w:w="1152"/>
          </w:tcPr>
          <w:p>
            <w:pPr>
              <w:jc w:val="right"/>
            </w:pPr>
            <w:r/>
            <w:r>
              <w:t>2</w:t>
            </w:r>
          </w:p>
        </w:tc>
        <w:tc>
          <w:tcPr>
            <w:tcW w:type="dxa" w:w="1728"/>
          </w:tcPr>
          <w:p>
            <w:pPr>
              <w:jc w:val="right"/>
            </w:pPr>
            <w:r/>
            <w:r>
              <w:t>0,0128</w:t>
            </w:r>
          </w:p>
        </w:tc>
        <w:tc>
          <w:tcPr>
            <w:tcW w:type="dxa" w:w="1728"/>
          </w:tcPr>
          <w:p>
            <w:pPr>
              <w:jc w:val="right"/>
            </w:pPr>
            <w:r/>
            <w:r>
              <w:t>9,34</w:t>
            </w:r>
          </w:p>
        </w:tc>
      </w:tr>
    </w:tbl>
    <w:p/>
    <w:p>
      <w:r>
        <w:rPr>
          <w:b w:val="0"/>
          <w:i w:val="0"/>
        </w:rPr>
        <w:t>Dos observaciones que salieron de esa consulta:</w:t>
      </w:r>
    </w:p>
    <w:p>
      <w:pPr>
        <w:pStyle w:val="ListBullet"/>
      </w:pPr>
      <w:r>
        <w:t>cache.t4g.micro comparte tarifa exacta con db.t4g.micro: 0,016 USD/hora. No es coincidencia, es la misma clase de instancia burstable.</w:t>
      </w:r>
    </w:p>
    <w:p>
      <w:pPr>
        <w:pStyle w:val="ListBullet"/>
      </w:pPr>
      <w:r>
        <w:t>Valkey cuesta un 20 % menos que Redis con el mismo hardware (9,34 frente a 11,68 USD/mes). Si algún día entra ElastiCache en la arquitectura, Valkey es el motor por defecto correcto.</w:t>
      </w:r>
    </w:p>
    <w:p>
      <w:pPr>
        <w:pStyle w:val="ListBullet"/>
      </w:pPr>
      <w:r>
        <w:t>El catálogo también lista entradas de «ExtendedSupport» a 0,0130 y 0,0260 USD/hora. No son un precio de nodo más barato: son el recargo por permanecer en una versión de Redis fuera de soporte, y se SUMAN a la tarifa del nodo.</w:t>
      </w:r>
    </w:p>
    <w:p>
      <w:pPr>
        <w:pStyle w:val="Heading2"/>
      </w:pPr>
      <w:r>
        <w:rPr>
          <w:color w:val="1F3864"/>
        </w:rPr>
        <w:t>5.2 De dónde sale realmente el sobrecosto</w:t>
      </w:r>
    </w:p>
    <w:p>
      <w:r>
        <w:rPr>
          <w:b w:val="0"/>
          <w:i w:val="0"/>
        </w:rPr>
        <w:t>Tres decisiones concentran el 74 % de la diferencia, y ninguna aporta valor a la escala actual:</w:t>
      </w:r>
    </w:p>
    <w:p>
      <w:pPr>
        <w:pStyle w:val="ListBullet"/>
      </w:pPr>
      <w:r>
        <w:t>NAT Gateway (33,30 USD/mes) — solo existe porque esa arquitectura mete la EC2 en una subred privada. Manteniendo la instancia en subred pública con un grupo de seguridad restrictivo, el gasto desaparece por completo.</w:t>
      </w:r>
    </w:p>
    <w:p>
      <w:pPr>
        <w:pStyle w:val="ListBullet"/>
      </w:pPr>
      <w:r>
        <w:t>Application Load Balancer (16,66 USD/mes) — un balanceador con una sola instancia detrás no balancea nada. Solo tiene sentido a partir de dos instancias web.</w:t>
      </w:r>
    </w:p>
    <w:p>
      <w:pPr>
        <w:pStyle w:val="ListBullet"/>
      </w:pPr>
      <w:r>
        <w:t>RDS Multi-AZ (+11,68 USD/mes sobre Single-AZ) — da conmutación automática por error. Es una mejora real de disponibilidad, pero es una decisión de negocio que hoy no cabe en el presupuesto.</w:t>
      </w:r>
    </w:p>
    <w:p>
      <w:r>
        <w:br w:type="page"/>
      </w:r>
    </w:p>
    <w:p>
      <w:pPr>
        <w:pStyle w:val="Heading1"/>
      </w:pPr>
      <w:r>
        <w:rPr>
          <w:color w:val="1F3864"/>
        </w:rPr>
        <w:t>6. Auditoría del código: por qué el dimensionamiento es correcto</w:t>
      </w:r>
    </w:p>
    <w:p>
      <w:r>
        <w:rPr>
          <w:b w:val="0"/>
          <w:i w:val="0"/>
        </w:rPr>
        <w:t>Se revisó el código de la aplicación para comprobar que no existe ninguna pieza que justifique los servicios adicionales de la arquitectura genérica.</w:t>
      </w:r>
    </w:p>
    <w:tbl>
      <w:tblPr>
        <w:tblStyle w:val="LightGrid-Accent1"/>
        <w:tblW w:type="auto" w:w="0"/>
        <w:jc w:val="center"/>
        <w:tblLook w:firstColumn="1" w:firstRow="1" w:lastColumn="0" w:lastRow="0" w:noHBand="0" w:noVBand="1" w:val="04A0"/>
      </w:tblPr>
      <w:tblGrid>
        <w:gridCol w:w="4320"/>
        <w:gridCol w:w="4320"/>
      </w:tblGrid>
      <w:tr>
        <w:tc>
          <w:tcPr>
            <w:tcW w:type="dxa" w:w="3312"/>
          </w:tcPr>
          <w:p>
            <w:r/>
            <w:r>
              <w:rPr>
                <w:b/>
              </w:rPr>
              <w:t>Servicio que se evita</w:t>
            </w:r>
          </w:p>
        </w:tc>
        <w:tc>
          <w:tcPr>
            <w:tcW w:type="dxa" w:w="6048"/>
          </w:tcPr>
          <w:p>
            <w:r/>
            <w:r>
              <w:rPr>
                <w:b/>
              </w:rPr>
              <w:t>Evidencia en el código</w:t>
            </w:r>
          </w:p>
        </w:tc>
      </w:tr>
      <w:tr>
        <w:tc>
          <w:tcPr>
            <w:tcW w:type="dxa" w:w="3312"/>
          </w:tcPr>
          <w:p>
            <w:r/>
            <w:r>
              <w:t>Cola de tareas (Celery, SQS, Lambda)</w:t>
            </w:r>
          </w:p>
        </w:tc>
        <w:tc>
          <w:tcPr>
            <w:tcW w:type="dxa" w:w="6048"/>
          </w:tcPr>
          <w:p>
            <w:pPr>
              <w:jc w:val="right"/>
            </w:pPr>
            <w:r/>
            <w:r>
              <w:t>Los 23 comandos de mantenimiento se ejecutan por cron en la propia EC2.</w:t>
            </w:r>
          </w:p>
        </w:tc>
      </w:tr>
      <w:tr>
        <w:tc>
          <w:tcPr>
            <w:tcW w:type="dxa" w:w="3312"/>
          </w:tcPr>
          <w:p>
            <w:r/>
            <w:r>
              <w:t>ElastiCache / Redis</w:t>
            </w:r>
          </w:p>
        </w:tc>
        <w:tc>
          <w:tcPr>
            <w:tcW w:type="dxa" w:w="6048"/>
          </w:tcPr>
          <w:p>
            <w:pPr>
              <w:jc w:val="right"/>
            </w:pPr>
            <w:r/>
            <w:r>
              <w:t>config/settings.py líneas 307-338 contempla Redis y lo descarta explícitamente; la caché es local o en base de datos.</w:t>
            </w:r>
          </w:p>
        </w:tc>
      </w:tr>
      <w:tr>
        <w:tc>
          <w:tcPr>
            <w:tcW w:type="dxa" w:w="3312"/>
          </w:tcPr>
          <w:p>
            <w:r/>
            <w:r>
              <w:t>Amazon S3</w:t>
            </w:r>
          </w:p>
        </w:tc>
        <w:tc>
          <w:tcPr>
            <w:tcW w:type="dxa" w:w="6048"/>
          </w:tcPr>
          <w:p>
            <w:pPr>
              <w:jc w:val="right"/>
            </w:pPr>
            <w:r/>
            <w:r>
              <w:t>No hay cargas de archivos de usuario. Los 143 MB de estáticos los sirve Nginx.</w:t>
            </w:r>
          </w:p>
        </w:tc>
      </w:tr>
      <w:tr>
        <w:tc>
          <w:tcPr>
            <w:tcW w:type="dxa" w:w="3312"/>
          </w:tcPr>
          <w:p>
            <w:r/>
            <w:r>
              <w:t>Application Load Balancer</w:t>
            </w:r>
          </w:p>
        </w:tc>
        <w:tc>
          <w:tcPr>
            <w:tcW w:type="dxa" w:w="6048"/>
          </w:tcPr>
          <w:p>
            <w:pPr>
              <w:jc w:val="right"/>
            </w:pPr>
            <w:r/>
            <w:r>
              <w:t>Una sola instancia web. El HTTPS lo resuelve Certbot / Let's Encrypt gratis.</w:t>
            </w:r>
          </w:p>
        </w:tc>
      </w:tr>
    </w:tbl>
    <w:p/>
    <w:p>
      <w:pPr>
        <w:pStyle w:val="Heading2"/>
      </w:pPr>
      <w:r>
        <w:rPr>
          <w:color w:val="1F3864"/>
        </w:rPr>
        <w:t>6.1 Volumen de correo confirmado</w:t>
      </w:r>
    </w:p>
    <w:p>
      <w:r>
        <w:rPr>
          <w:b w:val="0"/>
          <w:i w:val="0"/>
        </w:rPr>
        <w:t>El patrón outbox (solicitudes/management/commands/procesar_email_outbox.py y solicitudes/services/notificacion_service.py) confirma el conteo del documento: entre 1 y 3 correos al crear una solicitud y entre 2 y 4 al responderla, aproximadamente 6 por solicitud. A 30 solicitudes diarias son unos 5.400 correos al mes, más recuperación de contraseña y avisos de seguridad: cerca de 6.000. A 0,10 USD por millar, 0,60 USD al mes.</w:t>
      </w:r>
    </w:p>
    <w:p>
      <w:r>
        <w:br w:type="page"/>
      </w:r>
    </w:p>
    <w:p>
      <w:pPr>
        <w:pStyle w:val="Heading1"/>
      </w:pPr>
      <w:r>
        <w:rPr>
          <w:color w:val="1F3864"/>
        </w:rPr>
        <w:t>7. Recomendaciones</w:t>
      </w:r>
    </w:p>
    <w:p>
      <w:pPr>
        <w:pStyle w:val="Heading2"/>
      </w:pPr>
      <w:r>
        <w:rPr>
          <w:color w:val="1F3864"/>
        </w:rPr>
        <w:t>7.1 Mantener la arquitectura actual</w:t>
      </w:r>
    </w:p>
    <w:p>
      <w:r>
        <w:rPr>
          <w:b w:val="0"/>
          <w:i w:val="0"/>
        </w:rPr>
        <w:t>La decisión del documento (EC2 t4g.micro en subred pública, RDS db.t4g.micro Single-AZ, SES, Elastic IP, sin balanceador ni caché) es la correcta para 300 usuarios y 30 solicitudes al día, y está verificada contra precios oficiales.</w:t>
      </w:r>
    </w:p>
    <w:p>
      <w:pPr>
        <w:pStyle w:val="Heading2"/>
      </w:pPr>
      <w:r>
        <w:rPr>
          <w:color w:val="1F3864"/>
        </w:rPr>
        <w:t>7.2 Lo que sí conviene adoptar de la guía Well-Architected</w:t>
      </w:r>
    </w:p>
    <w:p>
      <w:r>
        <w:rPr>
          <w:b w:val="0"/>
          <w:i w:val="0"/>
        </w:rPr>
        <w:t>Dos prácticas de esa guía son válidas, no están en el plan actual y cuestan cero:</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tcPr>
          <w:p>
            <w:r/>
            <w:r>
              <w:rPr>
                <w:b/>
              </w:rPr>
              <w:t>Práctica</w:t>
            </w:r>
          </w:p>
        </w:tc>
        <w:tc>
          <w:tcPr>
            <w:tcW w:type="dxa" w:w="1296"/>
          </w:tcPr>
          <w:p>
            <w:r/>
            <w:r>
              <w:rPr>
                <w:b/>
              </w:rPr>
              <w:t>Costo</w:t>
            </w:r>
          </w:p>
        </w:tc>
        <w:tc>
          <w:tcPr>
            <w:tcW w:type="dxa" w:w="4608"/>
          </w:tcPr>
          <w:p>
            <w:r/>
            <w:r>
              <w:rPr>
                <w:b/>
              </w:rPr>
              <w:t>Por qué</w:t>
            </w:r>
          </w:p>
        </w:tc>
      </w:tr>
      <w:tr>
        <w:tc>
          <w:tcPr>
            <w:tcW w:type="dxa" w:w="3456"/>
          </w:tcPr>
          <w:p>
            <w:r/>
            <w:r>
              <w:t>Mover el .env a AWS Systems Manager Parameter Store</w:t>
            </w:r>
          </w:p>
        </w:tc>
        <w:tc>
          <w:tcPr>
            <w:tcW w:type="dxa" w:w="1296"/>
          </w:tcPr>
          <w:p>
            <w:pPr>
              <w:jc w:val="right"/>
            </w:pPr>
            <w:r/>
            <w:r>
              <w:t>0,00 USD</w:t>
            </w:r>
          </w:p>
        </w:tc>
        <w:tc>
          <w:tcPr>
            <w:tcW w:type="dxa" w:w="4608"/>
          </w:tcPr>
          <w:p>
            <w:pPr>
              <w:jc w:val="right"/>
            </w:pPr>
            <w:r/>
            <w:r>
              <w:t>La versión estándar es gratuita. Elimina los secretos del disco de la instancia y permite rotarlos sin volver a desplegar.</w:t>
            </w:r>
          </w:p>
        </w:tc>
      </w:tr>
      <w:tr>
        <w:tc>
          <w:tcPr>
            <w:tcW w:type="dxa" w:w="3456"/>
          </w:tcPr>
          <w:p>
            <w:r/>
            <w:r>
              <w:t>Probar la restauración de un snapshot de RDS</w:t>
            </w:r>
          </w:p>
        </w:tc>
        <w:tc>
          <w:tcPr>
            <w:tcW w:type="dxa" w:w="1296"/>
          </w:tcPr>
          <w:p>
            <w:pPr>
              <w:jc w:val="right"/>
            </w:pPr>
            <w:r/>
            <w:r>
              <w:t>0,00 USD</w:t>
            </w:r>
          </w:p>
        </w:tc>
        <w:tc>
          <w:tcPr>
            <w:tcW w:type="dxa" w:w="4608"/>
          </w:tcPr>
          <w:p>
            <w:pPr>
              <w:jc w:val="right"/>
            </w:pPr>
            <w:r/>
            <w:r>
              <w:t>Un backup que nunca se ha restaurado no es un backup. Hoy no está en el checklist de despliegue.</w:t>
            </w:r>
          </w:p>
        </w:tc>
      </w:tr>
    </w:tbl>
    <w:p/>
    <w:p>
      <w:pPr>
        <w:pStyle w:val="Heading2"/>
      </w:pPr>
      <w:r>
        <w:rPr>
          <w:color w:val="1F3864"/>
        </w:rPr>
        <w:t>7.3 Controles de costo que siguen siendo obligatorios</w:t>
      </w:r>
    </w:p>
    <w:p>
      <w:pPr>
        <w:pStyle w:val="ListBullet"/>
      </w:pPr>
      <w:r>
        <w:t>Poner la instancia EC2 en modo standard, no unlimited: convierte el exceso de CPU en limitación de velocidad en lugar de en factura sin techo.</w:t>
      </w:r>
    </w:p>
    <w:p>
      <w:pPr>
        <w:pStyle w:val="ListBullet"/>
      </w:pPr>
      <w:r>
        <w:t>Alarma de CloudWatch sobre CPUSurplusCreditsCharged de RDS mayor que cero: en RDS el modo unlimited no se puede desactivar, así que esta alarma es el único aviso.</w:t>
      </w:r>
    </w:p>
    <w:p>
      <w:pPr>
        <w:pStyle w:val="ListBullet"/>
      </w:pPr>
      <w:r>
        <w:t>AWS Budget con alerta en 30 USD.</w:t>
      </w:r>
    </w:p>
    <w:p>
      <w:pPr>
        <w:pStyle w:val="ListBullet"/>
      </w:pPr>
      <w:r>
        <w:t>No reservar la Elastic IP antes de necesitarla: se cobra aunque esté ociosa.</w:t>
      </w:r>
    </w:p>
    <w:p>
      <w:pPr>
        <w:pStyle w:val="ListBullet"/>
      </w:pPr>
      <w:r>
        <w:t>Verificar si la cuenta tiene menos de 12 meses: con Free Tier el costo del primer año bajaría a unos 5 USD al mes.</w:t>
      </w:r>
    </w:p>
    <w:p>
      <w:pPr>
        <w:pStyle w:val="Heading2"/>
      </w:pPr>
      <w:r>
        <w:rPr>
          <w:color w:val="1F3864"/>
        </w:rPr>
        <w:t>7.4 Cuándo revisar de nuevo</w:t>
      </w:r>
    </w:p>
    <w:p>
      <w:r>
        <w:rPr>
          <w:b w:val="0"/>
          <w:i w:val="0"/>
        </w:rPr>
        <w:t>Los gatillos de escalado ya definidos siguen vigentes: CPU de EC2 sostenida por encima del 70 % lleva a t4g.small; agotamiento sostenido de créditos de CPU en RDS lleva a db.t4g.small; y solo si hacen falta dos instancias web entran en juego el balanceador y la caché compartida. Antes no.</w:t>
      </w:r>
    </w:p>
    <w:p/>
    <w:p/>
    <w:p>
      <w:r>
        <w:rPr>
          <w:b w:val="0"/>
          <w:i/>
        </w:rPr>
        <w:t>Documento generado automáticamente a partir de la auditoría del 7 de septiembre de 2026. Para regenerarlo con precios actualizados, solicitar de nuevo «Auditoria_Costos_AWS.docx».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