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9F17A7" w14:textId="77777777" w:rsidR="00C054CD" w:rsidRDefault="00000000">
      <w:pPr>
        <w:spacing w:after="160" w:line="480" w:lineRule="auto"/>
        <w:jc w:val="center"/>
      </w:pPr>
      <w:r>
        <w:rPr>
          <w:b/>
          <w:bCs/>
          <w:sz w:val="32"/>
          <w:szCs w:val="32"/>
        </w:rPr>
        <w:t>Earth Embeddings: Fundamentos Conceptuales para la Predicción Geoespacial</w:t>
      </w:r>
    </w:p>
    <w:p w14:paraId="165B5031" w14:textId="77777777" w:rsidR="00C054CD" w:rsidRDefault="00000000">
      <w:pPr>
        <w:spacing w:after="480" w:line="480" w:lineRule="auto"/>
        <w:jc w:val="center"/>
      </w:pPr>
      <w:r>
        <w:rPr>
          <w:i/>
          <w:iCs/>
          <w:sz w:val="26"/>
          <w:szCs w:val="26"/>
        </w:rPr>
        <w:t>Borrador de secciones técnicas — Reporte de Estancia, Semana 3</w:t>
      </w:r>
    </w:p>
    <w:p w14:paraId="48201847" w14:textId="77777777" w:rsidR="00C054CD" w:rsidRDefault="00000000">
      <w:pPr>
        <w:spacing w:after="40" w:line="480" w:lineRule="auto"/>
        <w:jc w:val="center"/>
      </w:pPr>
      <w:r>
        <w:t>Manuel Alonso De la Tejera González</w:t>
      </w:r>
    </w:p>
    <w:p w14:paraId="125049A4" w14:textId="77777777" w:rsidR="00C054CD" w:rsidRDefault="00000000">
      <w:pPr>
        <w:spacing w:after="40" w:line="480" w:lineRule="auto"/>
        <w:jc w:val="center"/>
      </w:pPr>
      <w:r>
        <w:t>Estancia de investigación, Maestría en Ciencia de Datos, ITAM</w:t>
      </w:r>
    </w:p>
    <w:p w14:paraId="2D25D6FF" w14:textId="77777777" w:rsidR="00C054CD" w:rsidRDefault="00000000">
      <w:pPr>
        <w:spacing w:after="480" w:line="480" w:lineRule="auto"/>
        <w:jc w:val="center"/>
      </w:pPr>
      <w:r>
        <w:t>Supervisor: Carlos López de la Cerda, Washington University in St. Louis</w:t>
      </w:r>
    </w:p>
    <w:p w14:paraId="1FB5B3E1" w14:textId="77777777" w:rsidR="00C054CD" w:rsidRDefault="00000000">
      <w:pPr>
        <w:pStyle w:val="Ttulo1"/>
      </w:pPr>
      <w:r>
        <w:t>1. ¿Qué son los Earth Embeddings?</w:t>
      </w:r>
    </w:p>
    <w:p w14:paraId="18C27DE8" w14:textId="32D1035B" w:rsidR="00C054CD" w:rsidRDefault="00000000">
      <w:pPr>
        <w:spacing w:after="200" w:line="480" w:lineRule="auto"/>
        <w:jc w:val="both"/>
      </w:pPr>
      <w:r>
        <w:t>Un embedding es, en términos generales, una representación vectorial de un dato complejo en un espacio de dimensión reducida, construida de tal forma que ejemplos semánticamente similares queden ubicados en posiciones cercanas dentro de ese espacio. Los Earth Embeddings aplican esta misma idea a la observación de la Tierra: son vectores numéricos asociados a una ubicación geográfica y, en muchos casos, a un momento en el tiempo, generados a partir de datos de percepción remota, principalmente imágenes satelitales, mediante modelos de aprendizaje profundo entrenados a gran escala (Klemmer et al., 2025).</w:t>
      </w:r>
    </w:p>
    <w:p w14:paraId="7864E579" w14:textId="067BDDCF" w:rsidR="00C054CD" w:rsidRDefault="00000000">
      <w:pPr>
        <w:spacing w:after="200" w:line="480" w:lineRule="auto"/>
        <w:jc w:val="both"/>
      </w:pPr>
      <w:r>
        <w:t xml:space="preserve">La idea central es sustituir el dato crudo </w:t>
      </w:r>
      <w:r w:rsidR="00DD110A">
        <w:t>(</w:t>
      </w:r>
      <w:r>
        <w:t>una imagen multiespectral de varios megabytes por escena</w:t>
      </w:r>
      <w:r w:rsidR="00DD110A">
        <w:t>)</w:t>
      </w:r>
      <w:r>
        <w:t xml:space="preserve"> por un vector compacto de unas cuantas decenas o miles de números que conserve la información relevante para tareas posteriores. Esa sustitución resuelve un problema práctico: ejecutar un modelo de visión computacional de cientos de millones de parámetros sobre cada imagen satelital de un país, cada vez que se necesita una predicción, es costoso e innecesariamente </w:t>
      </w:r>
      <w:r>
        <w:lastRenderedPageBreak/>
        <w:t>redundante. Si el embedding ya captura lo esencial, basta con calcularlo una sola vez y reutilizarlo para múltiples tareas.</w:t>
      </w:r>
    </w:p>
    <w:p w14:paraId="51C45C00" w14:textId="77777777" w:rsidR="00C054CD" w:rsidRDefault="00000000">
      <w:pPr>
        <w:spacing w:after="120" w:line="480" w:lineRule="auto"/>
        <w:jc w:val="both"/>
      </w:pPr>
      <w:r>
        <w:t>Klemmer et al. (2025) identifican cuatro funciones que distinguen a los Earth Embeddings de otros tipos de representaciones aprendidas:</w:t>
      </w:r>
    </w:p>
    <w:p w14:paraId="750A4E61" w14:textId="292D8D2E" w:rsidR="00C054CD" w:rsidRDefault="00000000">
      <w:pPr>
        <w:pStyle w:val="Prrafodelista"/>
        <w:numPr>
          <w:ilvl w:val="0"/>
          <w:numId w:val="2"/>
        </w:numPr>
        <w:spacing w:after="80" w:line="480" w:lineRule="auto"/>
        <w:jc w:val="both"/>
      </w:pPr>
      <w:r>
        <w:t xml:space="preserve">Compresión. Reducen datos de observación terrestre de alta dimensionalidad y multimodales </w:t>
      </w:r>
      <w:r w:rsidR="00DD110A">
        <w:t>(</w:t>
      </w:r>
      <w:r>
        <w:t>imágenes ópticas, radar, series de tiempo</w:t>
      </w:r>
      <w:r w:rsidR="00DD110A">
        <w:t>)</w:t>
      </w:r>
      <w:r>
        <w:t xml:space="preserve"> a vectores compactos que preservan la información semánticamente relevante para tareas posteriores, sin necesidad de volver a procesar el dato original.</w:t>
      </w:r>
    </w:p>
    <w:p w14:paraId="276DCC09" w14:textId="21E96436" w:rsidR="00C054CD" w:rsidRDefault="00000000">
      <w:pPr>
        <w:pStyle w:val="Prrafodelista"/>
        <w:numPr>
          <w:ilvl w:val="0"/>
          <w:numId w:val="2"/>
        </w:numPr>
        <w:spacing w:after="80" w:line="480" w:lineRule="auto"/>
        <w:jc w:val="both"/>
      </w:pPr>
      <w:r>
        <w:t xml:space="preserve">Fusión. Permiten combinar distintas modalidades de datos geoespaciales </w:t>
      </w:r>
      <w:r w:rsidR="00DD110A">
        <w:t>(</w:t>
      </w:r>
      <w:r>
        <w:t>por ejemplo, imágenes y texto</w:t>
      </w:r>
      <w:r w:rsidR="00DD110A">
        <w:t>)</w:t>
      </w:r>
      <w:r>
        <w:t xml:space="preserve"> en un mismo espacio de representación, aprovechando que comparten una referencia espacial y temporal común.</w:t>
      </w:r>
    </w:p>
    <w:p w14:paraId="3A394538" w14:textId="77777777" w:rsidR="00C054CD" w:rsidRDefault="00000000">
      <w:pPr>
        <w:pStyle w:val="Prrafodelista"/>
        <w:numPr>
          <w:ilvl w:val="0"/>
          <w:numId w:val="2"/>
        </w:numPr>
        <w:spacing w:after="80" w:line="480" w:lineRule="auto"/>
        <w:jc w:val="both"/>
      </w:pPr>
      <w:r>
        <w:t>Interpolación. Al estar indexados por coordenadas continuas, permiten estimar representaciones razonables en ubicaciones o momentos donde no existe observación directa, a partir de los lugares cercanos que sí fueron observados.</w:t>
      </w:r>
    </w:p>
    <w:p w14:paraId="422147EA" w14:textId="6398A831" w:rsidR="00C054CD" w:rsidRDefault="00000000">
      <w:pPr>
        <w:pStyle w:val="Prrafodelista"/>
        <w:numPr>
          <w:ilvl w:val="0"/>
          <w:numId w:val="2"/>
        </w:numPr>
        <w:spacing w:after="80" w:line="480" w:lineRule="auto"/>
        <w:jc w:val="both"/>
      </w:pPr>
      <w:r>
        <w:t xml:space="preserve">Interoperabilidad. Pueden combinarse con otros modelos de IA de propósito general </w:t>
      </w:r>
      <w:r w:rsidR="00DD110A">
        <w:t>(</w:t>
      </w:r>
      <w:r>
        <w:t>incluyendo modelos de lenguaje</w:t>
      </w:r>
      <w:r w:rsidR="00DD110A">
        <w:t>)</w:t>
      </w:r>
      <w:r>
        <w:t xml:space="preserve"> como un insumo más dentro de arquitecturas mixtas, en lugar de requerir un pipeline de visión computacional dedicado y aislado.</w:t>
      </w:r>
    </w:p>
    <w:p w14:paraId="11D0BC4B" w14:textId="57D09069" w:rsidR="00C054CD" w:rsidRDefault="00000000">
      <w:pPr>
        <w:spacing w:before="120" w:line="480" w:lineRule="auto"/>
        <w:jc w:val="both"/>
      </w:pPr>
      <w:r>
        <w:t xml:space="preserve">Para esta estancia, la interoperabilidad </w:t>
      </w:r>
      <w:r w:rsidR="00DD110A">
        <w:t>(</w:t>
      </w:r>
      <w:r>
        <w:t>la posibilidad de tratar la ubicación geográfica como una variable más dentro de un pipeline de predicción tabular, unida por llave geográfica como cualquier otra</w:t>
      </w:r>
      <w:r w:rsidR="00DD110A">
        <w:t>)</w:t>
      </w:r>
      <w:r>
        <w:t xml:space="preserve"> es la propiedad que hace viable usar Earth Embeddings dentro de un modelo de valuación inmobiliaria a nivel AGEB sin construir, desde cero, un modelo de visión computacional propio.</w:t>
      </w:r>
    </w:p>
    <w:p w14:paraId="0FD44C63" w14:textId="77777777" w:rsidR="00C054CD" w:rsidRDefault="00000000">
      <w:pPr>
        <w:pStyle w:val="Ttulo1"/>
      </w:pPr>
      <w:r>
        <w:lastRenderedPageBreak/>
        <w:t>2. Las imágenes satelitales como insumo</w:t>
      </w:r>
    </w:p>
    <w:p w14:paraId="5E831BD9" w14:textId="6AD98370" w:rsidR="00C054CD" w:rsidRDefault="00000000">
      <w:pPr>
        <w:spacing w:after="200" w:line="480" w:lineRule="auto"/>
        <w:jc w:val="both"/>
      </w:pPr>
      <w:r>
        <w:t xml:space="preserve">Antes de hablar de cómo se producen los embeddings, vale la pena precisar qué es, técnicamente, una imagen satelital. A diferencia de una fotografía RGB convencional, un satélite de observación terrestre captura varias bandas espectrales por separado </w:t>
      </w:r>
      <w:r w:rsidR="00DD110A">
        <w:t>(</w:t>
      </w:r>
      <w:r>
        <w:t>no solo rojo, verde y azul, sino también infrarrojo cercano, infrarrojo de onda corta, bordes rojos (red edge), entre otras</w:t>
      </w:r>
      <w:r w:rsidR="00DD110A">
        <w:t>)</w:t>
      </w:r>
      <w:r>
        <w:t>, cada una sensible a una porción distinta del espectro electromagnético. El resultado no es una imagen en el sentido cotidiano, sino un tensor: un arreglo de (bandas × alto × ancho), donde cada banda es, en esencia, una matriz de reflectancia para esa longitud de onda específica. Sentinel-2, por ejemplo, captura trece bandas con resoluciones espaciales de 10, 20 o 60 metros según la banda; la colección armonizada HLS (Harmonized Landsat Sentinel-2), usada para entrenar modelos como Prithvi, integra Landsat y Sentinel-2 en una rejilla común de 30 metros.</w:t>
      </w:r>
    </w:p>
    <w:p w14:paraId="66D04246" w14:textId="05A3DF32" w:rsidR="00C054CD" w:rsidRDefault="00000000">
      <w:pPr>
        <w:spacing w:line="480" w:lineRule="auto"/>
        <w:jc w:val="both"/>
      </w:pPr>
      <w:r>
        <w:t xml:space="preserve">Ese dato crudo es, por construcción, enorme. Una sola escena de Sentinel-2 cubre 100×100 km a 10 metros de resolución en diez bandas útiles, y el archivo histórico completo de observación terrestre se mide en petabytes. El problema no es solo de almacenamiento: para cualquier tarea de predicción </w:t>
      </w:r>
      <w:r w:rsidR="00DD110A">
        <w:t>,</w:t>
      </w:r>
      <w:r>
        <w:t>por ejemplo, estimar el valor de una propiedad en una AGEB de la Ciudad de México</w:t>
      </w:r>
      <w:r w:rsidR="00DD110A">
        <w:t>,</w:t>
      </w:r>
      <w:r>
        <w:t xml:space="preserve"> la mayor parte de esa información es irrelevante o redundante (variación de iluminación, ruido atmosférico, texturas repetidas), y solo una fracción pequeña codifica señal útil sobre uso de suelo, vegetación, densidad de construcción o infraestructura. Procesar el tensor completo para cada predicción, en lugar de extraer una vez una representación compacta y reutilizarla, es computacionalmente inviable a escala de ciudad o país, razón por la cual los Earth Embeddings existen como una capa intermedia entre el archivo satelital crudo y la tarea de predicción final.</w:t>
      </w:r>
    </w:p>
    <w:p w14:paraId="5E8B6D97" w14:textId="77777777" w:rsidR="00C054CD" w:rsidRDefault="00000000">
      <w:pPr>
        <w:pStyle w:val="Ttulo1"/>
      </w:pPr>
      <w:r>
        <w:t>3. Cómo se producen los embeddings</w:t>
      </w:r>
    </w:p>
    <w:p w14:paraId="25F824DB" w14:textId="08BDBD99" w:rsidR="00C054CD" w:rsidRDefault="00000000">
      <w:pPr>
        <w:spacing w:after="200" w:line="480" w:lineRule="auto"/>
        <w:jc w:val="both"/>
      </w:pPr>
      <w:r>
        <w:lastRenderedPageBreak/>
        <w:t xml:space="preserve">La mayoría de los modelos explícitos de Earth Embeddings comparten una arquitectura base: el Vision Transformer (ViT; Dosovitskiy et al., 2021). Un ViT no procesa la imagen píxel por píxel ni con convoluciones deslizantes, como las redes convolucionales clásicas; en su lugar, divide la imagen en parches cuadrados de tamaño fijo (patchification) —por ejemplo, de 8×8 o 16×16 píxeles—, aplana cada parche y lo proyecta linealmente a un vector, tratándolo como un “token” de una secuencia, igual que una palabra dentro de una oración para un modelo de lenguaje. A cada token se le suma una codificación posicional que indica su lugar dentro de la rejilla espacial, </w:t>
      </w:r>
      <w:r w:rsidR="00DD110A">
        <w:t>(</w:t>
      </w:r>
      <w:r>
        <w:t>en modelos multitemporales como Prithvi, también su posición temporal</w:t>
      </w:r>
      <w:r w:rsidR="00DD110A">
        <w:t>)</w:t>
      </w:r>
      <w:r>
        <w:t>. La secuencia completa de tokens, más típicamente un token adicional de clase (CLS) que resume la imagen completa, se procesa con capas de autoatención, igual que en un Transformer de lenguaje.</w:t>
      </w:r>
    </w:p>
    <w:p w14:paraId="3BAAA7B9" w14:textId="2742FC0D" w:rsidR="00C054CD" w:rsidRDefault="00000000">
      <w:pPr>
        <w:spacing w:after="200" w:line="480" w:lineRule="auto"/>
        <w:jc w:val="both"/>
      </w:pPr>
      <w:r>
        <w:t xml:space="preserve">El objetivo de entrenamiento que predomina en estos modelos es el masked autoencoder (MAE; He et al., 2022): durante el preentrenamiento, una fracción alta de los parches </w:t>
      </w:r>
      <w:r w:rsidR="00DD110A">
        <w:t>(</w:t>
      </w:r>
      <w:r>
        <w:t>usualmente entre 60% y 75%</w:t>
      </w:r>
      <w:r w:rsidR="00DD110A">
        <w:t>)</w:t>
      </w:r>
      <w:r>
        <w:t xml:space="preserve"> se oculta aleatoriamente, y el modelo se entrena para reconstruir los parches faltantes a partir de los visibles. Es una tarea autosupervisada: no requiere etiquetas humanas, solo imágenes, lo que permite entrenar con catálogos satelitales completos sin necesidad de anotación manual. Una vez entrenado, el decodificador de reconstrucción se descarta y solo se conserva el encoder; el embedding final se obtiene tomando el token de clase tras la última capa, o promediando los tokens de los parches, según el modelo.</w:t>
      </w:r>
    </w:p>
    <w:p w14:paraId="1CF12699" w14:textId="6B96F331" w:rsidR="00C054CD" w:rsidRDefault="00000000">
      <w:pPr>
        <w:spacing w:line="480" w:lineRule="auto"/>
        <w:jc w:val="both"/>
      </w:pPr>
      <w:r>
        <w:t xml:space="preserve">No todos los modelos siguen este patrón. SatCLIP, por ejemplo, no es un autoencoder de imágenes sino un encoder de ubicación entrenado con un objetivo contrastivo al estilo CLIP: durante el entrenamiento, un encoder de imagen y un encoder de coordenadas se entrenan conjuntamente para que la representación de una imagen satelital y la representación de las coordenadas donde fue tomada queden cercanas en el mismo espacio vectorial. Tras el entrenamiento, el encoder de </w:t>
      </w:r>
      <w:r>
        <w:lastRenderedPageBreak/>
        <w:t>imagen se descarta por completo, y el encoder de coordenadas que combina armónicos esféricos con una red sinusoidal (SirenNet) puede generar un embedding de cualquier ubicación del planeta sin necesidad de una imagen real en el momento de inferencia. Esta diferencia de diseño es, precisamente, la base de la distinción entre modelos explícitos e implícitos que se desarrolla en la siguiente sección.</w:t>
      </w:r>
    </w:p>
    <w:p w14:paraId="6A626C82" w14:textId="77777777" w:rsidR="00C054CD" w:rsidRDefault="00000000">
      <w:pPr>
        <w:pStyle w:val="Ttulo1"/>
      </w:pPr>
      <w:r>
        <w:t>4. Panorama de modelos: explícitos vs. implícitos</w:t>
      </w:r>
    </w:p>
    <w:p w14:paraId="5CE9A884" w14:textId="2C28153C" w:rsidR="00C054CD" w:rsidRDefault="00000000">
      <w:pPr>
        <w:spacing w:after="200" w:line="480" w:lineRule="auto"/>
        <w:jc w:val="both"/>
      </w:pPr>
      <w:r>
        <w:t>Los cuatro modelos investigados durante esta semana de la estancia AlphaEarth, Clay, Prithvi y SatCLIP ilustran bien la distinción entre modelos explícitos e implícitos de Earth Embeddings. Un modelo explícito mapea una imagen real a un embedding: requiere, en el momento de inferencia, descargar o tener disponible el dato satelital correspondiente a la ubicación de interés. Un modelo implícito mapea directamente una coordenada a un embedding, sin necesidad de imagen alguna en inferencia, porque el conocimiento sobre el aspecto del lugar quedó destilado en los parámetros del encoder de coordenadas durante el entrenamiento.</w:t>
      </w:r>
    </w:p>
    <w:p w14:paraId="0AF2C25F" w14:textId="3D9DF133" w:rsidR="00C054CD" w:rsidRDefault="00000000">
      <w:pPr>
        <w:spacing w:after="200" w:line="480" w:lineRule="auto"/>
        <w:jc w:val="both"/>
      </w:pPr>
      <w:r>
        <w:t xml:space="preserve">AlphaEarth (Brown et al., 2025), Clay y Prithvi son explícitos. AlphaEarth, sin embargo, ya viene precalculado por Google sobre toda la superficie terrestre en mosaicos anuales de 10 metros, distribuido directamente desde Google Earth Engine como un producto de datos: su costo de uso es prácticamente nulo, una consulta espacial y no una inferencia de modelo. Clay y Prithvi, en cambio, requieren ejecutar el encoder en tiempo real sobre la imagen descargada, lo que implica costo de cómputo </w:t>
      </w:r>
      <w:r w:rsidR="00DD110A">
        <w:t>(</w:t>
      </w:r>
      <w:r>
        <w:t>idealmente GPU</w:t>
      </w:r>
      <w:r w:rsidR="00DD110A">
        <w:t>)</w:t>
      </w:r>
      <w:r>
        <w:t xml:space="preserve"> por cada ubicación. SatCLIP, en contraste, es implícito: basta una coordenada (longitud, latitud) para obtener su embedding, sin descarga de imagen ni GPU.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7"/>
        <w:gridCol w:w="1499"/>
        <w:gridCol w:w="1112"/>
        <w:gridCol w:w="2695"/>
        <w:gridCol w:w="2157"/>
      </w:tblGrid>
      <w:tr w:rsidR="00C054CD" w14:paraId="1487BFBC" w14:textId="77777777">
        <w:tblPrEx>
          <w:tblCellMar>
            <w:top w:w="0" w:type="dxa"/>
            <w:bottom w:w="0" w:type="dxa"/>
          </w:tblCellMar>
        </w:tblPrEx>
        <w:tc>
          <w:tcPr>
            <w:tcW w:w="1900" w:type="dxa"/>
            <w:shd w:val="clear" w:color="auto" w:fill="D9D9D9"/>
            <w:tcMar>
              <w:top w:w="80" w:type="dxa"/>
              <w:left w:w="100" w:type="dxa"/>
              <w:bottom w:w="80" w:type="dxa"/>
              <w:right w:w="100" w:type="dxa"/>
            </w:tcMar>
          </w:tcPr>
          <w:p w14:paraId="1E177800" w14:textId="77777777" w:rsidR="00C054CD" w:rsidRDefault="00000000">
            <w:r>
              <w:rPr>
                <w:b/>
                <w:bCs/>
                <w:sz w:val="20"/>
                <w:szCs w:val="20"/>
              </w:rPr>
              <w:t>Modelo</w:t>
            </w:r>
          </w:p>
        </w:tc>
        <w:tc>
          <w:tcPr>
            <w:tcW w:w="1500" w:type="dxa"/>
            <w:shd w:val="clear" w:color="auto" w:fill="D9D9D9"/>
            <w:tcMar>
              <w:top w:w="80" w:type="dxa"/>
              <w:left w:w="100" w:type="dxa"/>
              <w:bottom w:w="80" w:type="dxa"/>
              <w:right w:w="100" w:type="dxa"/>
            </w:tcMar>
          </w:tcPr>
          <w:p w14:paraId="05636867" w14:textId="77777777" w:rsidR="00C054CD" w:rsidRDefault="00000000">
            <w:r>
              <w:rPr>
                <w:b/>
                <w:bCs/>
                <w:sz w:val="20"/>
                <w:szCs w:val="20"/>
              </w:rPr>
              <w:t>Tipo</w:t>
            </w:r>
          </w:p>
        </w:tc>
        <w:tc>
          <w:tcPr>
            <w:tcW w:w="1100" w:type="dxa"/>
            <w:shd w:val="clear" w:color="auto" w:fill="D9D9D9"/>
            <w:tcMar>
              <w:top w:w="80" w:type="dxa"/>
              <w:left w:w="100" w:type="dxa"/>
              <w:bottom w:w="80" w:type="dxa"/>
              <w:right w:w="100" w:type="dxa"/>
            </w:tcMar>
          </w:tcPr>
          <w:p w14:paraId="51A8E712" w14:textId="77777777" w:rsidR="00C054CD" w:rsidRDefault="00000000">
            <w:r>
              <w:rPr>
                <w:b/>
                <w:bCs/>
                <w:sz w:val="20"/>
                <w:szCs w:val="20"/>
              </w:rPr>
              <w:t>Dimensión</w:t>
            </w:r>
          </w:p>
        </w:tc>
        <w:tc>
          <w:tcPr>
            <w:tcW w:w="2700" w:type="dxa"/>
            <w:shd w:val="clear" w:color="auto" w:fill="D9D9D9"/>
            <w:tcMar>
              <w:top w:w="80" w:type="dxa"/>
              <w:left w:w="100" w:type="dxa"/>
              <w:bottom w:w="80" w:type="dxa"/>
              <w:right w:w="100" w:type="dxa"/>
            </w:tcMar>
          </w:tcPr>
          <w:p w14:paraId="57B58B75" w14:textId="77777777" w:rsidR="00C054CD" w:rsidRDefault="00000000">
            <w:r>
              <w:rPr>
                <w:b/>
                <w:bCs/>
                <w:sz w:val="20"/>
                <w:szCs w:val="20"/>
              </w:rPr>
              <w:t>Dato de entrenamiento</w:t>
            </w:r>
          </w:p>
        </w:tc>
        <w:tc>
          <w:tcPr>
            <w:tcW w:w="2160" w:type="dxa"/>
            <w:shd w:val="clear" w:color="auto" w:fill="D9D9D9"/>
            <w:tcMar>
              <w:top w:w="80" w:type="dxa"/>
              <w:left w:w="100" w:type="dxa"/>
              <w:bottom w:w="80" w:type="dxa"/>
              <w:right w:w="100" w:type="dxa"/>
            </w:tcMar>
          </w:tcPr>
          <w:p w14:paraId="6AB3F340" w14:textId="77777777" w:rsidR="00C054CD" w:rsidRDefault="00000000">
            <w:r>
              <w:rPr>
                <w:b/>
                <w:bCs/>
                <w:sz w:val="20"/>
                <w:szCs w:val="20"/>
              </w:rPr>
              <w:t>Costo de inferencia</w:t>
            </w:r>
          </w:p>
        </w:tc>
      </w:tr>
      <w:tr w:rsidR="00C054CD" w14:paraId="74DE423E" w14:textId="77777777">
        <w:tblPrEx>
          <w:tblCellMar>
            <w:top w:w="0" w:type="dxa"/>
            <w:bottom w:w="0" w:type="dxa"/>
          </w:tblCellMar>
        </w:tblPrEx>
        <w:tc>
          <w:tcPr>
            <w:tcW w:w="1900" w:type="dxa"/>
            <w:tcMar>
              <w:top w:w="80" w:type="dxa"/>
              <w:left w:w="100" w:type="dxa"/>
              <w:bottom w:w="80" w:type="dxa"/>
              <w:right w:w="100" w:type="dxa"/>
            </w:tcMar>
          </w:tcPr>
          <w:p w14:paraId="36D34ED6" w14:textId="77777777" w:rsidR="00C054CD" w:rsidRDefault="00000000">
            <w:r>
              <w:rPr>
                <w:sz w:val="20"/>
                <w:szCs w:val="20"/>
              </w:rPr>
              <w:t>AlphaEarth (GSED)</w:t>
            </w:r>
          </w:p>
        </w:tc>
        <w:tc>
          <w:tcPr>
            <w:tcW w:w="1500" w:type="dxa"/>
            <w:tcMar>
              <w:top w:w="80" w:type="dxa"/>
              <w:left w:w="100" w:type="dxa"/>
              <w:bottom w:w="80" w:type="dxa"/>
              <w:right w:w="100" w:type="dxa"/>
            </w:tcMar>
          </w:tcPr>
          <w:p w14:paraId="638442C7" w14:textId="77777777" w:rsidR="00C054CD" w:rsidRDefault="00000000">
            <w:r>
              <w:rPr>
                <w:sz w:val="20"/>
                <w:szCs w:val="20"/>
              </w:rPr>
              <w:t>Explícito (precalculado)</w:t>
            </w:r>
          </w:p>
        </w:tc>
        <w:tc>
          <w:tcPr>
            <w:tcW w:w="1100" w:type="dxa"/>
            <w:tcMar>
              <w:top w:w="80" w:type="dxa"/>
              <w:left w:w="100" w:type="dxa"/>
              <w:bottom w:w="80" w:type="dxa"/>
              <w:right w:w="100" w:type="dxa"/>
            </w:tcMar>
          </w:tcPr>
          <w:p w14:paraId="6402C0BB" w14:textId="77777777" w:rsidR="00C054CD" w:rsidRDefault="00000000">
            <w:r>
              <w:rPr>
                <w:sz w:val="20"/>
                <w:szCs w:val="20"/>
              </w:rPr>
              <w:t>64</w:t>
            </w:r>
          </w:p>
        </w:tc>
        <w:tc>
          <w:tcPr>
            <w:tcW w:w="2700" w:type="dxa"/>
            <w:tcMar>
              <w:top w:w="80" w:type="dxa"/>
              <w:left w:w="100" w:type="dxa"/>
              <w:bottom w:w="80" w:type="dxa"/>
              <w:right w:w="100" w:type="dxa"/>
            </w:tcMar>
          </w:tcPr>
          <w:p w14:paraId="58A8AA1D" w14:textId="77777777" w:rsidR="00C054CD" w:rsidRDefault="00000000">
            <w:r>
              <w:rPr>
                <w:sz w:val="20"/>
                <w:szCs w:val="20"/>
              </w:rPr>
              <w:t>Óptico + radar, global, anual</w:t>
            </w:r>
          </w:p>
        </w:tc>
        <w:tc>
          <w:tcPr>
            <w:tcW w:w="2160" w:type="dxa"/>
            <w:tcMar>
              <w:top w:w="80" w:type="dxa"/>
              <w:left w:w="100" w:type="dxa"/>
              <w:bottom w:w="80" w:type="dxa"/>
              <w:right w:w="100" w:type="dxa"/>
            </w:tcMar>
          </w:tcPr>
          <w:p w14:paraId="5992EEC1" w14:textId="77777777" w:rsidR="00C054CD" w:rsidRDefault="00000000">
            <w:r>
              <w:rPr>
                <w:sz w:val="20"/>
                <w:szCs w:val="20"/>
              </w:rPr>
              <w:t>Consulta espacial, sin cómputo</w:t>
            </w:r>
          </w:p>
        </w:tc>
      </w:tr>
      <w:tr w:rsidR="00C054CD" w14:paraId="2C11DECA" w14:textId="77777777">
        <w:tblPrEx>
          <w:tblCellMar>
            <w:top w:w="0" w:type="dxa"/>
            <w:bottom w:w="0" w:type="dxa"/>
          </w:tblCellMar>
        </w:tblPrEx>
        <w:tc>
          <w:tcPr>
            <w:tcW w:w="1900" w:type="dxa"/>
            <w:tcMar>
              <w:top w:w="80" w:type="dxa"/>
              <w:left w:w="100" w:type="dxa"/>
              <w:bottom w:w="80" w:type="dxa"/>
              <w:right w:w="100" w:type="dxa"/>
            </w:tcMar>
          </w:tcPr>
          <w:p w14:paraId="0DA04674" w14:textId="77777777" w:rsidR="00C054CD" w:rsidRDefault="00000000">
            <w:r>
              <w:rPr>
                <w:sz w:val="20"/>
                <w:szCs w:val="20"/>
              </w:rPr>
              <w:lastRenderedPageBreak/>
              <w:t>Clay v1.5</w:t>
            </w:r>
          </w:p>
        </w:tc>
        <w:tc>
          <w:tcPr>
            <w:tcW w:w="1500" w:type="dxa"/>
            <w:tcMar>
              <w:top w:w="80" w:type="dxa"/>
              <w:left w:w="100" w:type="dxa"/>
              <w:bottom w:w="80" w:type="dxa"/>
              <w:right w:w="100" w:type="dxa"/>
            </w:tcMar>
          </w:tcPr>
          <w:p w14:paraId="58BB826B" w14:textId="77777777" w:rsidR="00C054CD" w:rsidRDefault="00000000">
            <w:r>
              <w:rPr>
                <w:sz w:val="20"/>
                <w:szCs w:val="20"/>
              </w:rPr>
              <w:t>Explícito</w:t>
            </w:r>
          </w:p>
        </w:tc>
        <w:tc>
          <w:tcPr>
            <w:tcW w:w="1100" w:type="dxa"/>
            <w:tcMar>
              <w:top w:w="80" w:type="dxa"/>
              <w:left w:w="100" w:type="dxa"/>
              <w:bottom w:w="80" w:type="dxa"/>
              <w:right w:w="100" w:type="dxa"/>
            </w:tcMar>
          </w:tcPr>
          <w:p w14:paraId="2C871824" w14:textId="77777777" w:rsidR="00C054CD" w:rsidRDefault="00000000">
            <w:r>
              <w:rPr>
                <w:sz w:val="20"/>
                <w:szCs w:val="20"/>
              </w:rPr>
              <w:t>1024</w:t>
            </w:r>
          </w:p>
        </w:tc>
        <w:tc>
          <w:tcPr>
            <w:tcW w:w="2700" w:type="dxa"/>
            <w:tcMar>
              <w:top w:w="80" w:type="dxa"/>
              <w:left w:w="100" w:type="dxa"/>
              <w:bottom w:w="80" w:type="dxa"/>
              <w:right w:w="100" w:type="dxa"/>
            </w:tcMar>
          </w:tcPr>
          <w:p w14:paraId="55B5EBAD" w14:textId="77777777" w:rsidR="00C054CD" w:rsidRDefault="00000000">
            <w:r>
              <w:rPr>
                <w:sz w:val="20"/>
                <w:szCs w:val="20"/>
              </w:rPr>
              <w:t>Sentinel-2</w:t>
            </w:r>
          </w:p>
        </w:tc>
        <w:tc>
          <w:tcPr>
            <w:tcW w:w="2160" w:type="dxa"/>
            <w:tcMar>
              <w:top w:w="80" w:type="dxa"/>
              <w:left w:w="100" w:type="dxa"/>
              <w:bottom w:w="80" w:type="dxa"/>
              <w:right w:w="100" w:type="dxa"/>
            </w:tcMar>
          </w:tcPr>
          <w:p w14:paraId="3F1F3A71" w14:textId="77777777" w:rsidR="00C054CD" w:rsidRDefault="00000000">
            <w:r>
              <w:rPr>
                <w:sz w:val="20"/>
                <w:szCs w:val="20"/>
              </w:rPr>
              <w:t>Descarga de imagen + GPU</w:t>
            </w:r>
          </w:p>
        </w:tc>
      </w:tr>
      <w:tr w:rsidR="00C054CD" w14:paraId="64189069" w14:textId="77777777">
        <w:tblPrEx>
          <w:tblCellMar>
            <w:top w:w="0" w:type="dxa"/>
            <w:bottom w:w="0" w:type="dxa"/>
          </w:tblCellMar>
        </w:tblPrEx>
        <w:tc>
          <w:tcPr>
            <w:tcW w:w="1900" w:type="dxa"/>
            <w:tcMar>
              <w:top w:w="80" w:type="dxa"/>
              <w:left w:w="100" w:type="dxa"/>
              <w:bottom w:w="80" w:type="dxa"/>
              <w:right w:w="100" w:type="dxa"/>
            </w:tcMar>
          </w:tcPr>
          <w:p w14:paraId="449CA7C6" w14:textId="77777777" w:rsidR="00C054CD" w:rsidRDefault="00000000">
            <w:r>
              <w:rPr>
                <w:sz w:val="20"/>
                <w:szCs w:val="20"/>
              </w:rPr>
              <w:t>Prithvi-EO-2.0 (300M)</w:t>
            </w:r>
          </w:p>
        </w:tc>
        <w:tc>
          <w:tcPr>
            <w:tcW w:w="1500" w:type="dxa"/>
            <w:tcMar>
              <w:top w:w="80" w:type="dxa"/>
              <w:left w:w="100" w:type="dxa"/>
              <w:bottom w:w="80" w:type="dxa"/>
              <w:right w:w="100" w:type="dxa"/>
            </w:tcMar>
          </w:tcPr>
          <w:p w14:paraId="48DD4034" w14:textId="77777777" w:rsidR="00C054CD" w:rsidRDefault="00000000">
            <w:r>
              <w:rPr>
                <w:sz w:val="20"/>
                <w:szCs w:val="20"/>
              </w:rPr>
              <w:t>Explícito</w:t>
            </w:r>
          </w:p>
        </w:tc>
        <w:tc>
          <w:tcPr>
            <w:tcW w:w="1100" w:type="dxa"/>
            <w:tcMar>
              <w:top w:w="80" w:type="dxa"/>
              <w:left w:w="100" w:type="dxa"/>
              <w:bottom w:w="80" w:type="dxa"/>
              <w:right w:w="100" w:type="dxa"/>
            </w:tcMar>
          </w:tcPr>
          <w:p w14:paraId="6AF4EC98" w14:textId="77777777" w:rsidR="00C054CD" w:rsidRDefault="00000000">
            <w:r>
              <w:rPr>
                <w:sz w:val="20"/>
                <w:szCs w:val="20"/>
              </w:rPr>
              <w:t>1024</w:t>
            </w:r>
          </w:p>
        </w:tc>
        <w:tc>
          <w:tcPr>
            <w:tcW w:w="2700" w:type="dxa"/>
            <w:tcMar>
              <w:top w:w="80" w:type="dxa"/>
              <w:left w:w="100" w:type="dxa"/>
              <w:bottom w:w="80" w:type="dxa"/>
              <w:right w:w="100" w:type="dxa"/>
            </w:tcMar>
          </w:tcPr>
          <w:p w14:paraId="51257E07" w14:textId="77777777" w:rsidR="00C054CD" w:rsidRDefault="00000000">
            <w:r>
              <w:rPr>
                <w:sz w:val="20"/>
                <w:szCs w:val="20"/>
              </w:rPr>
              <w:t>HLS (Landsat + Sentinel-2)</w:t>
            </w:r>
          </w:p>
        </w:tc>
        <w:tc>
          <w:tcPr>
            <w:tcW w:w="2160" w:type="dxa"/>
            <w:tcMar>
              <w:top w:w="80" w:type="dxa"/>
              <w:left w:w="100" w:type="dxa"/>
              <w:bottom w:w="80" w:type="dxa"/>
              <w:right w:w="100" w:type="dxa"/>
            </w:tcMar>
          </w:tcPr>
          <w:p w14:paraId="2660A14B" w14:textId="77777777" w:rsidR="00C054CD" w:rsidRDefault="00000000">
            <w:r>
              <w:rPr>
                <w:sz w:val="20"/>
                <w:szCs w:val="20"/>
              </w:rPr>
              <w:t>Descarga de imagen + GPU</w:t>
            </w:r>
          </w:p>
        </w:tc>
      </w:tr>
      <w:tr w:rsidR="00C054CD" w14:paraId="53065691" w14:textId="77777777">
        <w:tblPrEx>
          <w:tblCellMar>
            <w:top w:w="0" w:type="dxa"/>
            <w:bottom w:w="0" w:type="dxa"/>
          </w:tblCellMar>
        </w:tblPrEx>
        <w:tc>
          <w:tcPr>
            <w:tcW w:w="1900" w:type="dxa"/>
            <w:tcMar>
              <w:top w:w="80" w:type="dxa"/>
              <w:left w:w="100" w:type="dxa"/>
              <w:bottom w:w="80" w:type="dxa"/>
              <w:right w:w="100" w:type="dxa"/>
            </w:tcMar>
          </w:tcPr>
          <w:p w14:paraId="1D690801" w14:textId="77777777" w:rsidR="00C054CD" w:rsidRDefault="00000000">
            <w:r>
              <w:rPr>
                <w:sz w:val="20"/>
                <w:szCs w:val="20"/>
              </w:rPr>
              <w:t>SatCLIP (ViT16-L40)</w:t>
            </w:r>
          </w:p>
        </w:tc>
        <w:tc>
          <w:tcPr>
            <w:tcW w:w="1500" w:type="dxa"/>
            <w:tcMar>
              <w:top w:w="80" w:type="dxa"/>
              <w:left w:w="100" w:type="dxa"/>
              <w:bottom w:w="80" w:type="dxa"/>
              <w:right w:w="100" w:type="dxa"/>
            </w:tcMar>
          </w:tcPr>
          <w:p w14:paraId="6164CB81" w14:textId="77777777" w:rsidR="00C054CD" w:rsidRDefault="00000000">
            <w:r>
              <w:rPr>
                <w:sz w:val="20"/>
                <w:szCs w:val="20"/>
              </w:rPr>
              <w:t>Implícito</w:t>
            </w:r>
          </w:p>
        </w:tc>
        <w:tc>
          <w:tcPr>
            <w:tcW w:w="1100" w:type="dxa"/>
            <w:tcMar>
              <w:top w:w="80" w:type="dxa"/>
              <w:left w:w="100" w:type="dxa"/>
              <w:bottom w:w="80" w:type="dxa"/>
              <w:right w:w="100" w:type="dxa"/>
            </w:tcMar>
          </w:tcPr>
          <w:p w14:paraId="72DFF617" w14:textId="77777777" w:rsidR="00C054CD" w:rsidRDefault="00000000">
            <w:r>
              <w:rPr>
                <w:sz w:val="20"/>
                <w:szCs w:val="20"/>
              </w:rPr>
              <w:t>512</w:t>
            </w:r>
          </w:p>
        </w:tc>
        <w:tc>
          <w:tcPr>
            <w:tcW w:w="2700" w:type="dxa"/>
            <w:tcMar>
              <w:top w:w="80" w:type="dxa"/>
              <w:left w:w="100" w:type="dxa"/>
              <w:bottom w:w="80" w:type="dxa"/>
              <w:right w:w="100" w:type="dxa"/>
            </w:tcMar>
          </w:tcPr>
          <w:p w14:paraId="14F0D595" w14:textId="77777777" w:rsidR="00C054CD" w:rsidRDefault="00000000">
            <w:r>
              <w:rPr>
                <w:sz w:val="20"/>
                <w:szCs w:val="20"/>
              </w:rPr>
              <w:t>Sentinel-2 (solo en entrenamiento)</w:t>
            </w:r>
          </w:p>
        </w:tc>
        <w:tc>
          <w:tcPr>
            <w:tcW w:w="2160" w:type="dxa"/>
            <w:tcMar>
              <w:top w:w="80" w:type="dxa"/>
              <w:left w:w="100" w:type="dxa"/>
              <w:bottom w:w="80" w:type="dxa"/>
              <w:right w:w="100" w:type="dxa"/>
            </w:tcMar>
          </w:tcPr>
          <w:p w14:paraId="763E671A" w14:textId="77777777" w:rsidR="00C054CD" w:rsidRDefault="00000000">
            <w:r>
              <w:rPr>
                <w:sz w:val="20"/>
                <w:szCs w:val="20"/>
              </w:rPr>
              <w:t>Coordenadas, CPU</w:t>
            </w:r>
          </w:p>
        </w:tc>
      </w:tr>
    </w:tbl>
    <w:p w14:paraId="3533D7E9" w14:textId="77777777" w:rsidR="00C054CD" w:rsidRDefault="00C054CD">
      <w:pPr>
        <w:spacing w:after="200" w:line="480" w:lineRule="auto"/>
        <w:jc w:val="both"/>
      </w:pPr>
    </w:p>
    <w:p w14:paraId="20EEDA51" w14:textId="77777777" w:rsidR="00C054CD" w:rsidRDefault="00000000">
      <w:pPr>
        <w:spacing w:before="200" w:after="120" w:line="480" w:lineRule="auto"/>
        <w:jc w:val="both"/>
      </w:pPr>
      <w:r>
        <w:t>Durante la configuración práctica de cada modelo surgieron diferencias de implementación que vale la pena documentar, porque afectan directamente la viabilidad de usarlos a escala de toda la Ciudad de México:</w:t>
      </w:r>
    </w:p>
    <w:p w14:paraId="063A12A5" w14:textId="77777777" w:rsidR="00C054CD" w:rsidRDefault="00000000">
      <w:pPr>
        <w:pStyle w:val="Prrafodelista"/>
        <w:numPr>
          <w:ilvl w:val="0"/>
          <w:numId w:val="2"/>
        </w:numPr>
        <w:spacing w:after="80" w:line="480" w:lineRule="auto"/>
        <w:jc w:val="both"/>
      </w:pPr>
      <w:r>
        <w:t>Clay v1.5 asume internamente que el número de parches de la imagen forma una rejilla cuadrada perfecta, calculando el lado de la rejilla como la raíz cuadrada del número total de parches; si el recorte satelital no es cuadrado, la codificación posicional falla. La solución práctica es recortar cada chip a un tamaño cuadrado múltiplo del tamaño de parche (8 píxeles) antes de pasarlo al encoder.</w:t>
      </w:r>
    </w:p>
    <w:p w14:paraId="7CEA06C6" w14:textId="77777777" w:rsidR="00C054CD" w:rsidRDefault="00000000">
      <w:pPr>
        <w:pStyle w:val="Prrafodelista"/>
        <w:numPr>
          <w:ilvl w:val="0"/>
          <w:numId w:val="2"/>
        </w:numPr>
        <w:spacing w:after="80" w:line="480" w:lineRule="auto"/>
        <w:jc w:val="both"/>
      </w:pPr>
      <w:r>
        <w:t>Prithvi-EO-2.0 maneja alto y ancho de manera independiente en su codificación posicional, por lo que no sufre esta limitación; solo requiere que cada dimensión sea múltiplo de su tamaño de parche (16 píxeles). A cambio, exige normalizar cada banda con la media y desviación estándar específicas con las que fue entrenado sobre el archivo HLS, en vez de una normalización genérica.</w:t>
      </w:r>
    </w:p>
    <w:p w14:paraId="3912DB08" w14:textId="77777777" w:rsidR="00C054CD" w:rsidRDefault="00000000">
      <w:pPr>
        <w:pStyle w:val="Prrafodelista"/>
        <w:numPr>
          <w:ilvl w:val="0"/>
          <w:numId w:val="2"/>
        </w:numPr>
        <w:spacing w:after="80" w:line="480" w:lineRule="auto"/>
        <w:jc w:val="both"/>
      </w:pPr>
      <w:r>
        <w:t xml:space="preserve">SatCLIP tiene una limitación de resolución espacial intrínseca a su diseño matemático: la codificación de coordenadas usa armónicos esféricos de un grado fijo (L=40 en la variante usada), y el grado de un armónico esférico determina la longitud de onda mínima que puede representar, aproximadamente 180°/L de arco, del orden de cientos de kilómetros para L=40. Dos ubicaciones separadas por unos pocos kilómetros, como dos AGEBs distintas </w:t>
      </w:r>
      <w:r>
        <w:lastRenderedPageBreak/>
        <w:t>dentro de la misma colonia, resultan prácticamente indistinguibles para este modelo. El propio model card de SatCLIP advierte que los problemas de “geografía fina” están fuera de su alcance previsto, una limitación confirmada empíricamente al comparar ubicaciones dentro de la Ciudad de México frente a ubicaciones en distintos continentes.</w:t>
      </w:r>
    </w:p>
    <w:p w14:paraId="23699A8C" w14:textId="45F3B50C" w:rsidR="00C054CD" w:rsidRDefault="00000000">
      <w:pPr>
        <w:spacing w:before="120" w:line="480" w:lineRule="auto"/>
        <w:jc w:val="both"/>
      </w:pPr>
      <w:r>
        <w:t>Esta heterogeneidad en dimensionalidad, en dato de entrenamiento, en costo computacional y en resolución efectiva es la razón por la que la estancia evalúa varios modelos en paralelo en lugar de asumir que cualquiera de ellos es adecuado por defecto para el problema de interés.</w:t>
      </w:r>
    </w:p>
    <w:p w14:paraId="255AC221" w14:textId="77777777" w:rsidR="00C054CD" w:rsidRDefault="00000000">
      <w:pPr>
        <w:pStyle w:val="Ttulo1"/>
      </w:pPr>
      <w:r>
        <w:t>5. Pipeline aplicado: de coordenadas a predicción</w:t>
      </w:r>
    </w:p>
    <w:p w14:paraId="25D63A97" w14:textId="77777777" w:rsidR="00C054CD" w:rsidRDefault="00000000">
      <w:pPr>
        <w:spacing w:after="200" w:line="480" w:lineRule="auto"/>
        <w:jc w:val="both"/>
      </w:pPr>
      <w:r>
        <w:t>El uso práctico de Earth Embeddings para un problema de predicción geoespacial sigue una estructura común. Dos papers leídos esta semana ilustran variantes concretas de esa estructura, y conviene detenerse en ambos porque aportan algo más que una analogía general: comparten modelos, datos y, en el caso de Gong et al., literalmente el mismo pipeline de extracción que esta estancia ya construyó.</w:t>
      </w:r>
    </w:p>
    <w:p w14:paraId="26927B17" w14:textId="1CD43A78" w:rsidR="00C054CD" w:rsidRDefault="00000000">
      <w:pPr>
        <w:spacing w:after="200" w:line="480" w:lineRule="auto"/>
        <w:jc w:val="both"/>
      </w:pPr>
      <w:r>
        <w:t>Yue, Zhao y Hu (2026) parten de GSED los mismos embeddings de AlphaEarth usados en esta estancia</w:t>
      </w:r>
      <w:r w:rsidR="00DD110A">
        <w:t xml:space="preserve"> </w:t>
      </w:r>
      <w:r>
        <w:t xml:space="preserve">para estimar el PIB de cada país. Su pipeline encadena tres etapas: primero entrenan una red que proyecta el embedding de 64 dimensiones de cada celda de 10 km hacia la intensidad de luces nocturnas (NTL) observada en esa misma celda, truncando la red en una capa intermedia para obtener una representación de 32 dimensiones que llaman “income-aware”, es decir, seleccionan las dimensiones del embedding original que mejor se alinean con un proxy económico conocido, en vez de usar el vector completo sin filtrar. Sobre esa representación filtrada entrenan una segunda red que primero transforma el vector a 16 dimensiones por celda, y después agrega suma esos vectores a nivel de todas las celdas dentro de un país, antes de mapear esa suma a una </w:t>
      </w:r>
      <w:r>
        <w:lastRenderedPageBreak/>
        <w:t>estimación del PIB nacional. Este diseño jerárquico, procesar primero a nivel de unidad espacial pequeña y sumar después a la unidad de análisis final, es directamente análogo a lo que esta estancia necesitaría si, en algún momento, hubiera que agregar embeddings de AGEB hacia alcaldía o ciudad.</w:t>
      </w:r>
    </w:p>
    <w:p w14:paraId="5C88D8BA" w14:textId="3CAFA594" w:rsidR="00C054CD" w:rsidRDefault="00000000">
      <w:pPr>
        <w:spacing w:after="200" w:line="480" w:lineRule="auto"/>
        <w:jc w:val="both"/>
      </w:pPr>
      <w:r>
        <w:t xml:space="preserve">Un hallazgo metodológico de Yue et al. que vale la pena incorporar al diseño de esta estancia es la distinción entre nivel y crecimiento: su estimador basado en embeddings predice mejor el nivel absoluto del PIB </w:t>
      </w:r>
      <w:r w:rsidR="00DD110A">
        <w:t>(</w:t>
      </w:r>
      <w:r>
        <w:t>particularmente en países con baja capacidad estadística o ingreso alto</w:t>
      </w:r>
      <w:r w:rsidR="00DD110A">
        <w:t>)</w:t>
      </w:r>
      <w:r>
        <w:t>, mientras que el estimador basado en luces nocturnas captura mejor la variación de corto plazo. Para el proyecto de valuación inmobiliaria de esta estancia, cuyo outcome (el valor de una propiedad en un momento dado) es más cercano a un “nivel” que a una tasa de crecimiento, este resultado sugiere que los Earth Embeddings deberían tener aquí una ventaja comparativa real, no solo teórica.</w:t>
      </w:r>
    </w:p>
    <w:p w14:paraId="08EF3A54" w14:textId="6C376772" w:rsidR="00C054CD" w:rsidRDefault="00000000">
      <w:pPr>
        <w:spacing w:after="200" w:line="480" w:lineRule="auto"/>
        <w:jc w:val="both"/>
      </w:pPr>
      <w:r>
        <w:t xml:space="preserve">Gong et al. (2026) sigue una lógica más cercana a la que esta estancia ya viene siguiendo: comparan directamente AlphaEarth, Prithvi y Clay como insumos para predecir 14 indicadores urbanos (delincuencia, ingreso, salud, movilidad) en seis áreas metropolitanas de EE. UU., con un pipeline supervisado unificado (OLS, Random Forest, XGBoost y LightGBM) bajo cuatro configuraciones de evaluación. El hallazgo más relevante para esta estancia no es cuál modelo “gana” en general </w:t>
      </w:r>
      <w:r w:rsidR="00FC4529">
        <w:t>(</w:t>
      </w:r>
      <w:r>
        <w:t>aunque AlphaEarth resultó el más consistente</w:t>
      </w:r>
      <w:r w:rsidR="00FC4529">
        <w:t>)</w:t>
      </w:r>
      <w:r>
        <w:t xml:space="preserve">, sino una prueba de robustez que hicieron explícitamente sobre dimensionalidad: tomaron los embeddings de mayor dimensión de Prithvi y Clay y los redujeron a 64 dimensiones con cinco técnicas distintas (PCA, kernel PCA, Isomap, análisis factorial y proyección aleatoria) para igualarlos en tamaño a AlphaEarth, y encontraron que comprimir nunca mejora el desempeño: en todos los casos la versión comprimida predice peor que la original de alta dimensión, y Clay resultó el más sensible a esa compresión. </w:t>
      </w:r>
      <w:r>
        <w:lastRenderedPageBreak/>
        <w:t>Esto confirma, con evidencia empírica directa y no solo como precaución teórica, la advertencia metodológica de la sección anterior: la dimensionalidad de un embedding no es intercambiable por otra sin pérdida de información.</w:t>
      </w:r>
    </w:p>
    <w:p w14:paraId="5C9D6B6D" w14:textId="77777777" w:rsidR="00C054CD" w:rsidRDefault="00000000">
      <w:pPr>
        <w:spacing w:after="200" w:line="480" w:lineRule="auto"/>
        <w:jc w:val="both"/>
      </w:pPr>
      <w:r>
        <w:t>Otro detalle de Gong et al. directamente aprovechable aquí es la fuente de cada embedding: AlphaEarth lo obtuvieron de Google Earth Engine sin costo, Clay lo extrajeron de Sentinel-2 vía el Microsoft Planetary Computer STAC API procesando parches de 256×256 píxeles con el encoder Clay-v1.5 completo, y Prithvi lo extrajeron del archivo HLS vía la API de NASA EarthData usando las seis bandas que el modelo requiere. Esta correspondencia es prácticamente uno a uno con los notebooks ya construidos en esta estancia, lo que confirma que el pipeline de extracción seguido aquí está alineado con el de un paper publicado, no es una improvisación ad hoc. Un punto que queda sin resolver, sin embargo: Gong et al. reportan que Prithvi-EO-2.0-300M produce vectores de 768 dimensiones “by default”, mientras que el notebook de esta estancia, usando la misma variante (prithvi_eo_v2_300) a través de TerraTorch, obtuvo de forma reproducible un embedding de 1024 dimensiones. La discrepancia podría deberse a una vía de acceso distinta al modelo —por ejemplo, Hugging Face Transformers en vez de TerraTorch—, pero conviene aclararla antes de citar la dimensión de Prithvi como un hecho establecido en el reporte final.</w:t>
      </w:r>
    </w:p>
    <w:p w14:paraId="1E2F164E" w14:textId="305223DC" w:rsidR="00C054CD" w:rsidRDefault="00000000">
      <w:pPr>
        <w:spacing w:line="480" w:lineRule="auto"/>
        <w:jc w:val="both"/>
      </w:pPr>
      <w:r>
        <w:t xml:space="preserve">Sobre replicabilidad: ambos papers usan exclusivamente datos públicos y de acceso gratuito </w:t>
      </w:r>
      <w:r w:rsidR="00FC4529">
        <w:t>(</w:t>
      </w:r>
      <w:r>
        <w:t>GSED y NTL vía Google Earth Engine, PIB e índice de capacidad estadística (SPI) del Banco Mundial para Yue et al.; AlphaEarth, Clay y Prithvi vía GEE, Planetary Computer y NASA EarthData, además de portales de datos abiertos municipales y la ACS para Gong et al.</w:t>
      </w:r>
      <w:r w:rsidR="00FC4529">
        <w:t>)</w:t>
      </w:r>
      <w:r>
        <w:t xml:space="preserve">, y ambos documentan la arquitectura de sus redes con suficiente precisión (incluyendo diagramas explícitos de capas y dimensiones) como para que la metodología sea replicable sin contactar a los autores. </w:t>
      </w:r>
      <w:r>
        <w:lastRenderedPageBreak/>
        <w:t>Lo que no es trivial de replicar sin recursos adicionales es la escala: Yue et al. trabajan con el archivo completo del Banco Mundial para casi todos los países del mundo (2017–2024), y Gong et al. procesan seis áreas metropolitanas completas de EE. UU. con datos a nivel de census block group, ambos con exigencias de cómputo y tiempo de descarga sustancialmente mayores a los chips de prueba individuales usados hasta ahora en esta estancia.</w:t>
      </w:r>
    </w:p>
    <w:p w14:paraId="0F7782C9" w14:textId="77777777" w:rsidR="00C054CD" w:rsidRDefault="00000000">
      <w:pPr>
        <w:pStyle w:val="Ttulo1"/>
      </w:pPr>
      <w:r>
        <w:t>6. El pipeline de la estancia: de coordenadas a predicción</w:t>
      </w:r>
    </w:p>
    <w:p w14:paraId="76E10154" w14:textId="77777777" w:rsidR="00C054CD" w:rsidRDefault="00000000">
      <w:pPr>
        <w:spacing w:after="120" w:line="480" w:lineRule="auto"/>
        <w:jc w:val="both"/>
      </w:pPr>
      <w:r>
        <w:t>Trasladado al proyecto de valuación inmobiliaria de esta estancia, el pipeline tiene cuatro pasos:</w:t>
      </w:r>
    </w:p>
    <w:p w14:paraId="30FCE914" w14:textId="77777777" w:rsidR="00C054CD" w:rsidRDefault="00000000">
      <w:pPr>
        <w:pStyle w:val="Prrafodelista"/>
        <w:numPr>
          <w:ilvl w:val="0"/>
          <w:numId w:val="3"/>
        </w:numPr>
        <w:spacing w:after="80" w:line="480" w:lineRule="auto"/>
        <w:jc w:val="both"/>
      </w:pPr>
      <w:r>
        <w:t>Definir la unidad de análisis y su geometría. La unidad es el AGEB (Área Geoestadística Básica) dentro de la Ciudad de México, cada una con un polígono y, por tanto, un centroide o conjunto de coordenadas representativas.</w:t>
      </w:r>
    </w:p>
    <w:p w14:paraId="71867DF4" w14:textId="77777777" w:rsidR="00C054CD" w:rsidRDefault="00000000">
      <w:pPr>
        <w:pStyle w:val="Prrafodelista"/>
        <w:numPr>
          <w:ilvl w:val="0"/>
          <w:numId w:val="3"/>
        </w:numPr>
        <w:spacing w:after="80" w:line="480" w:lineRule="auto"/>
        <w:jc w:val="both"/>
      </w:pPr>
      <w:r>
        <w:t>Extraer un embedding por unidad. Para modelos explícitos, esto implica descargar la imagen satelital correspondiente al polígono (o a una ventana centrada en su centroide) y pasarla por el encoder; para modelos implícitos como SatCLIP, basta evaluar el encoder de coordenadas en el centroide.</w:t>
      </w:r>
    </w:p>
    <w:p w14:paraId="4F9AE3BD" w14:textId="461AFFCC" w:rsidR="00C054CD" w:rsidRDefault="00000000">
      <w:pPr>
        <w:pStyle w:val="Prrafodelista"/>
        <w:numPr>
          <w:ilvl w:val="0"/>
          <w:numId w:val="3"/>
        </w:numPr>
        <w:spacing w:after="80" w:line="480" w:lineRule="auto"/>
        <w:jc w:val="both"/>
      </w:pPr>
      <w:r>
        <w:t xml:space="preserve">Unir (merge) con datos tabulares existentes. Los embeddings, indexados por AGEB, se combinan con variables ya disponibles </w:t>
      </w:r>
      <w:r w:rsidR="00FC4529">
        <w:t>(</w:t>
      </w:r>
      <w:r>
        <w:t>en este caso, el Censo de Población y Vivienda 2020</w:t>
      </w:r>
      <w:r w:rsidR="00FC4529">
        <w:t>)</w:t>
      </w:r>
      <w:r>
        <w:t xml:space="preserve"> mediante una llave geográfica común.</w:t>
      </w:r>
    </w:p>
    <w:p w14:paraId="041FAB4C" w14:textId="77777777" w:rsidR="00C054CD" w:rsidRDefault="00000000">
      <w:pPr>
        <w:pStyle w:val="Prrafodelista"/>
        <w:numPr>
          <w:ilvl w:val="0"/>
          <w:numId w:val="3"/>
        </w:numPr>
        <w:spacing w:after="80" w:line="480" w:lineRule="auto"/>
        <w:jc w:val="both"/>
      </w:pPr>
      <w:r>
        <w:t>Entrenar un modelo supervisado sobre el outcome de interés. Con la tabla combinada, se ajusta un modelo de predicción sobre la variable objetivo de la estancia, replicando el diseño incremental usado en la literatura: un modelo base solo con variables censales, un segundo modelo solo con embeddings, y un tercero con ambos conjuntos de variables combinados, para aislar cuánta variación adicional explican los embeddings por sí mismos.</w:t>
      </w:r>
    </w:p>
    <w:p w14:paraId="4DFB29B9" w14:textId="4A883913" w:rsidR="00C054CD" w:rsidRDefault="00000000">
      <w:pPr>
        <w:spacing w:before="120" w:line="480" w:lineRule="auto"/>
        <w:jc w:val="both"/>
      </w:pPr>
      <w:r>
        <w:lastRenderedPageBreak/>
        <w:t xml:space="preserve">Un punto metodológico que merece atención explícita en este diseño es la dimensionalidad: AlphaEarth entrega vectores de 64 dimensiones, SatCLIP de 512, y Clay y Prithvi de 1024 (con la salvedad sobre Prithvi señalada arriba). Un modelo con más dimensiones no necesariamente predice mejor por ese solo hecho </w:t>
      </w:r>
      <w:r w:rsidR="00FC4529">
        <w:t>(</w:t>
      </w:r>
      <w:r>
        <w:t>puede simplemente estar sobreajustando con más parámetros libres</w:t>
      </w:r>
      <w:r w:rsidR="00FC4529">
        <w:t>)</w:t>
      </w:r>
      <w:r>
        <w:t>, así que cualquier comparación de poder predictivo entre embeddings de distinta dimensionalidad debe controlar por ese factor, por ejemplo mediante regularización (Lasso, Ridge) o reducción de dimensionalidad (PCA) antes de comparar modelos. Esto ya no es solo una precaución teórica: Gong et al. lo confirman empíricamente en la sección anterior.</w:t>
      </w:r>
    </w:p>
    <w:p w14:paraId="377C7101" w14:textId="77777777" w:rsidR="00C054CD" w:rsidRDefault="00000000">
      <w:r>
        <w:br w:type="page"/>
      </w:r>
    </w:p>
    <w:p w14:paraId="3C080230" w14:textId="77777777" w:rsidR="00C054CD" w:rsidRDefault="00000000">
      <w:pPr>
        <w:pStyle w:val="Ttulo1"/>
      </w:pPr>
      <w:r>
        <w:lastRenderedPageBreak/>
        <w:t>Referencias</w:t>
      </w:r>
    </w:p>
    <w:p w14:paraId="1A48C893" w14:textId="77777777" w:rsidR="00C054CD" w:rsidRDefault="00000000">
      <w:pPr>
        <w:spacing w:after="160"/>
        <w:jc w:val="both"/>
      </w:pPr>
      <w:r>
        <w:rPr>
          <w:sz w:val="22"/>
          <w:szCs w:val="22"/>
        </w:rPr>
        <w:t>Brown, C. F., et al. (2025). AlphaEarth Foundations. arXiv:2507.22291.</w:t>
      </w:r>
    </w:p>
    <w:p w14:paraId="754380C6" w14:textId="77777777" w:rsidR="00C054CD" w:rsidRDefault="00000000">
      <w:pPr>
        <w:spacing w:after="160"/>
        <w:jc w:val="both"/>
      </w:pPr>
      <w:r>
        <w:rPr>
          <w:sz w:val="22"/>
          <w:szCs w:val="22"/>
        </w:rPr>
        <w:t>Dosovitskiy, A., Beyer, L., Kolesnikov, A., Weissenborn, D., Zhai, X., Unterthiner, T., Dehghani, M., Minderer, M., Heigold, G., Gelly, S., Uszkoreit, J., &amp; Houlsby, N. (2021). An Image is Worth 16x16 Words: Transformers for Image Recognition at Scale. International Conference on Learning Representations (ICLR).</w:t>
      </w:r>
    </w:p>
    <w:p w14:paraId="39B00FCF" w14:textId="77777777" w:rsidR="00C054CD" w:rsidRDefault="00000000">
      <w:pPr>
        <w:spacing w:after="160"/>
        <w:jc w:val="both"/>
      </w:pPr>
      <w:r>
        <w:rPr>
          <w:sz w:val="22"/>
          <w:szCs w:val="22"/>
        </w:rPr>
        <w:t>Gong, W., Srivastava, U., Wang, Y., Jia, Y., Wu, Q., Bai, W., Yang, Y., Huang, X., &amp; Ye, X. (2026). Earth Embeddings Reveal Diverse Urban Signals from Space. arXiv:2604.03456.</w:t>
      </w:r>
    </w:p>
    <w:p w14:paraId="325B56FC" w14:textId="77777777" w:rsidR="00C054CD" w:rsidRDefault="00000000">
      <w:pPr>
        <w:spacing w:after="160"/>
        <w:jc w:val="both"/>
      </w:pPr>
      <w:r>
        <w:rPr>
          <w:sz w:val="22"/>
          <w:szCs w:val="22"/>
        </w:rPr>
        <w:t>He, K., Chen, X., Xie, S., Li, Y., Dollár, P., &amp; Girshick, R. (2022). Masked Autoencoders Are Scalable Vision Learners. IEEE/CVF Conference on Computer Vision and Pattern Recognition (CVPR).</w:t>
      </w:r>
    </w:p>
    <w:p w14:paraId="7524D2C4" w14:textId="77777777" w:rsidR="00C054CD" w:rsidRDefault="00000000">
      <w:pPr>
        <w:spacing w:after="160"/>
        <w:jc w:val="both"/>
      </w:pPr>
      <w:r>
        <w:rPr>
          <w:sz w:val="22"/>
          <w:szCs w:val="22"/>
        </w:rPr>
        <w:t>Klemmer, K., Rolf, E., Rußwurm, M., Camps-Valls, G., Czerkawski, M., Ermon, S., Francis, A., Jacobs, N., Kerner, H. R., Mackey, L., Mai, G., Mac Aodha, O., Reichstein, M., Robinson, C., Rolnick, D., Shelhamer, E., Sitzmann, V., Tuia, D., &amp; Zhu, X. (2025). Earth Embeddings: Towards AI-centric Representations of our Planet. EarthArXiv.</w:t>
      </w:r>
    </w:p>
    <w:p w14:paraId="20B6A583" w14:textId="77777777" w:rsidR="00C054CD" w:rsidRDefault="00000000">
      <w:pPr>
        <w:spacing w:after="160"/>
        <w:jc w:val="both"/>
      </w:pPr>
      <w:r>
        <w:rPr>
          <w:sz w:val="22"/>
          <w:szCs w:val="22"/>
        </w:rPr>
        <w:t>Klemmer, K., Rolf, E., Robinson, C., Mackey, L., &amp; Rußwurm, M. (2025). SatCLIP: Global, General-Purpose Location Embeddings with Satellite Imagery. AAAI Conference on Artificial Intelligence, 39(4), 4347–4355.</w:t>
      </w:r>
    </w:p>
    <w:p w14:paraId="19F85341" w14:textId="77777777" w:rsidR="00C054CD" w:rsidRDefault="00000000">
      <w:pPr>
        <w:spacing w:after="160"/>
        <w:jc w:val="both"/>
      </w:pPr>
      <w:r>
        <w:rPr>
          <w:sz w:val="22"/>
          <w:szCs w:val="22"/>
        </w:rPr>
        <w:t>Szwarcman, D., et al. (2025). Prithvi-EO-2.0: A Versatile Multi-Temporal Foundation Model for Earth Observation Applications. arXiv:2412.02732.</w:t>
      </w:r>
    </w:p>
    <w:p w14:paraId="669EB516" w14:textId="77777777" w:rsidR="00C054CD" w:rsidRDefault="00000000">
      <w:pPr>
        <w:spacing w:after="160"/>
        <w:jc w:val="both"/>
      </w:pPr>
      <w:r>
        <w:rPr>
          <w:sz w:val="22"/>
          <w:szCs w:val="22"/>
        </w:rPr>
        <w:t>Yue, X., Zhao, Z., &amp; Hu, K. (2026). Estimating Economic Activity from Satellite Embeddings. Applied Sciences, 16(2), 582. https://doi.org/10.3390/app16020582</w:t>
      </w:r>
    </w:p>
    <w:sectPr w:rsidR="00C054C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696506"/>
    <w:multiLevelType w:val="hybridMultilevel"/>
    <w:tmpl w:val="62A8349A"/>
    <w:lvl w:ilvl="0" w:tplc="5A608842">
      <w:start w:val="1"/>
      <w:numFmt w:val="bullet"/>
      <w:lvlText w:val="●"/>
      <w:lvlJc w:val="left"/>
      <w:pPr>
        <w:ind w:left="720" w:hanging="360"/>
      </w:pPr>
    </w:lvl>
    <w:lvl w:ilvl="1" w:tplc="E6B661CE">
      <w:start w:val="1"/>
      <w:numFmt w:val="bullet"/>
      <w:lvlText w:val="○"/>
      <w:lvlJc w:val="left"/>
      <w:pPr>
        <w:ind w:left="1440" w:hanging="360"/>
      </w:pPr>
    </w:lvl>
    <w:lvl w:ilvl="2" w:tplc="AFAABF3A">
      <w:start w:val="1"/>
      <w:numFmt w:val="bullet"/>
      <w:lvlText w:val="■"/>
      <w:lvlJc w:val="left"/>
      <w:pPr>
        <w:ind w:left="2160" w:hanging="360"/>
      </w:pPr>
    </w:lvl>
    <w:lvl w:ilvl="3" w:tplc="877C4862">
      <w:start w:val="1"/>
      <w:numFmt w:val="bullet"/>
      <w:lvlText w:val="●"/>
      <w:lvlJc w:val="left"/>
      <w:pPr>
        <w:ind w:left="2880" w:hanging="360"/>
      </w:pPr>
    </w:lvl>
    <w:lvl w:ilvl="4" w:tplc="55307894">
      <w:start w:val="1"/>
      <w:numFmt w:val="bullet"/>
      <w:lvlText w:val="○"/>
      <w:lvlJc w:val="left"/>
      <w:pPr>
        <w:ind w:left="3600" w:hanging="360"/>
      </w:pPr>
    </w:lvl>
    <w:lvl w:ilvl="5" w:tplc="42D42E5E">
      <w:start w:val="1"/>
      <w:numFmt w:val="bullet"/>
      <w:lvlText w:val="■"/>
      <w:lvlJc w:val="left"/>
      <w:pPr>
        <w:ind w:left="4320" w:hanging="360"/>
      </w:pPr>
    </w:lvl>
    <w:lvl w:ilvl="6" w:tplc="575CF8D8">
      <w:start w:val="1"/>
      <w:numFmt w:val="bullet"/>
      <w:lvlText w:val="●"/>
      <w:lvlJc w:val="left"/>
      <w:pPr>
        <w:ind w:left="5040" w:hanging="360"/>
      </w:pPr>
    </w:lvl>
    <w:lvl w:ilvl="7" w:tplc="0C50D3A2">
      <w:start w:val="1"/>
      <w:numFmt w:val="bullet"/>
      <w:lvlText w:val="●"/>
      <w:lvlJc w:val="left"/>
      <w:pPr>
        <w:ind w:left="5760" w:hanging="360"/>
      </w:pPr>
    </w:lvl>
    <w:lvl w:ilvl="8" w:tplc="970AFC34">
      <w:start w:val="1"/>
      <w:numFmt w:val="bullet"/>
      <w:lvlText w:val="●"/>
      <w:lvlJc w:val="left"/>
      <w:pPr>
        <w:ind w:left="6480" w:hanging="360"/>
      </w:pPr>
    </w:lvl>
  </w:abstractNum>
  <w:abstractNum w:abstractNumId="1" w15:restartNumberingAfterBreak="0">
    <w:nsid w:val="1D614DC9"/>
    <w:multiLevelType w:val="hybridMultilevel"/>
    <w:tmpl w:val="CF209A12"/>
    <w:lvl w:ilvl="0" w:tplc="337A2270">
      <w:start w:val="1"/>
      <w:numFmt w:val="bullet"/>
      <w:lvlText w:val="•"/>
      <w:lvlJc w:val="left"/>
      <w:pPr>
        <w:ind w:left="720" w:hanging="360"/>
      </w:pPr>
    </w:lvl>
    <w:lvl w:ilvl="1" w:tplc="65A035CC">
      <w:numFmt w:val="decimal"/>
      <w:lvlText w:val=""/>
      <w:lvlJc w:val="left"/>
    </w:lvl>
    <w:lvl w:ilvl="2" w:tplc="61706A1C">
      <w:numFmt w:val="decimal"/>
      <w:lvlText w:val=""/>
      <w:lvlJc w:val="left"/>
    </w:lvl>
    <w:lvl w:ilvl="3" w:tplc="2FC26EA4">
      <w:numFmt w:val="decimal"/>
      <w:lvlText w:val=""/>
      <w:lvlJc w:val="left"/>
    </w:lvl>
    <w:lvl w:ilvl="4" w:tplc="0726BBE6">
      <w:numFmt w:val="decimal"/>
      <w:lvlText w:val=""/>
      <w:lvlJc w:val="left"/>
    </w:lvl>
    <w:lvl w:ilvl="5" w:tplc="EE6688CE">
      <w:numFmt w:val="decimal"/>
      <w:lvlText w:val=""/>
      <w:lvlJc w:val="left"/>
    </w:lvl>
    <w:lvl w:ilvl="6" w:tplc="EC5AD9E2">
      <w:numFmt w:val="decimal"/>
      <w:lvlText w:val=""/>
      <w:lvlJc w:val="left"/>
    </w:lvl>
    <w:lvl w:ilvl="7" w:tplc="721C1A74">
      <w:numFmt w:val="decimal"/>
      <w:lvlText w:val=""/>
      <w:lvlJc w:val="left"/>
    </w:lvl>
    <w:lvl w:ilvl="8" w:tplc="158E62C8">
      <w:numFmt w:val="decimal"/>
      <w:lvlText w:val=""/>
      <w:lvlJc w:val="left"/>
    </w:lvl>
  </w:abstractNum>
  <w:abstractNum w:abstractNumId="2" w15:restartNumberingAfterBreak="0">
    <w:nsid w:val="5301205A"/>
    <w:multiLevelType w:val="hybridMultilevel"/>
    <w:tmpl w:val="A8A2BA9C"/>
    <w:lvl w:ilvl="0" w:tplc="86D4E196">
      <w:start w:val="1"/>
      <w:numFmt w:val="decimal"/>
      <w:lvlText w:val="%1."/>
      <w:lvlJc w:val="left"/>
      <w:pPr>
        <w:ind w:left="720" w:hanging="360"/>
      </w:pPr>
    </w:lvl>
    <w:lvl w:ilvl="1" w:tplc="E72C2CD4">
      <w:numFmt w:val="decimal"/>
      <w:lvlText w:val=""/>
      <w:lvlJc w:val="left"/>
    </w:lvl>
    <w:lvl w:ilvl="2" w:tplc="0FB26450">
      <w:numFmt w:val="decimal"/>
      <w:lvlText w:val=""/>
      <w:lvlJc w:val="left"/>
    </w:lvl>
    <w:lvl w:ilvl="3" w:tplc="B1B01AE2">
      <w:numFmt w:val="decimal"/>
      <w:lvlText w:val=""/>
      <w:lvlJc w:val="left"/>
    </w:lvl>
    <w:lvl w:ilvl="4" w:tplc="C0D0951A">
      <w:numFmt w:val="decimal"/>
      <w:lvlText w:val=""/>
      <w:lvlJc w:val="left"/>
    </w:lvl>
    <w:lvl w:ilvl="5" w:tplc="A40AB184">
      <w:numFmt w:val="decimal"/>
      <w:lvlText w:val=""/>
      <w:lvlJc w:val="left"/>
    </w:lvl>
    <w:lvl w:ilvl="6" w:tplc="BF86FA30">
      <w:numFmt w:val="decimal"/>
      <w:lvlText w:val=""/>
      <w:lvlJc w:val="left"/>
    </w:lvl>
    <w:lvl w:ilvl="7" w:tplc="86B20538">
      <w:numFmt w:val="decimal"/>
      <w:lvlText w:val=""/>
      <w:lvlJc w:val="left"/>
    </w:lvl>
    <w:lvl w:ilvl="8" w:tplc="7054E1A0">
      <w:numFmt w:val="decimal"/>
      <w:lvlText w:val=""/>
      <w:lvlJc w:val="left"/>
    </w:lvl>
  </w:abstractNum>
  <w:num w:numId="1" w16cid:durableId="670526817">
    <w:abstractNumId w:val="0"/>
    <w:lvlOverride w:ilvl="0">
      <w:startOverride w:val="1"/>
    </w:lvlOverride>
  </w:num>
  <w:num w:numId="2" w16cid:durableId="1174419908">
    <w:abstractNumId w:val="1"/>
    <w:lvlOverride w:ilvl="0">
      <w:startOverride w:val="1"/>
    </w:lvlOverride>
  </w:num>
  <w:num w:numId="3" w16cid:durableId="381373058">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4CD"/>
    <w:rsid w:val="00C054CD"/>
    <w:rsid w:val="00DD110A"/>
    <w:rsid w:val="00EC04D0"/>
    <w:rsid w:val="00FC452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72854E46"/>
  <w15:docId w15:val="{1B015E15-F4BB-134E-80DD-D4D9C04A9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sz w:val="30"/>
      <w:szCs w:val="30"/>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12</Pages>
  <Words>3187</Words>
  <Characters>17531</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MANUEL ALONSO DE LA TEJERA GONZALEZ</cp:lastModifiedBy>
  <cp:revision>2</cp:revision>
  <dcterms:created xsi:type="dcterms:W3CDTF">2026-06-16T22:41:00Z</dcterms:created>
  <dcterms:modified xsi:type="dcterms:W3CDTF">2026-06-22T01:55:00Z</dcterms:modified>
</cp:coreProperties>
</file>