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17947f"/>
          <w:sz w:val="30"/>
          <w:szCs w:val="30"/>
          <w:b w:val="1"/>
          <w:bCs w:val="1"/>
        </w:rPr>
        <w:t xml:space="preserve">EJE: Queretanos prósperos 
</w:t>
      </w:r>
    </w:p>
    <w:p>
      <w:pPr/>
      <w:r>
        <w:rPr>
          <w:rFonts w:ascii="Arial" w:hAnsi="Arial" w:eastAsia="Arial" w:cs="Arial"/>
          <w:color w:val="17947f"/>
          <w:sz w:val="30"/>
          <w:szCs w:val="30"/>
          <w:b w:val="1"/>
          <w:bCs w:val="1"/>
        </w:rPr>
        <w:t xml:space="preserve">Tema: Desarrollo agropecuario.
</w:t>
      </w:r>
    </w:p>
    <w:p>
      <w:pPr/>
      <w:r>
        <w:rPr>
          <w:rFonts w:ascii="Arial" w:hAnsi="Arial" w:eastAsia="Arial" w:cs="Arial"/>
          <w:color w:val="17947f"/>
          <w:sz w:val="24"/>
          <w:szCs w:val="24"/>
          <w:b w:val="0"/>
          <w:bCs w:val="0"/>
        </w:rPr>
        <w:t xml:space="preserve">Objetivo 1: Desarrollo agropecuario.
</w:t>
      </w:r>
    </w:p>
    <w:p>
      <w:pPr/>
      <w:r>
        <w:rPr>
          <w:rFonts w:ascii="Arial" w:hAnsi="Arial" w:eastAsia="Arial" w:cs="Arial"/>
          <w:color w:val="17947f"/>
          <w:sz w:val="24"/>
          <w:szCs w:val="24"/>
          <w:b w:val="0"/>
          <w:bCs w:val="0"/>
        </w:rPr>
        <w:t xml:space="preserve">Estrategia 1: Desarrollo agropecuario.
</w:t>
      </w:r>
    </w:p>
    <w:p>
      <w:pPr/>
      <w:r>
        <w:rPr>
          <w:rFonts w:ascii="Arial" w:hAnsi="Arial" w:eastAsia="Arial" w:cs="Arial"/>
          <w:color w:val="17947f"/>
          <w:sz w:val="24"/>
          <w:szCs w:val="24"/>
          <w:b w:val="0"/>
          <w:bCs w:val="0"/>
        </w:rPr>
        <w:t xml:space="preserve">Linea de accion 1: Desarrollo agropecuario.
</w:t>
      </w:r>
    </w:p>
    <w:p>
      <w:pPr/>
      <w:r>
        <w:rPr>
          <w:rFonts w:ascii="Arial" w:hAnsi="Arial" w:eastAsia="Arial" w:cs="Arial"/>
          <w:sz w:val="21"/>
          <w:szCs w:val="21"/>
          <w:b w:val="1"/>
          <w:bCs w:val="1"/>
        </w:rPr>
        <w:t xml:space="preserve">Movibar</w:t>
      </w:r>
    </w:p>
    <w:p>
      <w:pPr/>
      <w:r>
        <w:rPr/>
        <w:t xml:space="preserve"> 
 aasdaasasfasfasfsafasfsafsafsafsaf
</w:t>
      </w:r>
    </w:p>
    <w:p>
      <w:pPr/>
      <w:r>
        <w:rPr>
          <w:rFonts w:ascii="Arial" w:hAnsi="Arial" w:eastAsia="Arial" w:cs="Arial"/>
          <w:color w:val="17947f"/>
          <w:sz w:val="24"/>
          <w:szCs w:val="24"/>
          <w:b w:val="0"/>
          <w:bCs w:val="0"/>
        </w:rPr>
        <w:t xml:space="preserve">Linea de accion 2: Desarrollo agropecuario.
</w:t>
      </w:r>
    </w:p>
    <w:p>
      <w:pPr/>
      <w:r>
        <w:rPr>
          <w:rFonts w:ascii="Arial" w:hAnsi="Arial" w:eastAsia="Arial" w:cs="Arial"/>
          <w:sz w:val="21"/>
          <w:szCs w:val="21"/>
          <w:b w:val="1"/>
          <w:bCs w:val="1"/>
        </w:rPr>
        <w:t xml:space="preserve">Programa de mejoramiento genético pecuario</w:t>
      </w:r>
    </w:p>
    <w:p>
      <w:pPr/>
      <w:r>
        <w:rPr/>
        <w:t xml:space="preserve">Se implementó el Programa de Mejoramiento Genético Pecuario, con el propósito de incrementar el valor de la producción del sector pecuario con enfoque de sostenibilidad en el estado, a través de la entrega de apoyos para la adquisición de sementales y material genético.
Durante el periodo que se informa, se invirtieron 564 mil 800 pesos en la entrega de 127 sementales bovinos y 130 sementales ovinos, en beneficio de 257 productores pecuarios de  cinco municipios del estado.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2021-09-29T12:22:35-05:00</dcterms:created>
  <dcterms:modified xsi:type="dcterms:W3CDTF">2021-09-29T12:22:35-05:00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