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Invoke-HiglasAnalysis.ps1</w:t>
      </w:r>
    </w:p>
    <w:p>
      <w:pPr>
        <w:pStyle w:val="BodyText"/>
        <w:bidi w:val="0"/>
        <w:jc w:val="left"/>
        <w:rPr/>
      </w:pPr>
      <w:r>
        <w:rPr/>
        <w:t>Automated exploratory data analysis (EDA) for CSV datasets, producing a formatted Word or HTML report intended as a discussion starting point for business analysts.</w:t>
      </w:r>
    </w:p>
    <w:p>
      <w:pPr>
        <w:pStyle w:val="BodyText"/>
        <w:bidi w:val="0"/>
        <w:jc w:val="left"/>
        <w:rPr/>
      </w:pPr>
      <w:r>
        <w:rPr/>
        <w:t xml:space="preserve">Designed for locked-down corporate Windows environments: </w:t>
      </w:r>
      <w:r>
        <w:rPr>
          <w:b/>
        </w:rPr>
        <w:t>no Python, no internet access, no module installation required</w:t>
      </w:r>
      <w:r>
        <w:rPr/>
        <w:t>. The script uses only built-in Windows PowerShell 5.1 capabilities, .NET Framework classes, and (optionally) Microsoft Office COM automation.</w:t>
      </w:r>
    </w:p>
    <w:p>
      <w:pPr>
        <w:pStyle w:val="BodyText"/>
        <w:bidi w:val="0"/>
        <w:jc w:val="left"/>
        <w:rPr/>
      </w:pPr>
      <w:r>
        <w:rPr>
          <w:rStyle w:val="Emphasisbyline"/>
        </w:rPr>
        <w:t>Prepared by Manuel Figallo</w:t>
      </w:r>
    </w:p>
    <w:p>
      <w:pPr>
        <w:pStyle w:val="Heading2"/>
        <w:bidi w:val="0"/>
        <w:jc w:val="left"/>
        <w:rPr/>
      </w:pPr>
      <w:r>
        <w:rPr/>
        <w:t>Quick start</w:t>
      </w:r>
    </w:p>
    <w:p>
      <w:pPr>
        <w:pStyle w:val="PreformattedText"/>
        <w:bidi w:val="0"/>
        <w:jc w:val="left"/>
        <w:rPr/>
      </w:pPr>
      <w:r>
        <w:rPr/>
        <w:t>.\Invoke-HiglasAnalysis.ps1 `</w:t>
      </w:r>
    </w:p>
    <w:p>
      <w:pPr>
        <w:pStyle w:val="PreformattedText"/>
        <w:bidi w:val="0"/>
        <w:jc w:val="left"/>
        <w:rPr/>
      </w:pPr>
      <w:r>
        <w:rPr/>
        <w:t xml:space="preserve">    </w:t>
      </w:r>
      <w:r>
        <w:rPr/>
        <w:t>-PROJ_NAME "HIGLAS" `</w:t>
      </w:r>
    </w:p>
    <w:p>
      <w:pPr>
        <w:pStyle w:val="PreformattedText"/>
        <w:bidi w:val="0"/>
        <w:jc w:val="left"/>
        <w:rPr/>
      </w:pPr>
      <w:r>
        <w:rPr/>
        <w:t xml:space="preserve">    </w:t>
      </w:r>
      <w:r>
        <w:rPr/>
        <w:t>-ANALYSIS_VERSION "v1" `</w:t>
      </w:r>
    </w:p>
    <w:p>
      <w:pPr>
        <w:pStyle w:val="PreformattedText"/>
        <w:bidi w:val="0"/>
        <w:jc w:val="left"/>
        <w:rPr/>
      </w:pPr>
      <w:r>
        <w:rPr/>
        <w:t xml:space="preserve">    </w:t>
      </w:r>
      <w:r>
        <w:rPr/>
        <w:t>-PATH_TO_DATA "\\A70admed.com\r1\CGS\APPS\SAS\UNIT\SAS_G\SAS\Manuel\data\HIGLAS\HIGLAS_tbl_HIGLASRBDReport.csv" `</w:t>
      </w:r>
    </w:p>
    <w:p>
      <w:pPr>
        <w:pStyle w:val="PreformattedText"/>
        <w:bidi w:val="0"/>
        <w:spacing w:before="1440" w:after="283"/>
        <w:jc w:val="left"/>
        <w:rPr/>
      </w:pPr>
      <w:r>
        <w:rPr/>
        <w:t xml:space="preserve">    </w:t>
      </w:r>
      <w:r>
        <w:rPr/>
        <w:t>-FINAL_OUTPUT "WORD"</w:t>
      </w:r>
    </w:p>
    <w:p>
      <w:pPr>
        <w:pStyle w:val="Heading2"/>
        <w:bidi w:val="0"/>
        <w:jc w:val="left"/>
        <w:rPr/>
      </w:pPr>
      <w:r>
        <w:rPr/>
        <w:t>Parameters</w:t>
      </w:r>
    </w:p>
    <w:tbl>
      <w:tblPr>
        <w:tblW w:w="5178" w:type="dxa"/>
        <w:jc w:val="left"/>
        <w:tblInd w:w="0" w:type="dxa"/>
        <w:tblLayout w:type="fixed"/>
        <w:tblCellMar>
          <w:top w:w="28" w:type="dxa"/>
          <w:left w:w="28" w:type="dxa"/>
          <w:bottom w:w="28" w:type="dxa"/>
          <w:right w:w="28" w:type="dxa"/>
        </w:tblCellMar>
      </w:tblPr>
      <w:tblGrid>
        <w:gridCol w:w="1636"/>
        <w:gridCol w:w="1366"/>
        <w:gridCol w:w="2176"/>
      </w:tblGrid>
      <w:tr>
        <w:trPr/>
        <w:tc>
          <w:tcPr>
            <w:tcW w:w="1636" w:type="dxa"/>
            <w:tcBorders/>
            <w:vAlign w:val="center"/>
          </w:tcPr>
          <w:p>
            <w:pPr>
              <w:pStyle w:val="TableHeading"/>
              <w:suppressLineNumbers/>
              <w:shd w:fill="1F4E79" w:val="clear"/>
              <w:bidi w:val="0"/>
              <w:spacing w:before="120" w:after="120"/>
              <w:jc w:val="left"/>
              <w:rPr/>
            </w:pPr>
            <w:r>
              <w:rPr/>
              <w:t>Parameter</w:t>
            </w:r>
          </w:p>
        </w:tc>
        <w:tc>
          <w:tcPr>
            <w:tcW w:w="1366" w:type="dxa"/>
            <w:tcBorders/>
            <w:vAlign w:val="center"/>
          </w:tcPr>
          <w:p>
            <w:pPr>
              <w:pStyle w:val="TableHeading"/>
              <w:suppressLineNumbers/>
              <w:shd w:fill="1F4E79" w:val="clear"/>
              <w:bidi w:val="0"/>
              <w:spacing w:before="120" w:after="120"/>
              <w:jc w:val="left"/>
              <w:rPr/>
            </w:pPr>
            <w:r>
              <w:rPr/>
              <w:t>Required</w:t>
            </w:r>
          </w:p>
        </w:tc>
        <w:tc>
          <w:tcPr>
            <w:tcW w:w="2176" w:type="dxa"/>
            <w:tcBorders/>
            <w:vAlign w:val="center"/>
          </w:tcPr>
          <w:p>
            <w:pPr>
              <w:pStyle w:val="TableHeading"/>
              <w:suppressLineNumbers/>
              <w:shd w:fill="1F4E79" w:val="clear"/>
              <w:bidi w:val="0"/>
              <w:spacing w:before="120" w:after="120"/>
              <w:jc w:val="left"/>
              <w:rPr/>
            </w:pPr>
            <w:r>
              <w:rPr/>
              <w:t>Description</w:t>
            </w:r>
          </w:p>
        </w:tc>
      </w:tr>
      <w:tr>
        <w:trPr/>
        <w:tc>
          <w:tcPr>
            <w:tcW w:w="1636" w:type="dxa"/>
            <w:tcBorders/>
            <w:vAlign w:val="center"/>
          </w:tcPr>
          <w:p>
            <w:pPr>
              <w:pStyle w:val="TableContents"/>
              <w:bidi w:val="0"/>
              <w:spacing w:before="120" w:after="120"/>
              <w:jc w:val="left"/>
              <w:rPr/>
            </w:pPr>
            <w:r>
              <w:rPr>
                <w:rStyle w:val="SourceText"/>
              </w:rPr>
              <w:t>PROJ_NAME</w:t>
            </w:r>
          </w:p>
        </w:tc>
        <w:tc>
          <w:tcPr>
            <w:tcW w:w="1366" w:type="dxa"/>
            <w:tcBorders/>
            <w:vAlign w:val="center"/>
          </w:tcPr>
          <w:p>
            <w:pPr>
              <w:pStyle w:val="TableContents"/>
              <w:bidi w:val="0"/>
              <w:spacing w:before="120" w:after="120"/>
              <w:jc w:val="left"/>
              <w:rPr/>
            </w:pPr>
            <w:r>
              <w:rPr/>
              <w:t>Yes</w:t>
            </w:r>
          </w:p>
        </w:tc>
        <w:tc>
          <w:tcPr>
            <w:tcW w:w="2176" w:type="dxa"/>
            <w:tcBorders/>
            <w:vAlign w:val="center"/>
          </w:tcPr>
          <w:p>
            <w:pPr>
              <w:pStyle w:val="TableContents"/>
              <w:bidi w:val="0"/>
              <w:spacing w:before="120" w:after="120"/>
              <w:jc w:val="left"/>
              <w:rPr/>
            </w:pPr>
            <w:r>
              <w:rPr/>
              <w:t xml:space="preserve">Project name used in the report title, output file names, and headers (e.g. </w:t>
            </w:r>
            <w:r>
              <w:rPr>
                <w:rStyle w:val="SourceText"/>
              </w:rPr>
              <w:t>HIGLAS</w:t>
            </w:r>
            <w:r>
              <w:rPr/>
              <w:t>).</w:t>
            </w:r>
          </w:p>
        </w:tc>
      </w:tr>
      <w:tr>
        <w:trPr/>
        <w:tc>
          <w:tcPr>
            <w:tcW w:w="1636" w:type="dxa"/>
            <w:tcBorders/>
            <w:vAlign w:val="center"/>
          </w:tcPr>
          <w:p>
            <w:pPr>
              <w:pStyle w:val="TableContents"/>
              <w:bidi w:val="0"/>
              <w:spacing w:before="120" w:after="120"/>
              <w:jc w:val="left"/>
              <w:rPr/>
            </w:pPr>
            <w:r>
              <w:rPr>
                <w:rStyle w:val="SourceText"/>
              </w:rPr>
              <w:t>ANALYSIS_VERSION</w:t>
            </w:r>
          </w:p>
        </w:tc>
        <w:tc>
          <w:tcPr>
            <w:tcW w:w="1366" w:type="dxa"/>
            <w:tcBorders/>
            <w:vAlign w:val="center"/>
          </w:tcPr>
          <w:p>
            <w:pPr>
              <w:pStyle w:val="TableContents"/>
              <w:bidi w:val="0"/>
              <w:spacing w:before="120" w:after="120"/>
              <w:jc w:val="left"/>
              <w:rPr/>
            </w:pPr>
            <w:r>
              <w:rPr/>
              <w:t>Yes</w:t>
            </w:r>
          </w:p>
        </w:tc>
        <w:tc>
          <w:tcPr>
            <w:tcW w:w="2176" w:type="dxa"/>
            <w:tcBorders/>
            <w:vAlign w:val="center"/>
          </w:tcPr>
          <w:p>
            <w:pPr>
              <w:pStyle w:val="TableContents"/>
              <w:bidi w:val="0"/>
              <w:spacing w:before="120" w:after="120"/>
              <w:jc w:val="left"/>
              <w:rPr/>
            </w:pPr>
            <w:r>
              <w:rPr>
                <w:rStyle w:val="SourceText"/>
              </w:rPr>
              <w:t>v1</w:t>
            </w:r>
            <w:r>
              <w:rPr/>
              <w:t xml:space="preserve"> (alias </w:t>
            </w:r>
            <w:r>
              <w:rPr>
                <w:rStyle w:val="SourceText"/>
              </w:rPr>
              <w:t>lite</w:t>
            </w:r>
            <w:r>
              <w:rPr/>
              <w:t xml:space="preserve">), </w:t>
            </w:r>
            <w:r>
              <w:rPr>
                <w:rStyle w:val="SourceText"/>
              </w:rPr>
              <w:t>v2</w:t>
            </w:r>
            <w:r>
              <w:rPr/>
              <w:t xml:space="preserve">, or </w:t>
            </w:r>
            <w:r>
              <w:rPr>
                <w:rStyle w:val="SourceText"/>
              </w:rPr>
              <w:t>v3</w:t>
            </w:r>
            <w:r>
              <w:rPr/>
              <w:t xml:space="preserve">. Case-insensitive; </w:t>
            </w:r>
            <w:r>
              <w:rPr>
                <w:rStyle w:val="SourceText"/>
              </w:rPr>
              <w:t>lite</w:t>
            </w:r>
            <w:r>
              <w:rPr/>
              <w:t xml:space="preserve"> maps to </w:t>
            </w:r>
            <w:r>
              <w:rPr>
                <w:rStyle w:val="SourceText"/>
              </w:rPr>
              <w:t>v1</w:t>
            </w:r>
            <w:r>
              <w:rPr/>
              <w:t>. Versions are cumulative (see below).</w:t>
            </w:r>
          </w:p>
        </w:tc>
      </w:tr>
      <w:tr>
        <w:trPr/>
        <w:tc>
          <w:tcPr>
            <w:tcW w:w="1636" w:type="dxa"/>
            <w:tcBorders/>
            <w:vAlign w:val="center"/>
          </w:tcPr>
          <w:p>
            <w:pPr>
              <w:pStyle w:val="TableContents"/>
              <w:bidi w:val="0"/>
              <w:spacing w:before="120" w:after="120"/>
              <w:jc w:val="left"/>
              <w:rPr/>
            </w:pPr>
            <w:r>
              <w:rPr>
                <w:rStyle w:val="SourceText"/>
              </w:rPr>
              <w:t>PATH_TO_DATA</w:t>
            </w:r>
          </w:p>
        </w:tc>
        <w:tc>
          <w:tcPr>
            <w:tcW w:w="1366" w:type="dxa"/>
            <w:tcBorders/>
            <w:vAlign w:val="center"/>
          </w:tcPr>
          <w:p>
            <w:pPr>
              <w:pStyle w:val="TableContents"/>
              <w:bidi w:val="0"/>
              <w:spacing w:before="120" w:after="120"/>
              <w:jc w:val="left"/>
              <w:rPr/>
            </w:pPr>
            <w:r>
              <w:rPr/>
              <w:t>Yes</w:t>
            </w:r>
          </w:p>
        </w:tc>
        <w:tc>
          <w:tcPr>
            <w:tcW w:w="2176" w:type="dxa"/>
            <w:tcBorders/>
            <w:vAlign w:val="center"/>
          </w:tcPr>
          <w:p>
            <w:pPr>
              <w:pStyle w:val="TableContents"/>
              <w:bidi w:val="0"/>
              <w:spacing w:before="120" w:after="120"/>
              <w:jc w:val="left"/>
              <w:rPr/>
            </w:pPr>
            <w:r>
              <w:rPr/>
              <w:t>Full path to the input CSV file. UNC paths (</w:t>
            </w:r>
            <w:r>
              <w:rPr>
                <w:rStyle w:val="SourceText"/>
              </w:rPr>
              <w:t>\\server\share\...</w:t>
            </w:r>
            <w:r>
              <w:rPr/>
              <w:t>) are supported. The script fails with a clear error if the file does not exist.</w:t>
            </w:r>
          </w:p>
        </w:tc>
      </w:tr>
      <w:tr>
        <w:trPr/>
        <w:tc>
          <w:tcPr>
            <w:tcW w:w="1636" w:type="dxa"/>
            <w:tcBorders/>
            <w:vAlign w:val="center"/>
          </w:tcPr>
          <w:p>
            <w:pPr>
              <w:pStyle w:val="TableContents"/>
              <w:bidi w:val="0"/>
              <w:spacing w:before="120" w:after="120"/>
              <w:jc w:val="left"/>
              <w:rPr/>
            </w:pPr>
            <w:r>
              <w:rPr>
                <w:rStyle w:val="SourceText"/>
              </w:rPr>
              <w:t>FINAL_OUTPUT</w:t>
            </w:r>
          </w:p>
        </w:tc>
        <w:tc>
          <w:tcPr>
            <w:tcW w:w="1366" w:type="dxa"/>
            <w:tcBorders/>
            <w:vAlign w:val="center"/>
          </w:tcPr>
          <w:p>
            <w:pPr>
              <w:pStyle w:val="TableContents"/>
              <w:bidi w:val="0"/>
              <w:spacing w:before="120" w:after="120"/>
              <w:jc w:val="left"/>
              <w:rPr/>
            </w:pPr>
            <w:r>
              <w:rPr/>
              <w:t>Yes</w:t>
            </w:r>
          </w:p>
        </w:tc>
        <w:tc>
          <w:tcPr>
            <w:tcW w:w="2176" w:type="dxa"/>
            <w:tcBorders/>
            <w:vAlign w:val="center"/>
          </w:tcPr>
          <w:p>
            <w:pPr>
              <w:pStyle w:val="TableContents"/>
              <w:bidi w:val="0"/>
              <w:spacing w:before="120" w:after="120"/>
              <w:jc w:val="left"/>
              <w:rPr/>
            </w:pPr>
            <w:r>
              <w:rPr>
                <w:rStyle w:val="SourceText"/>
              </w:rPr>
              <w:t>WORD</w:t>
            </w:r>
            <w:r>
              <w:rPr/>
              <w:t xml:space="preserve"> (builds a .docx via Word COM automation) or </w:t>
            </w:r>
            <w:r>
              <w:rPr>
                <w:rStyle w:val="SourceText"/>
              </w:rPr>
              <w:t>HTML</w:t>
            </w:r>
            <w:r>
              <w:rPr/>
              <w:t xml:space="preserve"> (self-contained .html). If Word is not installed, WORD requests fall back to HTML with a warning.</w:t>
            </w:r>
          </w:p>
        </w:tc>
      </w:tr>
      <w:tr>
        <w:trPr/>
        <w:tc>
          <w:tcPr>
            <w:tcW w:w="1636" w:type="dxa"/>
            <w:tcBorders/>
            <w:vAlign w:val="center"/>
          </w:tcPr>
          <w:p>
            <w:pPr>
              <w:pStyle w:val="TableContents"/>
              <w:bidi w:val="0"/>
              <w:spacing w:before="120" w:after="120"/>
              <w:jc w:val="left"/>
              <w:rPr/>
            </w:pPr>
            <w:r>
              <w:rPr>
                <w:rStyle w:val="SourceText"/>
              </w:rPr>
              <w:t>OutputFolder</w:t>
            </w:r>
          </w:p>
        </w:tc>
        <w:tc>
          <w:tcPr>
            <w:tcW w:w="1366" w:type="dxa"/>
            <w:tcBorders/>
            <w:vAlign w:val="center"/>
          </w:tcPr>
          <w:p>
            <w:pPr>
              <w:pStyle w:val="TableContents"/>
              <w:bidi w:val="0"/>
              <w:spacing w:before="120" w:after="120"/>
              <w:jc w:val="left"/>
              <w:rPr/>
            </w:pPr>
            <w:r>
              <w:rPr/>
              <w:t>No</w:t>
            </w:r>
          </w:p>
        </w:tc>
        <w:tc>
          <w:tcPr>
            <w:tcW w:w="2176" w:type="dxa"/>
            <w:tcBorders/>
            <w:vAlign w:val="center"/>
          </w:tcPr>
          <w:p>
            <w:pPr>
              <w:pStyle w:val="TableContents"/>
              <w:bidi w:val="0"/>
              <w:spacing w:before="120" w:after="120"/>
              <w:jc w:val="left"/>
              <w:rPr/>
            </w:pPr>
            <w:r>
              <w:rPr/>
              <w:t>Folder where the report and chart PNGs are written. Defaults to the script's directory. Created if missing.</w:t>
            </w:r>
          </w:p>
        </w:tc>
      </w:tr>
    </w:tbl>
    <w:p>
      <w:pPr>
        <w:pStyle w:val="BodyText"/>
        <w:bidi w:val="0"/>
        <w:jc w:val="left"/>
        <w:rPr/>
      </w:pPr>
      <w:r>
        <w:rPr/>
        <w:t xml:space="preserve">The output file is named </w:t>
      </w:r>
      <w:r>
        <w:rPr>
          <w:rStyle w:val="SourceText"/>
        </w:rPr>
        <w:t>{PROJ_NAME}_Analysis_{version}_{yyyyMMdd_HHmmss}.docx</w:t>
      </w:r>
      <w:r>
        <w:rPr/>
        <w:t xml:space="preserve"> (or </w:t>
      </w:r>
      <w:r>
        <w:rPr>
          <w:rStyle w:val="SourceText"/>
        </w:rPr>
        <w:t>.html</w:t>
      </w:r>
      <w:r>
        <w:rPr/>
        <w:t>). Chart images are saved alongside the report as PNG files; the HTML report additionally embeds them as base64 so the .html file is fully portable.</w:t>
      </w:r>
    </w:p>
    <w:p>
      <w:pPr>
        <w:pStyle w:val="Heading2"/>
        <w:bidi w:val="0"/>
        <w:jc w:val="left"/>
        <w:rPr/>
      </w:pPr>
      <w:r>
        <w:rPr/>
        <w:t>Analysis versions</w:t>
      </w:r>
    </w:p>
    <w:p>
      <w:pPr>
        <w:pStyle w:val="BodyText"/>
        <w:bidi w:val="0"/>
        <w:jc w:val="left"/>
        <w:rPr/>
      </w:pPr>
      <w:r>
        <w:rPr/>
        <w:t>Each version includes everything from the previous one.</w:t>
      </w:r>
    </w:p>
    <w:p>
      <w:pPr>
        <w:pStyle w:val="Heading3"/>
        <w:bidi w:val="0"/>
        <w:jc w:val="left"/>
        <w:rPr/>
      </w:pPr>
      <w:r>
        <w:rPr/>
        <w:t>v1 (alias lite) — baseline</w:t>
      </w:r>
    </w:p>
    <w:p>
      <w:pPr>
        <w:pStyle w:val="BodyText"/>
        <w:numPr>
          <w:ilvl w:val="0"/>
          <w:numId w:val="1"/>
        </w:numPr>
        <w:tabs>
          <w:tab w:val="clear" w:pos="1134"/>
          <w:tab w:val="left" w:pos="829" w:leader="none"/>
        </w:tabs>
        <w:bidi w:val="0"/>
        <w:spacing w:before="120" w:after="0"/>
        <w:ind w:hanging="283" w:left="829"/>
        <w:jc w:val="left"/>
        <w:rPr/>
      </w:pPr>
      <w:r>
        <w:rPr>
          <w:b/>
        </w:rPr>
        <w:t>Metadata analysis</w:t>
      </w:r>
      <w:r>
        <w:rPr/>
        <w:t xml:space="preserve"> — row/column counts, per-column inferred type (numeric, date, categorical/string), null/blank counts and percentages, distinct value counts. </w:t>
      </w:r>
    </w:p>
    <w:p>
      <w:pPr>
        <w:pStyle w:val="BodyText"/>
        <w:numPr>
          <w:ilvl w:val="0"/>
          <w:numId w:val="1"/>
        </w:numPr>
        <w:tabs>
          <w:tab w:val="clear" w:pos="1134"/>
          <w:tab w:val="left" w:pos="829" w:leader="none"/>
        </w:tabs>
        <w:bidi w:val="0"/>
        <w:spacing w:before="120" w:after="0"/>
        <w:ind w:hanging="283" w:left="829"/>
        <w:jc w:val="left"/>
        <w:rPr/>
      </w:pPr>
      <w:r>
        <w:rPr>
          <w:b/>
        </w:rPr>
        <w:t>Frequency analysis</w:t>
      </w:r>
      <w:r>
        <w:rPr/>
        <w:t xml:space="preserve"> — top 15 values (count + percent) for each categorical column. </w:t>
      </w:r>
    </w:p>
    <w:p>
      <w:pPr>
        <w:pStyle w:val="BodyText"/>
        <w:numPr>
          <w:ilvl w:val="0"/>
          <w:numId w:val="1"/>
        </w:numPr>
        <w:tabs>
          <w:tab w:val="clear" w:pos="1134"/>
          <w:tab w:val="left" w:pos="829" w:leader="none"/>
        </w:tabs>
        <w:bidi w:val="0"/>
        <w:spacing w:before="120" w:after="0"/>
        <w:ind w:hanging="283" w:left="829"/>
        <w:jc w:val="left"/>
        <w:rPr/>
      </w:pPr>
      <w:r>
        <w:rPr>
          <w:b/>
        </w:rPr>
        <w:t>Distribution analysis</w:t>
      </w:r>
      <w:r>
        <w:rPr/>
        <w:t xml:space="preserve"> — min, max, mean, median, standard deviation, 25th/75th percentiles, and potential outlier counts (beyond 1.5 × IQR) per numeric column. </w:t>
      </w:r>
    </w:p>
    <w:p>
      <w:pPr>
        <w:pStyle w:val="BodyText"/>
        <w:numPr>
          <w:ilvl w:val="0"/>
          <w:numId w:val="1"/>
        </w:numPr>
        <w:tabs>
          <w:tab w:val="clear" w:pos="1134"/>
          <w:tab w:val="left" w:pos="829" w:leader="none"/>
        </w:tabs>
        <w:bidi w:val="0"/>
        <w:spacing w:before="120" w:after="0"/>
        <w:ind w:hanging="283" w:left="829"/>
        <w:jc w:val="left"/>
        <w:rPr/>
      </w:pPr>
      <w:r>
        <w:rPr>
          <w:b/>
        </w:rPr>
        <w:t>Correlation matrix</w:t>
      </w:r>
      <w:r>
        <w:rPr/>
        <w:t xml:space="preserve"> — Pearson correlations across all numeric columns; pairs with |r| &gt; 0.7 are flagged. </w:t>
      </w:r>
    </w:p>
    <w:p>
      <w:pPr>
        <w:pStyle w:val="BodyText"/>
        <w:numPr>
          <w:ilvl w:val="0"/>
          <w:numId w:val="1"/>
        </w:numPr>
        <w:tabs>
          <w:tab w:val="clear" w:pos="1134"/>
          <w:tab w:val="left" w:pos="829" w:leader="none"/>
        </w:tabs>
        <w:bidi w:val="0"/>
        <w:spacing w:before="120" w:after="0"/>
        <w:ind w:hanging="283" w:left="829"/>
        <w:jc w:val="left"/>
        <w:rPr/>
      </w:pPr>
      <w:r>
        <w:rPr>
          <w:b/>
        </w:rPr>
        <w:t>Line graph</w:t>
      </w:r>
      <w:r>
        <w:rPr/>
        <w:t xml:space="preserve"> — record counts over time (plus the sum of the first numeric column on a secondary axis) when a date column is detected. </w:t>
      </w:r>
    </w:p>
    <w:p>
      <w:pPr>
        <w:pStyle w:val="BodyText"/>
        <w:numPr>
          <w:ilvl w:val="0"/>
          <w:numId w:val="1"/>
        </w:numPr>
        <w:tabs>
          <w:tab w:val="clear" w:pos="1134"/>
          <w:tab w:val="left" w:pos="829" w:leader="none"/>
        </w:tabs>
        <w:bidi w:val="0"/>
        <w:ind w:hanging="283" w:left="829"/>
        <w:jc w:val="left"/>
        <w:rPr/>
      </w:pPr>
      <w:r>
        <w:rPr>
          <w:b/>
        </w:rPr>
        <w:t>Bar graphs</w:t>
      </w:r>
      <w:r>
        <w:rPr/>
        <w:t xml:space="preserve"> — top-10 value frequencies for up to 5 categorical columns. </w:t>
      </w:r>
    </w:p>
    <w:p>
      <w:pPr>
        <w:pStyle w:val="Heading3"/>
        <w:bidi w:val="0"/>
        <w:jc w:val="left"/>
        <w:rPr/>
      </w:pPr>
      <w:r>
        <w:rPr/>
        <w:t>v2 — adds</w:t>
      </w:r>
    </w:p>
    <w:p>
      <w:pPr>
        <w:pStyle w:val="BodyText"/>
        <w:numPr>
          <w:ilvl w:val="0"/>
          <w:numId w:val="2"/>
        </w:numPr>
        <w:tabs>
          <w:tab w:val="clear" w:pos="1134"/>
          <w:tab w:val="left" w:pos="829" w:leader="none"/>
        </w:tabs>
        <w:bidi w:val="0"/>
        <w:spacing w:before="120" w:after="0"/>
        <w:ind w:hanging="283" w:left="829"/>
        <w:jc w:val="left"/>
        <w:rPr/>
      </w:pPr>
      <w:r>
        <w:rPr>
          <w:b/>
        </w:rPr>
        <w:t>Scatter plots</w:t>
      </w:r>
      <w:r>
        <w:rPr/>
        <w:t xml:space="preserve"> for the top 5 numeric pairs ranked by |Pearson r|. </w:t>
      </w:r>
    </w:p>
    <w:p>
      <w:pPr>
        <w:pStyle w:val="BodyText"/>
        <w:numPr>
          <w:ilvl w:val="0"/>
          <w:numId w:val="2"/>
        </w:numPr>
        <w:tabs>
          <w:tab w:val="clear" w:pos="1134"/>
          <w:tab w:val="left" w:pos="829" w:leader="none"/>
        </w:tabs>
        <w:bidi w:val="0"/>
        <w:ind w:hanging="283" w:left="829"/>
        <w:jc w:val="left"/>
        <w:rPr/>
      </w:pPr>
      <w:r>
        <w:rPr>
          <w:b/>
        </w:rPr>
        <w:t>Pair plot grid</w:t>
      </w:r>
      <w:r>
        <w:rPr/>
        <w:t xml:space="preserve"> — pairwise scatter plots across up to the first 5 numeric columns, composed as a single image (histograms on the diagonal). </w:t>
      </w:r>
    </w:p>
    <w:p>
      <w:pPr>
        <w:pStyle w:val="Heading3"/>
        <w:bidi w:val="0"/>
        <w:jc w:val="left"/>
        <w:rPr/>
      </w:pPr>
      <w:r>
        <w:rPr/>
        <w:t>v3 — adds</w:t>
      </w:r>
    </w:p>
    <w:p>
      <w:pPr>
        <w:pStyle w:val="BodyText"/>
        <w:numPr>
          <w:ilvl w:val="0"/>
          <w:numId w:val="3"/>
        </w:numPr>
        <w:tabs>
          <w:tab w:val="clear" w:pos="1134"/>
          <w:tab w:val="left" w:pos="829" w:leader="none"/>
        </w:tabs>
        <w:bidi w:val="0"/>
        <w:ind w:hanging="283" w:left="829"/>
        <w:jc w:val="left"/>
        <w:rPr/>
      </w:pPr>
      <w:r>
        <w:rPr>
          <w:b/>
        </w:rPr>
        <w:t>K-means clustering</w:t>
      </w:r>
      <w:r>
        <w:rPr/>
        <w:t xml:space="preserve"> implemented from scratch (no external libraries) on standardized (z-score) numeric columns. k is chosen via an elbow heuristic over k = 2..6 (WCSS reported per k). The report includes cluster sizes, per-cluster means in original units, and a scatter plot of the first two numeric variables colored by cluster. </w:t>
      </w:r>
    </w:p>
    <w:p>
      <w:pPr>
        <w:pStyle w:val="Heading2"/>
        <w:bidi w:val="0"/>
        <w:jc w:val="left"/>
        <w:rPr/>
      </w:pPr>
      <w:r>
        <w:rPr/>
        <w:t>Prerequisites</w:t>
      </w:r>
    </w:p>
    <w:p>
      <w:pPr>
        <w:pStyle w:val="BodyText"/>
        <w:numPr>
          <w:ilvl w:val="0"/>
          <w:numId w:val="4"/>
        </w:numPr>
        <w:tabs>
          <w:tab w:val="clear" w:pos="1134"/>
          <w:tab w:val="left" w:pos="829" w:leader="none"/>
        </w:tabs>
        <w:bidi w:val="0"/>
        <w:spacing w:before="120" w:after="0"/>
        <w:ind w:hanging="283" w:left="829"/>
        <w:jc w:val="left"/>
        <w:rPr/>
      </w:pPr>
      <w:r>
        <w:rPr/>
        <w:t xml:space="preserve">Windows with </w:t>
      </w:r>
      <w:r>
        <w:rPr>
          <w:b/>
        </w:rPr>
        <w:t>Windows PowerShell 5.1</w:t>
      </w:r>
      <w:r>
        <w:rPr/>
        <w:t xml:space="preserve"> (pre-installed on Windows 10 / Server 2016+). </w:t>
      </w:r>
    </w:p>
    <w:p>
      <w:pPr>
        <w:pStyle w:val="BodyText"/>
        <w:numPr>
          <w:ilvl w:val="0"/>
          <w:numId w:val="4"/>
        </w:numPr>
        <w:tabs>
          <w:tab w:val="clear" w:pos="1134"/>
          <w:tab w:val="left" w:pos="829" w:leader="none"/>
        </w:tabs>
        <w:bidi w:val="0"/>
        <w:spacing w:before="120" w:after="0"/>
        <w:ind w:hanging="283" w:left="829"/>
        <w:jc w:val="left"/>
        <w:rPr/>
      </w:pPr>
      <w:r>
        <w:rPr/>
        <w:t xml:space="preserve">.NET Framework 4.x (standard on the above). </w:t>
      </w:r>
    </w:p>
    <w:p>
      <w:pPr>
        <w:pStyle w:val="BodyText"/>
        <w:numPr>
          <w:ilvl w:val="0"/>
          <w:numId w:val="4"/>
        </w:numPr>
        <w:tabs>
          <w:tab w:val="clear" w:pos="1134"/>
          <w:tab w:val="left" w:pos="829" w:leader="none"/>
        </w:tabs>
        <w:bidi w:val="0"/>
        <w:spacing w:before="120" w:after="0"/>
        <w:ind w:hanging="283" w:left="829"/>
        <w:jc w:val="left"/>
        <w:rPr/>
      </w:pPr>
      <w:r>
        <w:rPr>
          <w:b/>
        </w:rPr>
        <w:t>Charts</w:t>
      </w:r>
      <w:r>
        <w:rPr/>
        <w:t xml:space="preserve">: the </w:t>
      </w:r>
      <w:r>
        <w:rPr>
          <w:rStyle w:val="SourceText"/>
        </w:rPr>
        <w:t>System.Windows.Forms.DataVisualization</w:t>
      </w:r>
      <w:r>
        <w:rPr/>
        <w:t xml:space="preserve"> assembly (included with .NET Framework). If unavailable, charts are skipped gracefully and the report notes it — all tabular analysis still runs. </w:t>
      </w:r>
    </w:p>
    <w:p>
      <w:pPr>
        <w:pStyle w:val="BodyText"/>
        <w:numPr>
          <w:ilvl w:val="0"/>
          <w:numId w:val="4"/>
        </w:numPr>
        <w:tabs>
          <w:tab w:val="clear" w:pos="1134"/>
          <w:tab w:val="left" w:pos="829" w:leader="none"/>
        </w:tabs>
        <w:bidi w:val="0"/>
        <w:spacing w:before="120" w:after="0"/>
        <w:ind w:hanging="283" w:left="829"/>
        <w:jc w:val="left"/>
        <w:rPr/>
      </w:pPr>
      <w:r>
        <w:rPr>
          <w:b/>
        </w:rPr>
        <w:t>WORD output</w:t>
      </w:r>
      <w:r>
        <w:rPr/>
        <w:t xml:space="preserve">: a local Microsoft Word installation (COM automation). Without Word, the script automatically falls back to HTML. </w:t>
      </w:r>
    </w:p>
    <w:p>
      <w:pPr>
        <w:pStyle w:val="BodyText"/>
        <w:numPr>
          <w:ilvl w:val="0"/>
          <w:numId w:val="4"/>
        </w:numPr>
        <w:tabs>
          <w:tab w:val="clear" w:pos="1134"/>
          <w:tab w:val="left" w:pos="829" w:leader="none"/>
        </w:tabs>
        <w:bidi w:val="0"/>
        <w:ind w:hanging="283" w:left="829"/>
        <w:jc w:val="left"/>
        <w:rPr/>
      </w:pPr>
      <w:r>
        <w:rPr/>
        <w:t xml:space="preserve">Read access to the input CSV (local or UNC path) and write access to the output folder. </w:t>
      </w:r>
    </w:p>
    <w:p>
      <w:pPr>
        <w:pStyle w:val="BodyText"/>
        <w:bidi w:val="0"/>
        <w:jc w:val="left"/>
        <w:rPr/>
      </w:pPr>
      <w:r>
        <w:rPr/>
        <w:t>No internet access, Python, or PowerShell module installation is required.</w:t>
      </w:r>
    </w:p>
    <w:p>
      <w:pPr>
        <w:pStyle w:val="Heading2"/>
        <w:bidi w:val="0"/>
        <w:jc w:val="left"/>
        <w:rPr/>
      </w:pPr>
      <w:r>
        <w:rPr/>
        <w:t>Behavior on large files</w:t>
      </w:r>
    </w:p>
    <w:p>
      <w:pPr>
        <w:pStyle w:val="BodyText"/>
        <w:bidi w:val="0"/>
        <w:jc w:val="left"/>
        <w:rPr/>
      </w:pPr>
      <w:r>
        <w:rPr/>
        <w:t>If the dataset exceeds 100,000 rows, a random 100,000-row sample (fixed seed, so runs are reproducible) is used for charts and clustering. Metadata and frequency counts always use the full dataset. The sampling is noted in the report header.</w:t>
      </w:r>
    </w:p>
    <w:p>
      <w:pPr>
        <w:pStyle w:val="Heading2"/>
        <w:bidi w:val="0"/>
        <w:jc w:val="left"/>
        <w:rPr/>
      </w:pPr>
      <w:r>
        <w:rPr/>
        <w:t>Exit codes</w:t>
      </w:r>
    </w:p>
    <w:tbl>
      <w:tblPr>
        <w:tblW w:w="5178" w:type="dxa"/>
        <w:jc w:val="left"/>
        <w:tblInd w:w="0" w:type="dxa"/>
        <w:tblLayout w:type="fixed"/>
        <w:tblCellMar>
          <w:top w:w="28" w:type="dxa"/>
          <w:left w:w="28" w:type="dxa"/>
          <w:bottom w:w="28" w:type="dxa"/>
          <w:right w:w="28" w:type="dxa"/>
        </w:tblCellMar>
      </w:tblPr>
      <w:tblGrid>
        <w:gridCol w:w="871"/>
        <w:gridCol w:w="4307"/>
      </w:tblGrid>
      <w:tr>
        <w:trPr/>
        <w:tc>
          <w:tcPr>
            <w:tcW w:w="871" w:type="dxa"/>
            <w:tcBorders/>
            <w:vAlign w:val="center"/>
          </w:tcPr>
          <w:p>
            <w:pPr>
              <w:pStyle w:val="TableHeading"/>
              <w:suppressLineNumbers/>
              <w:shd w:fill="1F4E79" w:val="clear"/>
              <w:bidi w:val="0"/>
              <w:spacing w:before="120" w:after="120"/>
              <w:jc w:val="left"/>
              <w:rPr/>
            </w:pPr>
            <w:r>
              <w:rPr/>
              <w:t>Code</w:t>
            </w:r>
          </w:p>
        </w:tc>
        <w:tc>
          <w:tcPr>
            <w:tcW w:w="4307" w:type="dxa"/>
            <w:tcBorders/>
            <w:vAlign w:val="center"/>
          </w:tcPr>
          <w:p>
            <w:pPr>
              <w:pStyle w:val="TableHeading"/>
              <w:suppressLineNumbers/>
              <w:shd w:fill="1F4E79" w:val="clear"/>
              <w:bidi w:val="0"/>
              <w:spacing w:before="120" w:after="120"/>
              <w:jc w:val="left"/>
              <w:rPr/>
            </w:pPr>
            <w:r>
              <w:rPr/>
              <w:t>Meaning</w:t>
            </w:r>
          </w:p>
        </w:tc>
      </w:tr>
      <w:tr>
        <w:trPr/>
        <w:tc>
          <w:tcPr>
            <w:tcW w:w="871" w:type="dxa"/>
            <w:tcBorders/>
            <w:vAlign w:val="center"/>
          </w:tcPr>
          <w:p>
            <w:pPr>
              <w:pStyle w:val="TableContents"/>
              <w:bidi w:val="0"/>
              <w:spacing w:before="120" w:after="120"/>
              <w:jc w:val="left"/>
              <w:rPr/>
            </w:pPr>
            <w:r>
              <w:rPr/>
              <w:t>0</w:t>
            </w:r>
          </w:p>
        </w:tc>
        <w:tc>
          <w:tcPr>
            <w:tcW w:w="4307" w:type="dxa"/>
            <w:tcBorders/>
            <w:vAlign w:val="center"/>
          </w:tcPr>
          <w:p>
            <w:pPr>
              <w:pStyle w:val="TableContents"/>
              <w:bidi w:val="0"/>
              <w:spacing w:before="120" w:after="120"/>
              <w:jc w:val="left"/>
              <w:rPr/>
            </w:pPr>
            <w:r>
              <w:rPr/>
              <w:t>Success.</w:t>
            </w:r>
          </w:p>
        </w:tc>
      </w:tr>
      <w:tr>
        <w:trPr/>
        <w:tc>
          <w:tcPr>
            <w:tcW w:w="871" w:type="dxa"/>
            <w:tcBorders/>
            <w:vAlign w:val="center"/>
          </w:tcPr>
          <w:p>
            <w:pPr>
              <w:pStyle w:val="TableContents"/>
              <w:bidi w:val="0"/>
              <w:spacing w:before="120" w:after="120"/>
              <w:jc w:val="left"/>
              <w:rPr/>
            </w:pPr>
            <w:r>
              <w:rPr/>
              <w:t>1</w:t>
            </w:r>
          </w:p>
        </w:tc>
        <w:tc>
          <w:tcPr>
            <w:tcW w:w="4307" w:type="dxa"/>
            <w:tcBorders/>
            <w:vAlign w:val="center"/>
          </w:tcPr>
          <w:p>
            <w:pPr>
              <w:pStyle w:val="TableContents"/>
              <w:bidi w:val="0"/>
              <w:spacing w:before="120" w:after="120"/>
              <w:jc w:val="left"/>
              <w:rPr/>
            </w:pPr>
            <w:r>
              <w:rPr/>
              <w:t>Unexpected fatal error (details written to the error stream).</w:t>
            </w:r>
          </w:p>
        </w:tc>
      </w:tr>
      <w:tr>
        <w:trPr/>
        <w:tc>
          <w:tcPr>
            <w:tcW w:w="871" w:type="dxa"/>
            <w:tcBorders/>
            <w:vAlign w:val="center"/>
          </w:tcPr>
          <w:p>
            <w:pPr>
              <w:pStyle w:val="TableContents"/>
              <w:bidi w:val="0"/>
              <w:spacing w:before="120" w:after="120"/>
              <w:jc w:val="left"/>
              <w:rPr/>
            </w:pPr>
            <w:r>
              <w:rPr/>
              <w:t>2</w:t>
            </w:r>
          </w:p>
        </w:tc>
        <w:tc>
          <w:tcPr>
            <w:tcW w:w="4307" w:type="dxa"/>
            <w:tcBorders/>
            <w:vAlign w:val="center"/>
          </w:tcPr>
          <w:p>
            <w:pPr>
              <w:pStyle w:val="TableContents"/>
              <w:bidi w:val="0"/>
              <w:spacing w:before="120" w:after="120"/>
              <w:jc w:val="left"/>
              <w:rPr/>
            </w:pPr>
            <w:r>
              <w:rPr/>
              <w:t>Data could not be loaded: file unreadable, empty, or no parseable columns.</w:t>
            </w:r>
          </w:p>
        </w:tc>
      </w:tr>
    </w:tbl>
    <w:p>
      <w:pPr>
        <w:pStyle w:val="BodyText"/>
        <w:bidi w:val="0"/>
        <w:jc w:val="left"/>
        <w:rPr/>
      </w:pPr>
      <w:r>
        <w:rPr/>
        <w:t>Each analysis section is wrapped in its own try/catch — a failure in one section is logged into that section of the report and the remaining sections still run.</w:t>
      </w:r>
    </w:p>
    <w:p>
      <w:pPr>
        <w:pStyle w:val="Heading2"/>
        <w:bidi w:val="0"/>
        <w:jc w:val="left"/>
        <w:rPr/>
      </w:pPr>
      <w:r>
        <w:rPr/>
        <w:t>Troubleshooting</w:t>
      </w:r>
    </w:p>
    <w:p>
      <w:pPr>
        <w:pStyle w:val="BodyText"/>
        <w:numPr>
          <w:ilvl w:val="0"/>
          <w:numId w:val="5"/>
        </w:numPr>
        <w:tabs>
          <w:tab w:val="clear" w:pos="1134"/>
          <w:tab w:val="left" w:pos="829" w:leader="none"/>
        </w:tabs>
        <w:bidi w:val="0"/>
        <w:spacing w:before="120" w:after="0"/>
        <w:ind w:hanging="283" w:left="829"/>
        <w:jc w:val="left"/>
        <w:rPr/>
      </w:pPr>
      <w:r>
        <w:rPr>
          <w:b/>
        </w:rPr>
        <w:t>"Input data file not found"</w:t>
      </w:r>
      <w:r>
        <w:rPr/>
        <w:t xml:space="preserve"> — verify the path and that your account has read access to the share; test with </w:t>
      </w:r>
      <w:r>
        <w:rPr>
          <w:rStyle w:val="SourceText"/>
        </w:rPr>
        <w:t>Test-Path "\\server\share\file.csv"</w:t>
      </w:r>
      <w:r>
        <w:rPr/>
        <w:t xml:space="preserve">. </w:t>
      </w:r>
    </w:p>
    <w:p>
      <w:pPr>
        <w:pStyle w:val="BodyText"/>
        <w:numPr>
          <w:ilvl w:val="0"/>
          <w:numId w:val="5"/>
        </w:numPr>
        <w:tabs>
          <w:tab w:val="clear" w:pos="1134"/>
          <w:tab w:val="left" w:pos="829" w:leader="none"/>
        </w:tabs>
        <w:bidi w:val="0"/>
        <w:spacing w:before="120" w:after="0"/>
        <w:ind w:hanging="283" w:left="829"/>
        <w:jc w:val="left"/>
        <w:rPr/>
      </w:pPr>
      <w:r>
        <w:rPr>
          <w:b/>
        </w:rPr>
        <w:t>"Running scripts is disabled on this system"</w:t>
      </w:r>
      <w:r>
        <w:rPr/>
        <w:t xml:space="preserve"> — your execution policy blocks scripts. Run with: </w:t>
      </w:r>
      <w:r>
        <w:rPr>
          <w:rStyle w:val="SourceText"/>
        </w:rPr>
        <w:t>powershell.exe -ExecutionPolicy Bypass -File .\Invoke-HiglasAnalysis.ps1 ...</w:t>
      </w:r>
      <w:r>
        <w:rPr/>
        <w:t xml:space="preserve"> </w:t>
      </w:r>
    </w:p>
    <w:p>
      <w:pPr>
        <w:pStyle w:val="BodyText"/>
        <w:numPr>
          <w:ilvl w:val="0"/>
          <w:numId w:val="5"/>
        </w:numPr>
        <w:tabs>
          <w:tab w:val="clear" w:pos="1134"/>
          <w:tab w:val="left" w:pos="829" w:leader="none"/>
        </w:tabs>
        <w:bidi w:val="0"/>
        <w:spacing w:before="120" w:after="0"/>
        <w:ind w:hanging="283" w:left="829"/>
        <w:jc w:val="left"/>
        <w:rPr/>
      </w:pPr>
      <w:r>
        <w:rPr>
          <w:b/>
        </w:rPr>
        <w:t>Word report fails / falls back to HTML</w:t>
      </w:r>
      <w:r>
        <w:rPr/>
        <w:t xml:space="preserve"> — Word is not installed, not licensed, or COM automation is blocked. Use </w:t>
      </w:r>
      <w:r>
        <w:rPr>
          <w:rStyle w:val="SourceText"/>
        </w:rPr>
        <w:t>-FINAL_OUTPUT HTML</w:t>
      </w:r>
      <w:r>
        <w:rPr/>
        <w:t xml:space="preserve">, which has no Office dependency. </w:t>
      </w:r>
    </w:p>
    <w:p>
      <w:pPr>
        <w:pStyle w:val="BodyText"/>
        <w:numPr>
          <w:ilvl w:val="0"/>
          <w:numId w:val="5"/>
        </w:numPr>
        <w:tabs>
          <w:tab w:val="clear" w:pos="1134"/>
          <w:tab w:val="left" w:pos="829" w:leader="none"/>
        </w:tabs>
        <w:bidi w:val="0"/>
        <w:spacing w:before="120" w:after="0"/>
        <w:ind w:hanging="283" w:left="829"/>
        <w:jc w:val="left"/>
        <w:rPr/>
      </w:pPr>
      <w:r>
        <w:rPr>
          <w:b/>
        </w:rPr>
        <w:t>Charts missing from the report</w:t>
      </w:r>
      <w:r>
        <w:rPr/>
        <w:t xml:space="preserve"> — the charting assembly could not be loaded (noted in the report). Tables are unaffected. This can occur on Server Core installations without the .NET chart components. </w:t>
      </w:r>
    </w:p>
    <w:p>
      <w:pPr>
        <w:pStyle w:val="BodyText"/>
        <w:numPr>
          <w:ilvl w:val="0"/>
          <w:numId w:val="5"/>
        </w:numPr>
        <w:tabs>
          <w:tab w:val="clear" w:pos="1134"/>
          <w:tab w:val="left" w:pos="829" w:leader="none"/>
        </w:tabs>
        <w:bidi w:val="0"/>
        <w:spacing w:before="120" w:after="0"/>
        <w:ind w:hanging="283" w:left="829"/>
        <w:jc w:val="left"/>
        <w:rPr/>
      </w:pPr>
      <w:r>
        <w:rPr>
          <w:b/>
        </w:rPr>
        <w:t>Slow runs on very large CSVs</w:t>
      </w:r>
      <w:r>
        <w:rPr/>
        <w:t xml:space="preserve"> — </w:t>
      </w:r>
      <w:r>
        <w:rPr>
          <w:rStyle w:val="SourceText"/>
        </w:rPr>
        <w:t>Import-Csv</w:t>
      </w:r>
      <w:r>
        <w:rPr/>
        <w:t xml:space="preserve"> loads the file into memory and profiling is row-by-row; expect several minutes for files in the hundreds of MB. Consider splitting the file or running on a machine with more memory. </w:t>
      </w:r>
    </w:p>
    <w:p>
      <w:pPr>
        <w:pStyle w:val="BodyText"/>
        <w:numPr>
          <w:ilvl w:val="0"/>
          <w:numId w:val="5"/>
        </w:numPr>
        <w:tabs>
          <w:tab w:val="clear" w:pos="1134"/>
          <w:tab w:val="left" w:pos="829" w:leader="none"/>
        </w:tabs>
        <w:bidi w:val="0"/>
        <w:ind w:hanging="283" w:left="829"/>
        <w:jc w:val="left"/>
        <w:rPr/>
      </w:pPr>
      <w:r>
        <w:rPr>
          <w:b/>
        </w:rPr>
        <w:t>Wrong type inference</w:t>
      </w:r>
      <w:r>
        <w:rPr/>
        <w:t xml:space="preserve"> (e.g. zero-padded codes detected as numeric) — types are inferred by sampling values; ID-like numeric codes may be classified as numeric. This affects which sections a column appears in but not the underlying data. </w:t>
      </w:r>
    </w:p>
    <w:p>
      <w:pPr>
        <w:pStyle w:val="Heading2"/>
        <w:bidi w:val="0"/>
        <w:jc w:val="left"/>
        <w:rPr/>
      </w:pPr>
      <w:r>
        <w:rPr/>
        <w:t>Output artifacts</w:t>
      </w:r>
    </w:p>
    <w:p>
      <w:pPr>
        <w:pStyle w:val="BodyText"/>
        <w:numPr>
          <w:ilvl w:val="0"/>
          <w:numId w:val="6"/>
        </w:numPr>
        <w:tabs>
          <w:tab w:val="clear" w:pos="1134"/>
          <w:tab w:val="left" w:pos="829" w:leader="none"/>
        </w:tabs>
        <w:bidi w:val="0"/>
        <w:spacing w:before="120" w:after="0"/>
        <w:ind w:hanging="283" w:left="829"/>
        <w:jc w:val="left"/>
        <w:rPr/>
      </w:pPr>
      <w:r>
        <w:rPr>
          <w:rStyle w:val="SourceText"/>
        </w:rPr>
        <w:t>{PROJ_NAME}_Analysis_{version}_{timestamp}.docx</w:t>
      </w:r>
      <w:r>
        <w:rPr/>
        <w:t xml:space="preserve"> or </w:t>
      </w:r>
      <w:r>
        <w:rPr>
          <w:rStyle w:val="SourceText"/>
        </w:rPr>
        <w:t>.html</w:t>
      </w:r>
      <w:r>
        <w:rPr/>
        <w:t xml:space="preserve"> — the report. </w:t>
      </w:r>
    </w:p>
    <w:p>
      <w:pPr>
        <w:pStyle w:val="BodyText"/>
        <w:numPr>
          <w:ilvl w:val="0"/>
          <w:numId w:val="6"/>
        </w:numPr>
        <w:tabs>
          <w:tab w:val="clear" w:pos="1134"/>
          <w:tab w:val="left" w:pos="829" w:leader="none"/>
        </w:tabs>
        <w:bidi w:val="0"/>
        <w:spacing w:before="120" w:after="120"/>
        <w:ind w:hanging="283" w:left="829"/>
        <w:jc w:val="left"/>
        <w:rPr/>
      </w:pPr>
      <w:r>
        <w:rPr>
          <w:rStyle w:val="SourceText"/>
        </w:rPr>
        <w:t>{PROJ_NAME}_*.png</w:t>
      </w:r>
      <w:r>
        <w:rPr/>
        <w:t xml:space="preserve"> — chart images (kept in the output folder; the HTML report embeds copies, so it remains portable on its own).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Segoe UI"/>
    <w:charset w:val="00"/>
    <w:family w:val="auto"/>
    <w:pitch w:val="default"/>
  </w:font>
  <w:font w:name="Noto Sans">
    <w:charset w:val="00"/>
    <w:family w:val="auto"/>
    <w:pitch w:val="variable"/>
  </w:font>
  <w:font w:name="Consolas">
    <w:altName w:val="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40" w:after="1440"/>
      <w:ind w:left="1440" w:right="1440"/>
    </w:pPr>
    <w:rPr>
      <w:rFonts w:ascii="Calibri;Segoe UI;Arial;sans-serif" w:hAnsi="Calibri;Segoe UI;Arial;sans-serif" w:eastAsia="Calibri;Segoe UI;Arial;sans-serif" w:cs="Calibri;Segoe UI;Arial;sans-serif"/>
      <w:color w:val="222222"/>
      <w:sz w:val="22"/>
      <w:szCs w:val="22"/>
      <w:lang w:val="en-US" w:eastAsia="zh-CN" w:bidi="hi-IN"/>
    </w:rPr>
  </w:style>
  <w:style w:type="paragraph" w:styleId="Heading1">
    <w:name w:val="Heading 1"/>
    <w:basedOn w:val="Heading"/>
    <w:next w:val="BodyText"/>
    <w:qFormat/>
    <w:pPr>
      <w:pBdr>
        <w:bottom w:val="single" w:sz="12" w:space="4" w:color="1F4E79"/>
      </w:pBdr>
    </w:pPr>
    <w:rPr>
      <w:rFonts w:ascii="Noto Sans" w:hAnsi="Noto Sans"/>
      <w:b/>
      <w:bCs/>
      <w:color w:val="1F4E79"/>
      <w:sz w:val="40"/>
      <w:szCs w:val="40"/>
    </w:rPr>
  </w:style>
  <w:style w:type="paragraph" w:styleId="Heading2">
    <w:name w:val="Heading 2"/>
    <w:basedOn w:val="Heading"/>
    <w:next w:val="BodyText"/>
    <w:qFormat/>
    <w:pPr>
      <w:spacing w:before="360" w:after="120"/>
      <w:outlineLvl w:val="1"/>
    </w:pPr>
    <w:rPr>
      <w:rFonts w:ascii="Liberation Serif" w:hAnsi="Liberation Serif" w:eastAsia="WenQuanYi Zen Hei" w:cs="FreeSans"/>
      <w:b/>
      <w:bCs/>
      <w:color w:val="1F4E79"/>
      <w:sz w:val="30"/>
      <w:szCs w:val="30"/>
    </w:rPr>
  </w:style>
  <w:style w:type="paragraph" w:styleId="Heading3">
    <w:name w:val="Heading 3"/>
    <w:basedOn w:val="Heading"/>
    <w:next w:val="BodyText"/>
    <w:qFormat/>
    <w:pPr>
      <w:spacing w:before="240" w:after="120"/>
      <w:outlineLvl w:val="2"/>
    </w:pPr>
    <w:rPr>
      <w:rFonts w:ascii="Liberation Serif" w:hAnsi="Liberation Serif" w:eastAsia="WenQuanYi Zen Hei" w:cs="FreeSans"/>
      <w:b/>
      <w:bCs/>
      <w:color w:val="2E6DA4"/>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Emphasisbyline">
    <w:name w:val="Emphasis.byline"/>
    <w:basedOn w:val="Emphasis"/>
    <w:qFormat/>
    <w:rPr>
      <w:color w:val="555555"/>
    </w:rPr>
  </w:style>
  <w:style w:type="character" w:styleId="SourceText">
    <w:name w:val="Source Text"/>
    <w:qFormat/>
    <w:rPr>
      <w:rFonts w:ascii="Consolas;Courier New;monospace" w:hAnsi="Consolas;Courier New;monospace" w:eastAsia="Consolas;Courier New;monospace" w:cs="Consolas;Courier New;monospace"/>
      <w:sz w:val="20"/>
      <w:szCs w:val="20"/>
      <w:shd w:fill="F0F2F5"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4DAE1"/>
        <w:left w:val="single" w:sz="2" w:space="10" w:color="D4DAE1"/>
        <w:bottom w:val="single" w:sz="2" w:space="8" w:color="D4DAE1"/>
        <w:right w:val="single" w:sz="2" w:space="10" w:color="D4DAE1"/>
      </w:pBdr>
      <w:shd w:fill="F0F2F5" w:val="clear"/>
      <w:spacing w:before="1440" w:after="0"/>
    </w:pPr>
    <w:rPr>
      <w:rFonts w:ascii="Consolas;Courier New;monospace" w:hAnsi="Consolas;Courier New;monospace" w:eastAsia="Consolas;Courier New;monospace" w:cs="Consolas;Courier New;monospace"/>
      <w:sz w:val="19"/>
      <w:szCs w:val="19"/>
    </w:rPr>
  </w:style>
  <w:style w:type="paragraph" w:styleId="TableHeading">
    <w:name w:val="Table Heading"/>
    <w:basedOn w:val="TableContents"/>
    <w:qFormat/>
    <w:pPr>
      <w:suppressLineNumbers/>
      <w:shd w:fill="1F4E79"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Invoke-HiglasAnalysis.ps1 — README</dc:title>
</cp:coreProperties>
</file>

<file path=docProps/custom.xml><?xml version="1.0" encoding="utf-8"?>
<Properties xmlns="http://schemas.openxmlformats.org/officeDocument/2006/custom-properties" xmlns:vt="http://schemas.openxmlformats.org/officeDocument/2006/docPropsVTypes"/>
</file>