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4"/>
          <w:szCs w:val="24"/>
          <w:highlight w:val="none"/>
          <w:u w:val="single"/>
        </w:rPr>
      </w:pPr>
      <w:r>
        <w:rPr>
          <w:sz w:val="24"/>
          <w:szCs w:val="24"/>
          <w:u w:val="single"/>
        </w:rPr>
        <w:t xml:space="preserve">Diseno de teclado ergonómico dividido para prevenir </w:t>
      </w:r>
      <w:r>
        <w:rPr>
          <w:sz w:val="24"/>
          <w:szCs w:val="24"/>
          <w:u w:val="single"/>
        </w:rPr>
        <w:t xml:space="preserve">Trastornos musculoesqueléticos relacionados con el mal uso del teclado</w:t>
      </w:r>
      <w:r>
        <w:rPr>
          <w:sz w:val="24"/>
          <w:szCs w:val="24"/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</w:p>
    <w:p>
      <w:pPr>
        <w:pBdr/>
        <w:spacing/>
        <w:ind/>
        <w:jc w:val="center"/>
        <w:rPr>
          <w:sz w:val="24"/>
          <w:szCs w:val="24"/>
          <w:highlight w:val="none"/>
          <w:u w:val="single"/>
        </w:rPr>
      </w:pPr>
      <w:r>
        <w:rPr>
          <w:sz w:val="24"/>
          <w:szCs w:val="24"/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u w:val="single"/>
        </w:rPr>
      </w:pPr>
      <w:r>
        <w:rPr>
          <w:sz w:val="24"/>
          <w:szCs w:val="24"/>
          <w:highlight w:val="none"/>
          <w:u w:val="single"/>
        </w:rPr>
        <w:t xml:space="preserve">Descripcion de la propuesta</w:t>
      </w:r>
      <w:r>
        <w:rPr>
          <w:sz w:val="24"/>
          <w:szCs w:val="24"/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</w:p>
    <w:p>
      <w:pPr>
        <w:pBdr/>
        <w:spacing/>
        <w:ind/>
        <w:jc w:val="left"/>
        <w:rPr>
          <w:sz w:val="24"/>
          <w:szCs w:val="24"/>
          <w:highlight w:val="none"/>
          <w:u w:val="single"/>
        </w:rPr>
      </w:pPr>
      <w:r>
        <w:rPr>
          <w:sz w:val="24"/>
          <w:szCs w:val="24"/>
          <w:highlight w:val="none"/>
          <w:u w:val="single"/>
        </w:rPr>
      </w:r>
      <w:r>
        <w:rPr>
          <w:sz w:val="24"/>
          <w:szCs w:val="24"/>
          <w:highlight w:val="none"/>
          <w:u w:val="singl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En un mundo cada vez mas dependiente de la tecnología, los teclados </w:t>
      </w:r>
      <w:r>
        <w:rPr>
          <w:highlight w:val="none"/>
          <w:u w:val="none"/>
        </w:rPr>
        <w:t xml:space="preserve">han pasado a ser una herramienta fundamental en el día a día de las personas, convirtiéndose en una interfaz primordial entre el usuario y la máquina. Este</w:t>
      </w:r>
      <w:r>
        <w:rPr>
          <w:highlight w:val="none"/>
          <w:u w:val="none"/>
        </w:rPr>
        <w:t xml:space="preserve"> dispositivo de entrada no solo facilita la comunicación digital y la interacción con dispositivos electrónicos, sino que también se ha convertido en un componente indispensable para la productividad y la navegación en el mundo de la información.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A </w:t>
      </w:r>
      <w:r>
        <w:rPr>
          <w:highlight w:val="none"/>
          <w:u w:val="none"/>
        </w:rPr>
        <w:t xml:space="preserve">pesar de su papel esencial, es crucial reconocer que los teclados no están exentos de desafíos musculoesqueléticos para los usuarios. </w:t>
      </w:r>
      <w:r>
        <w:rPr>
          <w:highlight w:val="none"/>
          <w:u w:val="none"/>
        </w:rPr>
        <w:t xml:space="preserve">El uso continuo de los teclados, especialmente durante largas horas de trabajo, han sido asociados con problemas ergonómicos.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Estudios ergonómicos como el de</w:t>
      </w:r>
      <w:r>
        <w:rPr>
          <w:highlight w:val="none"/>
          <w:u w:val="none"/>
        </w:rPr>
        <w:t xml:space="preserve"> Gerr (2002) concluyeron que si los usuarios </w:t>
      </w:r>
      <w:r>
        <w:rPr>
          <w:highlight w:val="none"/>
          <w:u w:val="none"/>
          <w:lang w:val="es-DO"/>
        </w:rPr>
        <w:t xml:space="preserve">utilizan</w:t>
      </w:r>
      <w:r>
        <w:rPr>
          <w:highlight w:val="none"/>
          <w:u w:val="none"/>
        </w:rPr>
        <w:t xml:space="preserve"> el teclado durante 15 horas a la semana, la probabilidad de que presenten síntomas de trastornos musculoesqueléticos aumenta significativamente, afectando a mas del 50% de los sujetos de prueba.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Adem</w:t>
      </w:r>
      <w:r>
        <w:t xml:space="preserve">á</w:t>
      </w:r>
      <w:r>
        <w:rPr>
          <w:highlight w:val="none"/>
          <w:u w:val="none"/>
        </w:rPr>
        <w:t xml:space="preserve">s, </w:t>
      </w:r>
      <w:r>
        <w:rPr>
          <w:highlight w:val="none"/>
          <w:u w:val="none"/>
        </w:rPr>
        <w:t xml:space="preserve">según el estudio de Yassi (1997), </w:t>
      </w:r>
      <w:r>
        <w:rPr>
          <w:highlight w:val="none"/>
          <w:u w:val="none"/>
        </w:rPr>
        <w:t xml:space="preserve">las lesiones por esfuerzo repetitivo son un grupo de trastornos musculoesqueléticos que resultan de los movimientos</w:t>
      </w:r>
      <w:r>
        <w:rPr>
          <w:highlight w:val="none"/>
          <w:u w:val="none"/>
        </w:rPr>
        <w:t xml:space="preserve"> repetitivos que afectan los músculos, tendones, articulaciones y los nervios. Normalmente ocasionadas por movimientos forzados y posturas incómodas, a diferencia otras lesiones, estas se desarrollan a lo largo de un período prolongado</w:t>
      </w:r>
      <w:r>
        <w:t xml:space="preserve">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szCs w:val="20"/>
        </w:rPr>
        <w:t xml:space="preserve">Una de las posibles consecuencias de estos problemas musculoesqueléticos podría ser </w:t>
      </w:r>
      <w:r>
        <w:rPr>
          <w:highlight w:val="none"/>
          <w:u w:val="none"/>
        </w:rPr>
        <w:t xml:space="preserve">el Síndrome del Túnel Carpiano (STC), </w:t>
      </w:r>
      <w:r>
        <w:rPr>
          <w:highlight w:val="none"/>
          <w:u w:val="none"/>
        </w:rPr>
        <w:t xml:space="preserve">un trastorno común asociado con el uso prolongado del teclado, manifestándose cuando el nervio mediano se comprime </w:t>
      </w:r>
      <w:r>
        <w:rPr>
          <w:highlight w:val="none"/>
          <w:u w:val="none"/>
        </w:rPr>
        <w:t xml:space="preserve">en la muñeca. </w:t>
      </w:r>
      <w:r>
        <w:t xml:space="preserve">Este canal, que contiene tanto el nervio mediano como los tendones, se ve afectado por la actividad repetitiva de la mano.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t xml:space="preserve">La repetición constante de movimientos</w:t>
      </w:r>
      <w:r>
        <w:rPr>
          <w:rFonts w:ascii="Arial" w:hAnsi="Arial" w:eastAsia="Arial" w:cs="Arial"/>
          <w:color w:val="000000"/>
          <w:sz w:val="22"/>
          <w:szCs w:val="24"/>
        </w:rPr>
        <w:t xml:space="preserve"> de la mano puede causar engrosamiento del revestimiento sinovial de los tendones que comparten el túnel carpiano con el nervio mediano (Werner y Armstrong, 1997). Este fenómeno aumenta el volumen de tejido dentro del </w:t>
      </w:r>
      <w:r>
        <w:rPr>
          <w:rFonts w:ascii="Arial" w:hAnsi="Arial" w:eastAsia="Arial" w:cs="Arial"/>
          <w:color w:val="000000"/>
          <w:sz w:val="22"/>
          <w:szCs w:val="24"/>
        </w:rPr>
        <w:t xml:space="preserve">canal y conduce a un aumento en la línea de base y la presión mecánica dentro del túnel carpiano.</w:t>
      </w:r>
      <w:r/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Este incremento de presión mecánica puede dar luga</w:t>
      </w:r>
      <w:r>
        <w:rPr>
          <w:highlight w:val="none"/>
          <w:u w:val="none"/>
        </w:rPr>
        <w:t xml:space="preserve">r a una variedad de síntomas tales como dolor, entumecimiento y debilidad en la mano. Estos síntomas pueden afectar significativamente la calidad de vida de los usuarios, especialmente a aquellos que dependen del teclado durante largas jornadas de trabajo.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  <w:t xml:space="preserve">La aparición de estos trastornos puede ocasionar un gran impacto en la vida de los usuarios, afectando su calidad de vida y la productividad.</w:t>
      </w:r>
      <w:r>
        <w:rPr>
          <w:highlight w:val="none"/>
          <w:u w:val="none"/>
        </w:rPr>
        <w:t xml:space="preserve"> El dolor y la molestia que generan pueden dificultar las tareas cotidianas, incluido el trabajo en la computadora, volviéndolas mas desafiantes y dolorosas. </w:t>
      </w:r>
      <w:r>
        <w:rPr>
          <w:highlight w:val="none"/>
          <w:u w:val="none"/>
        </w:rPr>
        <w:t xml:space="preserve">Esto puede resultar en una disminución de la capacidad de los usuarios para desempeñar sus funciones de una manera óptima.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  <w:t xml:space="preserve">Este fenómeno se atribuye al diseño actual los teclado</w:t>
      </w:r>
      <w:r>
        <w:rPr>
          <w:highlight w:val="none"/>
          <w:u w:val="none"/>
        </w:rPr>
        <w:t xml:space="preserve">s </w:t>
      </w:r>
      <w:r>
        <w:rPr>
          <w:highlight w:val="none"/>
          <w:u w:val="none"/>
        </w:rPr>
        <w:t xml:space="preserve">y a las incómodas posiciones de las manos y los antebrazos requerida</w:t>
      </w:r>
      <w:r>
        <w:rPr>
          <w:highlight w:val="none"/>
          <w:u w:val="none"/>
        </w:rPr>
        <w:t xml:space="preserve">s por los usuarios para utilizar el teclado. La posición forzada del antebrazo en una pronación excesiva resulta poco natural, y las dimensiones del teclado obligan a tener la manos cercanas y los dedos en la fila central para comenzar la escritura,</w:t>
      </w:r>
      <w:r>
        <w:rPr>
          <w:highlight w:val="none"/>
          <w:u w:val="none"/>
        </w:rPr>
        <w:t xml:space="preserve"> lo que lleva a que ambas muñecas se extiendan en posición ulnar.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</w:rPr>
      </w:pPr>
      <w:r>
        <w:rPr>
          <w:highlight w:val="none"/>
          <w:u w:val="none"/>
        </w:rPr>
      </w:r>
      <w:r>
        <w:t xml:space="preserve">Estas posiciones, tanto la pronación excesiva como la extensión forzada,  generan una carga significativa en las articulaciones y los tendones del antebrazo, propiciando lesiones por esfuerzo repetitivo. Los  movimientos repetitivos y las posturas poco er</w:t>
      </w:r>
      <w:r>
        <w:t xml:space="preserve">gonómicas crean presión innecesaria en los tejidos blandos, pudiendo resultar en un trastorno musculoesquelético.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left"/>
        <w:rPr>
          <w:highlight w:val="green"/>
        </w:rPr>
      </w:pPr>
      <w:r>
        <w:rPr>
          <w:highlight w:val="green"/>
        </w:rPr>
        <w:t xml:space="preserve">Si los usuario contaran con un dispositivo que permita escribir de una manera mas comoda, eliminando la cantidad de movimientos inecesarios y reduciendo la fatiga a la hora de escribir y usar el teclado. {Tengo que hablar de eso y mejorar es parte </w:t>
      </w:r>
      <w:r>
        <w:rPr>
          <w:highlight w:val="green"/>
        </w:rPr>
        <w:t xml:space="preserve">}. </w:t>
      </w:r>
      <w:r>
        <w:rPr>
          <w:highlight w:val="green"/>
        </w:rPr>
      </w:r>
      <w:r>
        <w:rPr>
          <w:highlight w:val="green"/>
        </w:rPr>
      </w:r>
    </w:p>
    <w:p>
      <w:pPr>
        <w:pStyle w:val="860"/>
        <w:numPr>
          <w:ilvl w:val="0"/>
          <w:numId w:val="13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yellow"/>
        </w:rPr>
        <w:t xml:space="preserve">Implementar </w:t>
      </w:r>
      <w:r>
        <w:rPr>
          <w:highlight w:val="none"/>
        </w:rPr>
        <w:t xml:space="preserve">una iluminación ajustable que mejora la visibilidad en ambientes oscuros y varíen el color según las necesidades del usuario.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</w:rPr>
      </w:pPr>
      <w:r>
        <w:rPr>
          <w:highlight w:val="none"/>
          <w:u w:val="none"/>
        </w:rPr>
      </w:r>
      <w:r>
        <w:t xml:space="preserve">reduciendo la carga de trabajo.</w:t>
      </w:r>
      <w:r>
        <w:t xml:space="preserve">permitiendo a los usuarios encontrar la posición más cómoda para su anatomía y preferencias.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yellow"/>
        </w:rPr>
        <w:t xml:space="preserve">Implementar </w:t>
      </w:r>
      <w:r>
        <w:t xml:space="preserve">en el teclado</w:t>
      </w:r>
      <w:r>
        <w:t xml:space="preserve"> con una ligera inclinación que reduzca la tensión en las muñecas, disminuyendo la pronación excesiva y la extensión ulnar durante la escritura.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2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yellow"/>
        </w:rPr>
        <w:t xml:space="preserve">Rediseñar</w:t>
      </w:r>
      <w:r>
        <w:t xml:space="preserve"> la distribución de las teclas para minimizar el movimiento innecesario de las manos, facilitando una escritura más fluida y cómoda que contribuya a la prevención de lesiones de uso repetitivo.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2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yellow"/>
        </w:rPr>
        <w:t xml:space="preserve">Optimizar</w:t>
      </w:r>
      <w:r>
        <w:t xml:space="preserve"> el tamaño del teclado eliminando teclas que no son esenciales y que requieren movimientos extensos de las manos, reduciendo así el estrés y la fatiga asociados con la escritura prolongada.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Objetivo general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Crear un teclado ergonómico dividido y centrado en el usuario,</w:t>
      </w: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abordando los problemas actuales asociados con los teclados genéricos, mejorando la interacción usuario-interfaz.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line="360" w:lineRule="auto"/>
        <w:ind/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Objetivos específicos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860"/>
        <w:numPr>
          <w:ilvl w:val="0"/>
          <w:numId w:val="10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</w:rPr>
      </w:r>
      <w:r>
        <w:rPr>
          <w:highlight w:val="none"/>
        </w:rPr>
        <w:t xml:space="preserve">D</w:t>
      </w:r>
      <w:r>
        <w:rPr>
          <w:highlight w:val="none"/>
        </w:rPr>
        <w:t xml:space="preserve">iseñar</w:t>
      </w:r>
      <w:r>
        <w:rPr>
          <w:highlight w:val="none"/>
        </w:rPr>
        <w:t xml:space="preserve"> una interfaz de hardware intuitiva y amigable que contribuya a la reduccion de los trastornos musculoesqueleticos provocados por los teclados genericos.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</w:rPr>
        <w:t xml:space="preserve">Facilitar l</w:t>
      </w:r>
      <w:r>
        <w:t xml:space="preserve">a personalización del teclado mediante la posibilidad de separación y ajuste de sus partes y asignación de macros </w:t>
      </w:r>
      <w:r>
        <w:t xml:space="preserve">a teclas específicas</w:t>
      </w:r>
      <w:r>
        <w:t xml:space="preserve"> </w:t>
      </w:r>
      <w:r>
        <w:t xml:space="preserve">automatizando tareas </w:t>
      </w:r>
      <w:r>
        <w:t xml:space="preserve">repetitivas  mejorando asi la productividad del usuario.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</w:rPr>
        <w:t xml:space="preserve">Incorporar </w:t>
      </w:r>
      <w:r>
        <w:t xml:space="preserve">un sistema de capas de teclas que permita acceder a funciones adicionales sin aumentar el tamaño del teclado, mejorando la eficiencia y reduciendo la necesidad de movimientos excesivos.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  <w:u w:val="none"/>
        </w:rPr>
      </w:pPr>
      <w:r>
        <w:rPr>
          <w:highlight w:val="none"/>
        </w:rPr>
        <w:t xml:space="preserve">Garantizar la accesibilidad de este teclado permitiendo que sea compatible con una alta gama de dispositivos y sistemas operativos.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  <w:t xml:space="preserve"> </w:t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  <w:t xml:space="preserve">Motivación</w:t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tabs>
          <w:tab w:val="left" w:leader="none" w:pos="1749"/>
        </w:tabs>
        <w:spacing/>
        <w:ind/>
        <w:rPr>
          <w:highlight w:val="none"/>
          <w:u w:val="none"/>
        </w:rPr>
      </w:pPr>
      <w:r>
        <w:rPr>
          <w:u w:val="none"/>
        </w:rPr>
        <w:t xml:space="preserve">La razón que motiva la realización de esta propuesta, esta basada en diversos aspectos, como son: </w:t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860"/>
        <w:numPr>
          <w:ilvl w:val="0"/>
          <w:numId w:val="15"/>
        </w:num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  <w:t xml:space="preserve">La prevención de lesiones por uso repetitivo al implementar un teclado ergonómico con el objetivo de evitar que las personas sufran lesiones por el uso repetitivo del teclado.</w:t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860"/>
        <w:numPr>
          <w:ilvl w:val="0"/>
          <w:numId w:val="14"/>
        </w:num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  <w:t xml:space="preserve">Promover la consciencia sobre la importancia de adoptar posturas y practicas ergonómicas al utilizar el teclado.</w:t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4"/>
        </w:num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</w:r>
      <w:r>
        <w:t xml:space="preserve">Incrementar la eficiencia y la satisfacción de los usuarios al interactuar con la interfaz.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4"/>
        </w:num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  <w:t xml:space="preserve">Demostrar de manera clara y tangible las mejoras en la salud y rendimiento de los usuarios, mostrando como el uso de esta tecnología puede contribuir positivamente a la reducción y prevención de lesiones.</w:t>
      </w:r>
      <w:r>
        <w:rPr>
          <w:highlight w:val="none"/>
          <w:u w:val="none"/>
        </w:rPr>
      </w:r>
    </w:p>
    <w:p>
      <w:pPr>
        <w:pStyle w:val="860"/>
        <w:numPr>
          <w:ilvl w:val="0"/>
          <w:numId w:val="14"/>
        </w:num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  <w:t xml:space="preserve">Implementar el conocimiento adquirido en ergonómica y creación de teclados, promoviendo así el avance en el campo de la ergonómica y la creación de soluciones tecnológicas mas adaptadas a las necesidades y salud de los usuarios.</w:t>
      </w:r>
      <w:r>
        <w:rPr>
          <w:highlight w:val="none"/>
          <w:u w:val="none"/>
        </w:rPr>
      </w:r>
    </w:p>
    <w:p>
      <w:pPr>
        <w:pBdr/>
        <w:tabs>
          <w:tab w:val="left" w:leader="none" w:pos="1749"/>
        </w:tabs>
        <w:spacing/>
        <w:ind w:firstLine="0" w:left="709"/>
        <w:rPr>
          <w:color w:val="000000" w:themeColor="text1"/>
          <w:sz w:val="24"/>
          <w:szCs w:val="24"/>
          <w:highlight w:val="none"/>
          <w:u w:val="none"/>
        </w:rPr>
      </w:pP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Bdr/>
        <w:tabs>
          <w:tab w:val="left" w:leader="none" w:pos="1749"/>
        </w:tabs>
        <w:spacing/>
        <w:ind w:firstLine="0" w:left="0"/>
        <w:jc w:val="left"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tabs>
          <w:tab w:val="left" w:leader="none" w:pos="1749"/>
        </w:tabs>
        <w:spacing/>
        <w:ind w:firstLine="0" w:left="709"/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Alcance del estudio</w:t>
      </w:r>
      <w:r>
        <w:rPr>
          <w:highlight w:val="none"/>
          <w:u w:val="single"/>
        </w:rPr>
      </w:r>
    </w:p>
    <w:p>
      <w:pPr>
        <w:pBdr/>
        <w:tabs>
          <w:tab w:val="left" w:leader="none" w:pos="1749"/>
        </w:tabs>
        <w:spacing/>
        <w:ind w:firstLine="0" w:left="709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El estudio se enfocara en investigar los problemas musculoesqueleticos, que estan asociados con el uso prolongado de teclados en el ámbito laboral. Se analizaran los factores ergonómicos implicados en el diseno y uso de los teclados, incluyendo la posición de la manos y las posturas del cuerpo. </w:t>
      </w:r>
      <w:r>
        <w:rPr>
          <w:highlight w:val="none"/>
          <w:u w:val="none"/>
        </w:rPr>
      </w:r>
    </w:p>
    <w:p>
      <w:pPr>
        <w:pBdr/>
        <w:tabs>
          <w:tab w:val="left" w:leader="none" w:pos="1749"/>
        </w:tabs>
        <w:spacing/>
        <w:ind w:firstLine="0" w:left="709"/>
        <w:jc w:val="left"/>
        <w:rPr>
          <w:highlight w:val="none"/>
          <w:u w:val="none"/>
        </w:rPr>
      </w:pPr>
      <w:r>
        <w:rPr>
          <w:highlight w:val="none"/>
          <w:u w:val="none"/>
        </w:rPr>
        <w:t xml:space="preserve">El estudio se enfoca e la investigación de los problemas musulosequeleticos derivados del uso prolongado de los teclados y la propuesta de un teclado divido con el objetivo de prevenir y mitigar los problemas musculoesqueleticos. Mejorando la salud y comodidad de los usuarios en entornos laborales y de use frecuente de tecnología.</w:t>
      </w:r>
      <w:r>
        <w:rPr>
          <w:highlight w:val="none"/>
          <w:u w:val="non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tabs>
          <w:tab w:val="left" w:leader="none" w:pos="1749"/>
        </w:tabs>
        <w:spacing/>
        <w:ind w:firstLine="0" w:left="0"/>
        <w:jc w:val="left"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tabs>
          <w:tab w:val="left" w:leader="none" w:pos="1749"/>
        </w:tabs>
        <w:spacing/>
        <w:ind w:firstLine="0" w:left="709"/>
        <w:jc w:val="left"/>
        <w:rPr>
          <w:highlight w:val="none"/>
          <w:u w:val="single"/>
        </w:rPr>
      </w:pPr>
      <w:r>
        <w:rPr>
          <w:highlight w:val="none"/>
          <w:u w:val="single"/>
        </w:rPr>
        <w:t xml:space="preserve">Limites</w:t>
      </w:r>
      <w:r>
        <w:rPr>
          <w:highlight w:val="none"/>
          <w:u w:val="single"/>
        </w:rPr>
      </w:r>
    </w:p>
    <w:p>
      <w:pPr>
        <w:pBdr/>
        <w:tabs>
          <w:tab w:val="left" w:leader="none" w:pos="1749"/>
        </w:tabs>
        <w:spacing/>
        <w:ind w:firstLine="0" w:left="709"/>
        <w:jc w:val="left"/>
        <w:rPr>
          <w:color w:val="000000" w:themeColor="text1"/>
          <w:sz w:val="24"/>
          <w:szCs w:val="24"/>
          <w:highlight w:val="none"/>
          <w:u w:val="single"/>
        </w:rPr>
      </w:pPr>
      <w:r>
        <w:rPr>
          <w:highlight w:val="none"/>
          <w:u w:val="single"/>
        </w:rPr>
        <w:t xml:space="preserve">El estudio se limitara a las afecciones de la muneca, los hombro y espalda que esten relacionadas con el uso del teclado. Ademas de enfocarse principalmente en la creación de un teclado ergonómico.</w:t>
      </w:r>
      <w:r>
        <w:rPr>
          <w:highlight w:val="none"/>
          <w:u w:val="single"/>
        </w:rPr>
      </w:r>
    </w:p>
    <w:p>
      <w:pPr>
        <w:pBdr/>
        <w:tabs>
          <w:tab w:val="left" w:leader="none" w:pos="1749"/>
        </w:tabs>
        <w:spacing/>
        <w:ind/>
        <w:rPr>
          <w:color w:val="000000" w:themeColor="text1"/>
          <w:sz w:val="24"/>
          <w:szCs w:val="24"/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sz w:val="24"/>
          <w:szCs w:val="24"/>
          <w:highlight w:val="none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Referencias</w:t>
      </w:r>
      <w:r>
        <w:rPr>
          <w:color w:val="000000" w:themeColor="text1"/>
          <w:sz w:val="24"/>
          <w:szCs w:val="24"/>
          <w:highlight w:val="none"/>
          <w:u w:val="single"/>
        </w:rPr>
      </w:r>
      <w:r>
        <w:rPr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color w:val="000000" w:themeColor="text1"/>
          <w:highlight w:val="none"/>
          <w:u w:val="single"/>
        </w:rPr>
      </w:pPr>
      <w:r>
        <w:rPr>
          <w:color w:val="000000" w:themeColor="text1"/>
          <w:highlight w:val="none"/>
          <w:u w:val="single"/>
        </w:rPr>
      </w:r>
      <w:r>
        <w:rPr>
          <w:color w:val="000000" w:themeColor="text1"/>
          <w:highlight w:val="none"/>
          <w:u w:val="single"/>
        </w:rPr>
      </w:r>
      <w:r>
        <w:rPr>
          <w:color w:val="000000" w:themeColor="text1"/>
          <w:highlight w:val="none"/>
          <w:u w:val="single"/>
        </w:rPr>
      </w:r>
    </w:p>
    <w:p>
      <w:pPr>
        <w:pBdr/>
        <w:spacing w:line="360" w:lineRule="auto"/>
        <w:ind/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Annalee Yassi (1997) “Repetitive strain injuries”,</w:t>
      </w:r>
      <w:r>
        <w:rPr>
          <w:rFonts w:ascii="Arial" w:hAnsi="Arial" w:eastAsia="Arial" w:cs="Arial"/>
          <w:b w:val="0"/>
          <w:bCs w:val="0"/>
          <w:color w:val="000000" w:themeColor="text1"/>
          <w:sz w:val="20"/>
          <w:szCs w:val="20"/>
          <w:highlight w:val="none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0"/>
          <w:szCs w:val="20"/>
          <w:highlight w:val="none"/>
          <w:u w:val="none"/>
        </w:rPr>
      </w:r>
      <w:hyperlink r:id="rId9" w:tooltip="https://doi.org/10.1016/S0140-6736(96)07221-2" w:history="1">
        <w:r>
          <w:rPr>
            <w:rStyle w:val="838"/>
            <w:rFonts w:ascii="Arial" w:hAnsi="Arial" w:eastAsia="Arial" w:cs="Arial"/>
            <w:b w:val="0"/>
            <w:bCs w:val="0"/>
            <w:color w:val="000000" w:themeColor="text1"/>
            <w:sz w:val="22"/>
            <w:szCs w:val="20"/>
            <w:u w:val="none"/>
          </w:rPr>
          <w:t xml:space="preserve">Recuperado de: </w:t>
        </w:r>
        <w:r>
          <w:rPr>
            <w:rStyle w:val="838"/>
            <w:rFonts w:ascii="Arial" w:hAnsi="Arial" w:eastAsia="Arial" w:cs="Arial"/>
            <w:color w:val="000000" w:themeColor="text1"/>
            <w:sz w:val="22"/>
            <w:szCs w:val="20"/>
            <w:u w:val="none"/>
          </w:rPr>
          <w:t xml:space="preserve">https://doi.org/10.1016/S0140-6736(96)07221-2 </w:t>
        </w:r>
      </w:hyperlink>
      <w:r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r>
      <w:r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r>
    </w:p>
    <w:p>
      <w:pPr>
        <w:pBdr/>
        <w:spacing w:line="360" w:lineRule="auto"/>
        <w:ind/>
        <w:rPr>
          <w:rFonts w:ascii="Arial" w:hAnsi="Arial" w:cs="Arial"/>
          <w:color w:val="000000" w:themeColor="text1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u w:val="none"/>
        </w:rPr>
        <w:t xml:space="preserve">Gerr F, Marcus M, Ensor C, Kleinbaum D, Cohen S, Edwards A, Gentry E,  Ortiz DJ (2002) </w:t>
      </w:r>
      <w:r>
        <w:rPr>
          <w:rFonts w:ascii="Arial" w:hAnsi="Arial" w:eastAsia="Arial" w:cs="Arial"/>
          <w:i/>
          <w:iCs/>
          <w:color w:val="000000" w:themeColor="text1"/>
          <w:u w:val="none"/>
        </w:rPr>
        <w:t xml:space="preserve">“prospective study of computer users: I. Study  design and incidence of musculoskeletal symptoms and disorders”</w:t>
      </w:r>
      <w:r>
        <w:rPr>
          <w:rFonts w:ascii="Arial" w:hAnsi="Arial" w:eastAsia="Arial" w:cs="Arial"/>
          <w:color w:val="000000" w:themeColor="text1"/>
          <w:u w:val="none"/>
        </w:rPr>
        <w:t xml:space="preserve">, Recuperado de </w:t>
      </w:r>
      <w:hyperlink r:id="rId10" w:tooltip="https://doi.org/10.1002/ajim.10066" w:history="1">
        <w:r>
          <w:rPr>
            <w:rStyle w:val="838"/>
            <w:rFonts w:ascii="Arial" w:hAnsi="Arial" w:eastAsia="Arial" w:cs="Arial"/>
            <w:color w:val="000000" w:themeColor="text1"/>
            <w:sz w:val="24"/>
            <w:u w:val="none"/>
          </w:rPr>
          <w:t xml:space="preserve">10.1002/ajim.10066 </w:t>
        </w:r>
      </w:hyperlink>
      <w:r>
        <w:rPr>
          <w:rFonts w:ascii="Arial" w:hAnsi="Arial" w:cs="Arial"/>
          <w:color w:val="000000" w:themeColor="text1"/>
          <w:highlight w:val="none"/>
          <w:u w:val="none"/>
        </w:rPr>
      </w:r>
      <w:r>
        <w:rPr>
          <w:rFonts w:ascii="Arial" w:hAnsi="Arial" w:cs="Arial"/>
          <w:color w:val="000000" w:themeColor="text1"/>
          <w:highlight w:val="none"/>
          <w:u w:val="none"/>
        </w:rPr>
      </w:r>
    </w:p>
    <w:p>
      <w:pPr>
        <w:pBdr/>
        <w:spacing w:line="360" w:lineRule="auto"/>
        <w:ind/>
        <w:rPr>
          <w:rFonts w:ascii="Arial" w:hAnsi="Arial" w:cs="Arial"/>
          <w:color w:val="000000" w:themeColor="text1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u w:val="none"/>
        </w:rPr>
        <w:t xml:space="preserve">Gerr F, Monteilh CP, Marcus M. </w:t>
      </w:r>
      <w:r>
        <w:rPr>
          <w:rFonts w:ascii="Arial" w:hAnsi="Arial" w:eastAsia="Arial" w:cs="Arial"/>
          <w:color w:val="000000" w:themeColor="text1"/>
          <w:u w:val="none"/>
        </w:rPr>
        <w:t xml:space="preserve">(2006)</w:t>
      </w:r>
      <w:r>
        <w:rPr>
          <w:rFonts w:ascii="Arial" w:hAnsi="Arial" w:eastAsia="Arial" w:cs="Arial"/>
          <w:color w:val="000000" w:themeColor="text1"/>
          <w:u w:val="none"/>
        </w:rPr>
        <w:t xml:space="preserve"> “Keyboard use and musculoskeletal outcomes among computer users.” J Occup Rehabil.  (Esto habla sober teclados ergonomicos)</w:t>
      </w:r>
      <w:r>
        <w:rPr>
          <w:rFonts w:ascii="Arial" w:hAnsi="Arial" w:cs="Arial"/>
          <w:color w:val="000000" w:themeColor="text1"/>
          <w:highlight w:val="none"/>
          <w:u w:val="none"/>
        </w:rPr>
      </w:r>
      <w:r>
        <w:rPr>
          <w:rFonts w:ascii="Arial" w:hAnsi="Arial" w:cs="Arial"/>
          <w:color w:val="000000" w:themeColor="text1"/>
          <w:highlight w:val="none"/>
          <w:u w:val="none"/>
        </w:rPr>
      </w:r>
    </w:p>
    <w:p>
      <w:pPr>
        <w:pBdr/>
        <w:spacing w:line="360" w:lineRule="auto"/>
        <w:ind/>
        <w:rPr>
          <w:rFonts w:ascii="Arial" w:hAnsi="Arial" w:cs="Arial"/>
          <w:bCs/>
          <w:i/>
          <w:color w:val="000000" w:themeColor="text1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Hagberg M, A. Toomingas and E. Wigeaus Tornqvist (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2002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), “</w:t>
      </w:r>
      <w:r>
        <w:rPr>
          <w:rFonts w:ascii="Arial" w:hAnsi="Arial" w:eastAsia="Arial" w:cs="Arial"/>
          <w:i/>
          <w:iCs/>
          <w:color w:val="000000" w:themeColor="text1"/>
          <w:highlight w:val="none"/>
          <w:u w:val="none"/>
        </w:rPr>
        <w:t xml:space="preserve">Self-reported reduced </w:t>
      </w:r>
      <w:r>
        <w:rPr>
          <w:rFonts w:ascii="Arial" w:hAnsi="Arial" w:eastAsia="Arial" w:cs="Arial"/>
          <w:i/>
          <w:iCs/>
          <w:color w:val="000000" w:themeColor="text1"/>
          <w:highlight w:val="none"/>
          <w:u w:val="none"/>
        </w:rPr>
        <w:t xml:space="preserve">productivity due to musculoskeletal symptoms: Associations with workplace and </w:t>
      </w:r>
      <w:r>
        <w:rPr>
          <w:rFonts w:ascii="Arial" w:hAnsi="Arial" w:eastAsia="Arial" w:cs="Arial"/>
          <w:i/>
          <w:iCs/>
          <w:color w:val="000000" w:themeColor="text1"/>
          <w:highlight w:val="none"/>
          <w:u w:val="none"/>
        </w:rPr>
        <w:t xml:space="preserve">individual factors among white collar computer users,”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 Journal of Occupational 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Rehabilitation. Recuperado de: 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</w:r>
      <w:hyperlink r:id="rId11" w:tooltip="https://www.tandfonline.com/doi/full/10.1080/00140130701674539" w:history="1">
        <w:r>
          <w:rPr>
            <w:rStyle w:val="838"/>
            <w:rFonts w:ascii="Arial" w:hAnsi="Arial" w:eastAsia="Arial" w:cs="Arial"/>
            <w:color w:val="000000" w:themeColor="text1"/>
            <w:highlight w:val="none"/>
            <w:u w:val="none"/>
          </w:rPr>
          <w:t xml:space="preserve">htt</w:t>
        </w:r>
        <w:r>
          <w:rPr>
            <w:rStyle w:val="838"/>
            <w:rFonts w:ascii="Arial" w:hAnsi="Arial" w:eastAsia="Arial" w:cs="Arial"/>
            <w:color w:val="000000" w:themeColor="text1"/>
            <w:highlight w:val="none"/>
            <w:u w:val="none"/>
          </w:rPr>
          <w:t xml:space="preserve">ps://www.tandfonline.com/doi/full/10.1080/00140130701674539</w:t>
        </w:r>
      </w:hyperlink>
      <w:r>
        <w:rPr>
          <w:rFonts w:ascii="Arial" w:hAnsi="Arial" w:cs="Arial"/>
          <w:bCs/>
          <w:i/>
          <w:color w:val="000000" w:themeColor="text1"/>
          <w:highlight w:val="none"/>
          <w:u w:val="none"/>
        </w:rPr>
      </w:r>
      <w:r>
        <w:rPr>
          <w:rFonts w:ascii="Arial" w:hAnsi="Arial" w:cs="Arial"/>
          <w:bCs/>
          <w:i/>
          <w:color w:val="000000" w:themeColor="text1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eastAsia="Arial" w:cs="Arial"/>
          <w:color w:val="000000" w:themeColor="text1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Peter C. Fuchs, Peter A. Nathan, Lee D.Myers (1991) “Synovial histology in carpal tunnel syndrome”, 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Recuperado de: </w:t>
      </w:r>
      <w:hyperlink r:id="rId12" w:tooltip="https://doi.org/10.1016/0363-5023(91)90208-S" w:history="1">
        <w:r>
          <w:rPr>
            <w:rStyle w:val="838"/>
            <w:rFonts w:ascii="Arial" w:hAnsi="Arial" w:eastAsia="Arial" w:cs="Arial"/>
            <w:color w:val="000000" w:themeColor="text1"/>
            <w:sz w:val="22"/>
            <w:szCs w:val="20"/>
            <w:u w:val="none"/>
          </w:rPr>
          <w:t xml:space="preserve">https://doi.org/10.1016/0363-5023(91)90208-S</w:t>
        </w:r>
      </w:hyperlink>
      <w:r>
        <w:rPr>
          <w:rFonts w:ascii="Arial" w:hAnsi="Arial" w:eastAsia="Arial" w:cs="Arial"/>
          <w:color w:val="000000" w:themeColor="text1"/>
          <w:highlight w:val="none"/>
          <w:u w:val="none"/>
        </w:rPr>
      </w:r>
      <w:r>
        <w:rPr>
          <w:rFonts w:ascii="Arial" w:hAnsi="Arial" w:eastAsia="Arial" w:cs="Arial"/>
          <w:color w:val="000000" w:themeColor="text1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pP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Robert A. Werner, Micael Andary (2002) 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  <w:u w:val="none"/>
        </w:rPr>
        <w:t xml:space="preserve">“</w:t>
      </w:r>
      <w:r>
        <w:rPr>
          <w:rFonts w:ascii="Arial" w:hAnsi="Arial" w:eastAsia="Arial" w:cs="Arial"/>
          <w:i/>
          <w:iCs/>
          <w:color w:val="000000" w:themeColor="text1"/>
          <w:sz w:val="22"/>
          <w:szCs w:val="22"/>
          <w:u w:val="none"/>
        </w:rPr>
        <w:t xml:space="preserve">Carpal tunnel syndrome: pathophysiology and clinical neurophysiology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  <w:u w:val="none"/>
        </w:rPr>
        <w:t xml:space="preserve">”, Clinical Neurophysiology</w:t>
      </w:r>
      <w:r>
        <w:rPr>
          <w:rFonts w:ascii="Arial" w:hAnsi="Arial" w:eastAsia="Arial" w:cs="Arial"/>
          <w:color w:val="000000" w:themeColor="text1"/>
          <w:highlight w:val="none"/>
          <w:u w:val="none"/>
        </w:rPr>
        <w:t xml:space="preserve">, Recuperado de: </w:t>
      </w:r>
      <w:r>
        <w:rPr>
          <w:rFonts w:ascii="Arial" w:hAnsi="Arial" w:eastAsia="Arial" w:cs="Arial"/>
          <w:color w:val="000000" w:themeColor="text1"/>
          <w:u w:val="none"/>
        </w:rPr>
      </w:r>
      <w:hyperlink r:id="rId13" w:tooltip="Persistent link using digital object identifier" w:history="1">
        <w:r>
          <w:rPr>
            <w:rStyle w:val="838"/>
            <w:rFonts w:ascii="Arial" w:hAnsi="Arial" w:eastAsia="Arial" w:cs="Arial"/>
            <w:color w:val="000000" w:themeColor="text1"/>
            <w:sz w:val="22"/>
            <w:szCs w:val="20"/>
            <w:u w:val="none"/>
          </w:rPr>
          <w:t xml:space="preserve">https://doi.org/10.1016/S1388-2457(02)00169-4  </w:t>
        </w:r>
      </w:hyperlink>
      <w:r>
        <w:rPr>
          <w:rFonts w:ascii="Arial" w:hAnsi="Arial" w:eastAsia="Arial" w:cs="Arial"/>
          <w:color w:val="000000" w:themeColor="text1"/>
          <w:sz w:val="20"/>
          <w:szCs w:val="20"/>
          <w:highlight w:val="none"/>
          <w:u w:val="none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r>
      <w:r>
        <w:rPr>
          <w:rFonts w:ascii="Arial" w:hAnsi="Arial" w:cs="Arial"/>
          <w:color w:val="000000" w:themeColor="text1"/>
          <w:sz w:val="18"/>
          <w:szCs w:val="1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t xml:space="preserve">Ripat J, Giesbrecht E, Quanbury A, Kelso S. (2010)“</w:t>
      </w:r>
      <w:r>
        <w:rPr>
          <w:i/>
          <w:iCs/>
        </w:rPr>
        <w:t xml:space="preserve">Effectiveness of an  ergonomic keyboard </w:t>
      </w:r>
      <w:r>
        <w:rPr>
          <w:i/>
          <w:iCs/>
          <w:color w:val="000000" w:themeColor="text1"/>
        </w:rPr>
        <w:t xml:space="preserve">for typists with work related upper extremity  disorders: a follow-up study”</w:t>
      </w:r>
      <w:r>
        <w:rPr>
          <w:color w:val="000000" w:themeColor="text1"/>
        </w:rPr>
        <w:t xml:space="preserve">. Recuperado de: </w:t>
      </w:r>
      <w:hyperlink r:id="rId14" w:tooltip="https://doi.org/10.3233/wor-2010-1079" w:history="1">
        <w:r>
          <w:rPr>
            <w:rStyle w:val="838"/>
            <w:rFonts w:ascii="Times New Roman" w:hAnsi="Times New Roman" w:eastAsia="Times New Roman" w:cs="Times New Roman"/>
            <w:color w:val="000000" w:themeColor="text1"/>
            <w:sz w:val="24"/>
            <w:u w:val="none"/>
          </w:rPr>
          <w:t xml:space="preserve">10.3233/WOR-2010-1079 </w:t>
        </w:r>
      </w:hyperlink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>
    <w:name w:val="Title Char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>
    <w:name w:val="Subtitle Char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pBdr/>
      <w:spacing/>
      <w:ind w:right="720" w:left="720"/>
    </w:pPr>
    <w:rPr>
      <w:i/>
    </w:rPr>
  </w:style>
  <w:style w:type="character" w:styleId="703">
    <w:name w:val="Quote Ch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5">
    <w:name w:val="Intense Quote Ch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856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Header Char"/>
    <w:link w:val="706"/>
    <w:uiPriority w:val="99"/>
    <w:pPr>
      <w:pBdr/>
      <w:spacing/>
      <w:ind/>
    </w:pPr>
  </w:style>
  <w:style w:type="paragraph" w:styleId="708">
    <w:name w:val="Footer"/>
    <w:basedOn w:val="856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Footer Char"/>
    <w:link w:val="708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  <w:pPr>
      <w:pBdr/>
      <w:spacing/>
      <w:ind/>
    </w:pPr>
  </w:style>
  <w:style w:type="table" w:styleId="712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paragraph" w:styleId="859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860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i.org/10.1016/S0140-6736(96)07221-2" TargetMode="External"/><Relationship Id="rId10" Type="http://schemas.openxmlformats.org/officeDocument/2006/relationships/hyperlink" Target="https://doi.org/10.1002/ajim.10066" TargetMode="External"/><Relationship Id="rId11" Type="http://schemas.openxmlformats.org/officeDocument/2006/relationships/hyperlink" Target="https://www.tandfonline.com/doi/full/10.1080/00140130701674539" TargetMode="External"/><Relationship Id="rId12" Type="http://schemas.openxmlformats.org/officeDocument/2006/relationships/hyperlink" Target="https://doi.org/10.1016/0363-5023(91)90208-S" TargetMode="External"/><Relationship Id="rId13" Type="http://schemas.openxmlformats.org/officeDocument/2006/relationships/hyperlink" Target="https://doi.org/10.1016/S1388-2457(02)00169-4" TargetMode="External"/><Relationship Id="rId14" Type="http://schemas.openxmlformats.org/officeDocument/2006/relationships/hyperlink" Target="https://doi.org/10.3233/wor-2010-107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2024-03-20T14:59:43Z</dcterms:modified>
</cp:coreProperties>
</file>