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98AE1" w14:textId="3EA7C317" w:rsidR="006E67AC" w:rsidRPr="001635E6" w:rsidRDefault="006E67AC" w:rsidP="001635E6">
      <w:pPr>
        <w:jc w:val="center"/>
        <w:rPr>
          <w:b/>
          <w:bCs/>
          <w:sz w:val="36"/>
          <w:szCs w:val="36"/>
        </w:rPr>
      </w:pPr>
      <w:r w:rsidRPr="001635E6">
        <w:rPr>
          <w:sz w:val="36"/>
          <w:szCs w:val="36"/>
        </w:rPr>
        <w:t>HEALTHCARE-EHR-PROJECT</w:t>
      </w:r>
    </w:p>
    <w:p w14:paraId="66EE3F74" w14:textId="55F2AEDC" w:rsidR="006E67AC" w:rsidRPr="001635E6" w:rsidRDefault="006E67AC" w:rsidP="006E67AC">
      <w:pPr>
        <w:rPr>
          <w:b/>
          <w:bCs/>
        </w:rPr>
      </w:pPr>
      <w:r w:rsidRPr="001635E6">
        <w:rPr>
          <w:b/>
          <w:bCs/>
        </w:rPr>
        <w:t>BY DR. OKORO EMMANUEL NJOKU</w:t>
      </w:r>
    </w:p>
    <w:p w14:paraId="5A11BA53" w14:textId="77777777" w:rsidR="006E67AC" w:rsidRPr="006E67AC" w:rsidRDefault="006E67AC" w:rsidP="006E67AC">
      <w:r w:rsidRPr="006E67AC">
        <w:t xml:space="preserve">I initiated the project by acquiring a healthcare dataset from </w:t>
      </w:r>
      <w:proofErr w:type="spellStart"/>
      <w:r w:rsidRPr="006E67AC">
        <w:t>K</w:t>
      </w:r>
      <w:r>
        <w:t>a</w:t>
      </w:r>
      <w:r w:rsidRPr="006E67AC">
        <w:t>gg</w:t>
      </w:r>
      <w:r>
        <w:t>la</w:t>
      </w:r>
      <w:proofErr w:type="spellEnd"/>
      <w:r w:rsidRPr="006E67AC">
        <w:t>, which was explicitly AI-generated, I recognized that the dataset exhibited homogeneity, with clustered groupings across categories, likely due to algorithmic biases</w:t>
      </w:r>
      <w:r>
        <w:t>.</w:t>
      </w:r>
      <w:r>
        <w:br/>
      </w:r>
      <w:r w:rsidRPr="006E67AC">
        <w:t>After downloading, I conducted a rigorous data cleaning process. I deduplicated records by establishing a unique patient identifier and cross-referenced entries to remove redundancies. I validated demographic fields, correcting gender, age, and titles, and standardized formats for dates, billing amounts, and categories. Once the data was cleaned, I architected multiple report pages in Power BI. I specifically developed a billing analysis dashboard, segmenting revenue by patient demographics and temporal trends. I also built a condition distribution page, visualizing disease prevalence across age brackets. In these reports, I wrote custom DAX code to create calculated columns and measures, such as year-over-year billing growth and condition-specific billing averages. I fully structured these tables in DAX, ensuring that calculated fields were precise and optimized for performance. Each report page incorporated interactive filters, allowing granular analysis by region or time. I meticulously documented each transformation step, making the entire workflow transparent and reproducible. Thus, I ensured that stakeholders could confidently interpret the insights, grounded in a rigorously cleaned and structured dataset.</w:t>
      </w:r>
    </w:p>
    <w:p w14:paraId="22267F82" w14:textId="7525DCAA" w:rsidR="006E67AC" w:rsidRDefault="006E67AC"/>
    <w:p w14:paraId="69A2632F" w14:textId="1FAF7907" w:rsidR="00626A77" w:rsidRDefault="005F6F06">
      <w:r>
        <w:br/>
      </w:r>
      <w:r>
        <w:br/>
      </w:r>
    </w:p>
    <w:p w14:paraId="48DA3595" w14:textId="77777777" w:rsidR="00383F5C" w:rsidRDefault="00383F5C"/>
    <w:p w14:paraId="4DEAADF8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6DCDCBB4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02998AF7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3A7B23E2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5A7CE95C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0580A7D3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722D491C" w14:textId="77777777" w:rsidR="001B713A" w:rsidRDefault="001B713A" w:rsidP="006468F4">
      <w:pPr>
        <w:rPr>
          <w:rFonts w:ascii="Segoe UI Emoji" w:hAnsi="Segoe UI Emoji" w:cs="Segoe UI Emoji"/>
          <w:b/>
          <w:bCs/>
        </w:rPr>
      </w:pPr>
    </w:p>
    <w:p w14:paraId="5AE5D051" w14:textId="33B2ECA5" w:rsidR="006468F4" w:rsidRPr="006468F4" w:rsidRDefault="006468F4" w:rsidP="006468F4">
      <w:pPr>
        <w:rPr>
          <w:b/>
          <w:bCs/>
        </w:rPr>
      </w:pPr>
      <w:r w:rsidRPr="006468F4">
        <w:rPr>
          <w:rFonts w:ascii="Segoe UI Emoji" w:hAnsi="Segoe UI Emoji" w:cs="Segoe UI Emoji"/>
          <w:b/>
          <w:bCs/>
        </w:rPr>
        <w:lastRenderedPageBreak/>
        <w:t>📊</w:t>
      </w:r>
      <w:r w:rsidRPr="006468F4">
        <w:rPr>
          <w:b/>
          <w:bCs/>
        </w:rPr>
        <w:t xml:space="preserve"> Executive Summary</w:t>
      </w:r>
    </w:p>
    <w:p w14:paraId="3D759369" w14:textId="77777777" w:rsidR="006468F4" w:rsidRPr="006468F4" w:rsidRDefault="006468F4" w:rsidP="006468F4">
      <w:pPr>
        <w:rPr>
          <w:b/>
          <w:bCs/>
        </w:rPr>
      </w:pPr>
      <w:r w:rsidRPr="006468F4">
        <w:rPr>
          <w:b/>
          <w:bCs/>
        </w:rPr>
        <w:t>1. Demographics</w:t>
      </w:r>
    </w:p>
    <w:p w14:paraId="62A4F0C5" w14:textId="77777777" w:rsidR="006468F4" w:rsidRPr="006468F4" w:rsidRDefault="006468F4" w:rsidP="006468F4">
      <w:pPr>
        <w:numPr>
          <w:ilvl w:val="0"/>
          <w:numId w:val="5"/>
        </w:numPr>
      </w:pPr>
      <w:r w:rsidRPr="006468F4">
        <w:t xml:space="preserve">Gender distribution is nearly equal (Male 50.05%, Female 49.95%), indicating balanced representation. </w:t>
      </w:r>
    </w:p>
    <w:p w14:paraId="6CB5964C" w14:textId="4161B6A0" w:rsidR="006468F4" w:rsidRPr="006468F4" w:rsidRDefault="006468F4" w:rsidP="006468F4">
      <w:pPr>
        <w:numPr>
          <w:ilvl w:val="0"/>
          <w:numId w:val="5"/>
        </w:numPr>
      </w:pPr>
      <w:r w:rsidRPr="006468F4">
        <w:t xml:space="preserve">Elderly patients (65+) form the largest group (30.79%), suggesting higher healthcare utilization among older adults. </w:t>
      </w:r>
      <w:r>
        <w:t xml:space="preserve">The Maximum Age is 85 years the Minimum Age is </w:t>
      </w:r>
      <w:r w:rsidR="00983251">
        <w:t xml:space="preserve">13 years and the most frequent age is 38 years. </w:t>
      </w:r>
    </w:p>
    <w:p w14:paraId="0D53CE8F" w14:textId="77777777" w:rsidR="006468F4" w:rsidRPr="006468F4" w:rsidRDefault="006468F4" w:rsidP="006468F4">
      <w:pPr>
        <w:numPr>
          <w:ilvl w:val="0"/>
          <w:numId w:val="5"/>
        </w:numPr>
      </w:pPr>
      <w:r w:rsidRPr="006468F4">
        <w:t xml:space="preserve">Pediatric patients are minimally represented (0.21%). </w:t>
      </w:r>
    </w:p>
    <w:p w14:paraId="6327FB9E" w14:textId="77777777" w:rsidR="006468F4" w:rsidRPr="006468F4" w:rsidRDefault="006468F4" w:rsidP="006468F4">
      <w:pPr>
        <w:rPr>
          <w:b/>
          <w:bCs/>
        </w:rPr>
      </w:pPr>
      <w:r w:rsidRPr="006468F4">
        <w:rPr>
          <w:b/>
          <w:bCs/>
        </w:rPr>
        <w:t>2. Medical Conditions</w:t>
      </w:r>
    </w:p>
    <w:p w14:paraId="4D5163B8" w14:textId="77777777" w:rsidR="001B713A" w:rsidRDefault="001B713A" w:rsidP="001B713A">
      <w:pPr>
        <w:pStyle w:val="ListParagraph"/>
        <w:numPr>
          <w:ilvl w:val="0"/>
          <w:numId w:val="6"/>
        </w:numPr>
      </w:pPr>
      <w:r w:rsidRPr="005F6F06">
        <w:t>Medical conditions are uniformly distributed across the dataset, with each condition contributing approximately 16–17%. This balanced distribution enables fair comparative analysis but may indicate synthetic or pre-balanced data</w:t>
      </w:r>
    </w:p>
    <w:p w14:paraId="0C9B7456" w14:textId="77777777" w:rsidR="006468F4" w:rsidRPr="006468F4" w:rsidRDefault="006468F4" w:rsidP="006468F4">
      <w:pPr>
        <w:numPr>
          <w:ilvl w:val="0"/>
          <w:numId w:val="6"/>
        </w:numPr>
      </w:pPr>
      <w:r w:rsidRPr="006468F4">
        <w:t xml:space="preserve">No single condition dominates the dataset. </w:t>
      </w:r>
    </w:p>
    <w:p w14:paraId="0998D7CA" w14:textId="486FE58D" w:rsidR="001B713A" w:rsidRPr="001B713A" w:rsidRDefault="006468F4" w:rsidP="001B713A">
      <w:pPr>
        <w:rPr>
          <w:b/>
          <w:bCs/>
        </w:rPr>
      </w:pPr>
      <w:r w:rsidRPr="006468F4">
        <w:rPr>
          <w:b/>
          <w:bCs/>
        </w:rPr>
        <w:t>3. Test Results</w:t>
      </w:r>
    </w:p>
    <w:p w14:paraId="479B241E" w14:textId="77777777" w:rsidR="001B713A" w:rsidRPr="00383F5C" w:rsidRDefault="001B713A" w:rsidP="001B713A">
      <w:pPr>
        <w:pStyle w:val="ListParagraph"/>
        <w:numPr>
          <w:ilvl w:val="0"/>
          <w:numId w:val="7"/>
        </w:numPr>
      </w:pPr>
      <w:r w:rsidRPr="00383F5C">
        <w:t>Test results are uniformly distributed, with Normal (33.06%), Abnormal (33.56%), and Inconclusive (33.38%) each contributing approximately one-third of the dataset.</w:t>
      </w:r>
    </w:p>
    <w:p w14:paraId="27EDCAB1" w14:textId="77777777" w:rsidR="006468F4" w:rsidRPr="006468F4" w:rsidRDefault="006468F4" w:rsidP="006468F4">
      <w:pPr>
        <w:rPr>
          <w:b/>
          <w:bCs/>
        </w:rPr>
      </w:pPr>
      <w:r w:rsidRPr="006468F4">
        <w:rPr>
          <w:b/>
          <w:bCs/>
        </w:rPr>
        <w:t>4. Cross Analysis</w:t>
      </w:r>
    </w:p>
    <w:p w14:paraId="6885AFC8" w14:textId="77777777" w:rsidR="006468F4" w:rsidRPr="006468F4" w:rsidRDefault="006468F4" w:rsidP="006468F4">
      <w:pPr>
        <w:numPr>
          <w:ilvl w:val="0"/>
          <w:numId w:val="8"/>
        </w:numPr>
      </w:pPr>
      <w:r w:rsidRPr="006468F4">
        <w:t xml:space="preserve">Test result proportions across medical conditions appear broadly consistent, suggesting limited variation by condition. </w:t>
      </w:r>
    </w:p>
    <w:p w14:paraId="5C9788B1" w14:textId="0D98BC03" w:rsidR="006468F4" w:rsidRDefault="006468F4" w:rsidP="006468F4">
      <w:r>
        <w:br/>
      </w:r>
    </w:p>
    <w:p w14:paraId="5269ED2E" w14:textId="682BB453" w:rsidR="00BE5506" w:rsidRPr="00BE5506" w:rsidRDefault="006468F4" w:rsidP="00BE5506">
      <w:pPr>
        <w:rPr>
          <w:b/>
          <w:bCs/>
        </w:rPr>
      </w:pPr>
      <w:r>
        <w:br w:type="column"/>
      </w:r>
      <w:r w:rsidR="00BE5506" w:rsidRPr="00BE5506">
        <w:rPr>
          <w:b/>
          <w:bCs/>
        </w:rPr>
        <w:lastRenderedPageBreak/>
        <w:t>1. Average Billing by Medical Condition</w:t>
      </w:r>
    </w:p>
    <w:p w14:paraId="44BCD5AD" w14:textId="5554B2D9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Asthma → 25,687 </w:t>
      </w:r>
      <w:r>
        <w:t xml:space="preserve"> </w:t>
      </w:r>
    </w:p>
    <w:p w14:paraId="1B5E3121" w14:textId="77777777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Cancer → 25,215 </w:t>
      </w:r>
    </w:p>
    <w:p w14:paraId="078F8C51" w14:textId="77777777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Hypertension → 25,556 </w:t>
      </w:r>
    </w:p>
    <w:p w14:paraId="2906C449" w14:textId="77777777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Diabetes → 25,695 </w:t>
      </w:r>
    </w:p>
    <w:p w14:paraId="03A4FB97" w14:textId="77777777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Obesity → 25,860 </w:t>
      </w:r>
    </w:p>
    <w:p w14:paraId="24A0E128" w14:textId="164227DB" w:rsidR="00BE5506" w:rsidRPr="00BE5506" w:rsidRDefault="00BE5506" w:rsidP="00BE5506">
      <w:pPr>
        <w:numPr>
          <w:ilvl w:val="0"/>
          <w:numId w:val="9"/>
        </w:numPr>
      </w:pPr>
      <w:r w:rsidRPr="00BE5506">
        <w:t xml:space="preserve">Arthritis → 25,529 </w:t>
      </w:r>
    </w:p>
    <w:p w14:paraId="4AEA7BE5" w14:textId="491CF21B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>Key Insight 1: Very low variation</w:t>
      </w:r>
    </w:p>
    <w:p w14:paraId="209FDB28" w14:textId="77777777" w:rsidR="00BE5506" w:rsidRPr="00BE5506" w:rsidRDefault="00BE5506" w:rsidP="00BE5506">
      <w:r w:rsidRPr="00BE5506">
        <w:t>“Average billing across medical conditions is highly consistent (~25.2K–25.9K), indicating minimal cost differentiation between disease categories.”</w:t>
      </w:r>
    </w:p>
    <w:p w14:paraId="21B370CD" w14:textId="49F8F54F" w:rsidR="00BE5506" w:rsidRPr="00BE5506" w:rsidRDefault="00BE5506" w:rsidP="00BE5506">
      <w:r w:rsidRPr="00BE5506">
        <w:rPr>
          <w:b/>
          <w:bCs/>
        </w:rPr>
        <w:t xml:space="preserve">Key Insight 2 </w:t>
      </w:r>
    </w:p>
    <w:p w14:paraId="7BFB25C3" w14:textId="77777777" w:rsidR="00BE5506" w:rsidRPr="00BE5506" w:rsidRDefault="00BE5506" w:rsidP="00BE5506">
      <w:r w:rsidRPr="00BE5506">
        <w:t>Normally:</w:t>
      </w:r>
    </w:p>
    <w:p w14:paraId="6CE49A01" w14:textId="77777777" w:rsidR="00BE5506" w:rsidRPr="00BE5506" w:rsidRDefault="00BE5506" w:rsidP="00BE5506">
      <w:pPr>
        <w:numPr>
          <w:ilvl w:val="0"/>
          <w:numId w:val="10"/>
        </w:numPr>
      </w:pPr>
      <w:r w:rsidRPr="00BE5506">
        <w:t xml:space="preserve">Cancer should cost significantly more </w:t>
      </w:r>
    </w:p>
    <w:p w14:paraId="18F5156C" w14:textId="77777777" w:rsidR="00BE5506" w:rsidRPr="00BE5506" w:rsidRDefault="00BE5506" w:rsidP="00BE5506">
      <w:pPr>
        <w:numPr>
          <w:ilvl w:val="0"/>
          <w:numId w:val="10"/>
        </w:numPr>
      </w:pPr>
      <w:r w:rsidRPr="00BE5506">
        <w:t xml:space="preserve">Chronic conditions often vary more </w:t>
      </w:r>
    </w:p>
    <w:p w14:paraId="0D4389DC" w14:textId="77777777" w:rsidR="00BE5506" w:rsidRPr="00BE5506" w:rsidRDefault="00BE5506" w:rsidP="00BE5506">
      <w:r w:rsidRPr="00BE5506">
        <w:t>So:</w:t>
      </w:r>
    </w:p>
    <w:p w14:paraId="730C642E" w14:textId="1EF0F3F8" w:rsidR="00BE5506" w:rsidRPr="00BE5506" w:rsidRDefault="00BE5506" w:rsidP="00BE5506">
      <w:r w:rsidRPr="00BE5506">
        <w:t>The uniform billing pattern suggests standardized cost simulation or controlled data generation rather than real-world variability.</w:t>
      </w:r>
    </w:p>
    <w:p w14:paraId="37F461A1" w14:textId="48EF8ADA" w:rsidR="00BE5506" w:rsidRPr="00BE5506" w:rsidRDefault="00BE5506" w:rsidP="00BE5506"/>
    <w:p w14:paraId="2DA8A89F" w14:textId="4E5AA8D6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 xml:space="preserve"> 2. Length of Stay (LOS)</w:t>
      </w:r>
    </w:p>
    <w:p w14:paraId="3A59A26B" w14:textId="547A2DE5" w:rsidR="00BE5506" w:rsidRPr="00BE5506" w:rsidRDefault="00022A2D" w:rsidP="00BE5506">
      <w:pPr>
        <w:numPr>
          <w:ilvl w:val="0"/>
          <w:numId w:val="12"/>
        </w:numPr>
      </w:pPr>
      <w:r>
        <w:t>Asthma, Cancer, Diabetic</w:t>
      </w:r>
      <w:r w:rsidR="00BE5506" w:rsidRPr="00BE5506">
        <w:t xml:space="preserve"> = 16 days </w:t>
      </w:r>
    </w:p>
    <w:p w14:paraId="1BB8C7BA" w14:textId="546E315E" w:rsidR="00BE5506" w:rsidRPr="00BE5506" w:rsidRDefault="00BE5506" w:rsidP="00BE5506">
      <w:pPr>
        <w:numPr>
          <w:ilvl w:val="0"/>
          <w:numId w:val="12"/>
        </w:numPr>
      </w:pPr>
      <w:r w:rsidRPr="00BE5506">
        <w:t xml:space="preserve">Obesity, Hypertension, Arthritis = 15 days </w:t>
      </w:r>
    </w:p>
    <w:p w14:paraId="296BE3B4" w14:textId="5DD4308F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>Key Insight 1: Almost constant LOS</w:t>
      </w:r>
    </w:p>
    <w:p w14:paraId="2B0B28F7" w14:textId="33036169" w:rsidR="00BE5506" w:rsidRPr="00BE5506" w:rsidRDefault="00BE5506" w:rsidP="00BE5506">
      <w:r w:rsidRPr="00BE5506">
        <w:t>Length of stay is nearly uniform across conditions (15–16 days), showing minimal variation in hospitalization duration.</w:t>
      </w:r>
    </w:p>
    <w:p w14:paraId="662F4486" w14:textId="3057BBE9" w:rsidR="00BE5506" w:rsidRPr="00BE5506" w:rsidRDefault="00BE5506" w:rsidP="00BE5506"/>
    <w:p w14:paraId="3E64BCBE" w14:textId="70B6CB31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 xml:space="preserve"> Key Insight 2 </w:t>
      </w:r>
    </w:p>
    <w:p w14:paraId="39A9ACBA" w14:textId="77777777" w:rsidR="00BE5506" w:rsidRPr="00BE5506" w:rsidRDefault="00BE5506" w:rsidP="00BE5506">
      <w:r w:rsidRPr="00BE5506">
        <w:t xml:space="preserve">This is a </w:t>
      </w:r>
      <w:r w:rsidRPr="00BE5506">
        <w:rPr>
          <w:b/>
          <w:bCs/>
        </w:rPr>
        <w:t>red flag pattern in real healthcare data</w:t>
      </w:r>
    </w:p>
    <w:p w14:paraId="3D541E08" w14:textId="5A167A86" w:rsidR="00BE5506" w:rsidRPr="00BE5506" w:rsidRDefault="00BE5506" w:rsidP="00BE5506">
      <w:r w:rsidRPr="00BE5506">
        <w:lastRenderedPageBreak/>
        <w:t>The near-constant length of stay suggests the dataset is standardized, limiting its ability to reflect real clinical variability.</w:t>
      </w:r>
    </w:p>
    <w:p w14:paraId="3546F867" w14:textId="5AAF6388" w:rsidR="00BE5506" w:rsidRPr="00BE5506" w:rsidRDefault="00BE5506" w:rsidP="00BE5506"/>
    <w:p w14:paraId="68B93602" w14:textId="070C08B7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 xml:space="preserve"> 3. Abnormal Test Rate by Age Group</w:t>
      </w:r>
    </w:p>
    <w:p w14:paraId="2459E28A" w14:textId="77777777" w:rsidR="00BE5506" w:rsidRPr="00BE5506" w:rsidRDefault="00BE5506" w:rsidP="00BE5506">
      <w:pPr>
        <w:numPr>
          <w:ilvl w:val="0"/>
          <w:numId w:val="14"/>
        </w:numPr>
      </w:pPr>
      <w:r w:rsidRPr="00BE5506">
        <w:t xml:space="preserve">Elderly → 30.70% </w:t>
      </w:r>
    </w:p>
    <w:p w14:paraId="27548C9E" w14:textId="77777777" w:rsidR="00BE5506" w:rsidRPr="00BE5506" w:rsidRDefault="00BE5506" w:rsidP="00BE5506">
      <w:pPr>
        <w:numPr>
          <w:ilvl w:val="0"/>
          <w:numId w:val="14"/>
        </w:numPr>
      </w:pPr>
      <w:r w:rsidRPr="00BE5506">
        <w:t xml:space="preserve">Young Adult → 24.08% </w:t>
      </w:r>
    </w:p>
    <w:p w14:paraId="71A363FC" w14:textId="77777777" w:rsidR="00BE5506" w:rsidRPr="00BE5506" w:rsidRDefault="00BE5506" w:rsidP="00BE5506">
      <w:pPr>
        <w:numPr>
          <w:ilvl w:val="0"/>
          <w:numId w:val="14"/>
        </w:numPr>
      </w:pPr>
      <w:r w:rsidRPr="00BE5506">
        <w:t xml:space="preserve">Middle Aged → 22.31% </w:t>
      </w:r>
    </w:p>
    <w:p w14:paraId="243FAB8A" w14:textId="77777777" w:rsidR="00BE5506" w:rsidRPr="00BE5506" w:rsidRDefault="00BE5506" w:rsidP="00BE5506">
      <w:pPr>
        <w:numPr>
          <w:ilvl w:val="0"/>
          <w:numId w:val="14"/>
        </w:numPr>
      </w:pPr>
      <w:r w:rsidRPr="00BE5506">
        <w:t xml:space="preserve">Late Middle Age → 22.66% </w:t>
      </w:r>
    </w:p>
    <w:p w14:paraId="0A071D71" w14:textId="77777777" w:rsidR="00022A2D" w:rsidRPr="00022A2D" w:rsidRDefault="00BE5506" w:rsidP="00022A2D">
      <w:pPr>
        <w:numPr>
          <w:ilvl w:val="0"/>
          <w:numId w:val="14"/>
        </w:numPr>
        <w:rPr>
          <w:b/>
          <w:bCs/>
        </w:rPr>
      </w:pPr>
      <w:r w:rsidRPr="00BE5506">
        <w:t xml:space="preserve">Pediatric → 0.24% </w:t>
      </w:r>
    </w:p>
    <w:p w14:paraId="1F9BF873" w14:textId="77777777" w:rsidR="00022A2D" w:rsidRPr="00022A2D" w:rsidRDefault="00022A2D" w:rsidP="00022A2D">
      <w:pPr>
        <w:ind w:left="360"/>
        <w:rPr>
          <w:b/>
          <w:bCs/>
        </w:rPr>
      </w:pPr>
    </w:p>
    <w:p w14:paraId="240E4831" w14:textId="73B70854" w:rsidR="00BE5506" w:rsidRPr="00BE5506" w:rsidRDefault="00BE5506" w:rsidP="00022A2D">
      <w:pPr>
        <w:ind w:left="360"/>
        <w:rPr>
          <w:b/>
          <w:bCs/>
        </w:rPr>
      </w:pPr>
      <w:r w:rsidRPr="00BE5506">
        <w:rPr>
          <w:b/>
          <w:bCs/>
        </w:rPr>
        <w:t xml:space="preserve"> Key Insight 1: Age is a strong risk factor</w:t>
      </w:r>
    </w:p>
    <w:p w14:paraId="52F43D9E" w14:textId="1839FBBE" w:rsidR="00BE5506" w:rsidRPr="00BE5506" w:rsidRDefault="00BE5506" w:rsidP="00BE5506">
      <w:r w:rsidRPr="00BE5506">
        <w:t>Elderly patients show the highest proportion of abnormal results, suggesting increased clinical risk with age.</w:t>
      </w:r>
    </w:p>
    <w:p w14:paraId="7EECAA9D" w14:textId="3D970694" w:rsidR="00BE5506" w:rsidRPr="00BE5506" w:rsidRDefault="00BE5506" w:rsidP="00BE5506"/>
    <w:p w14:paraId="585A4F88" w14:textId="7FC982E4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 xml:space="preserve"> Key Insight 2: </w:t>
      </w:r>
    </w:p>
    <w:p w14:paraId="1BA9F00C" w14:textId="77777777" w:rsidR="00BE5506" w:rsidRPr="00BE5506" w:rsidRDefault="00BE5506" w:rsidP="00BE5506">
      <w:r w:rsidRPr="00BE5506">
        <w:t>Even in a balanced dataset:</w:t>
      </w:r>
    </w:p>
    <w:p w14:paraId="616AB574" w14:textId="1184CF85" w:rsidR="00BE5506" w:rsidRPr="00BE5506" w:rsidRDefault="00BE5506" w:rsidP="00BE5506">
      <w:r w:rsidRPr="00BE5506">
        <w:t>Abnormal outcomes increase with age, indicating a positive correlation between age and likelihood of abnormal test results.</w:t>
      </w:r>
    </w:p>
    <w:p w14:paraId="55C00CB7" w14:textId="0E1B8BDC" w:rsidR="00BE5506" w:rsidRPr="00BE5506" w:rsidRDefault="00BE5506" w:rsidP="00BE5506"/>
    <w:p w14:paraId="43B49FB2" w14:textId="2F19EDF8" w:rsidR="00BE5506" w:rsidRPr="00BE5506" w:rsidRDefault="00BE5506" w:rsidP="00BE5506">
      <w:pPr>
        <w:rPr>
          <w:b/>
          <w:bCs/>
        </w:rPr>
      </w:pPr>
      <w:r w:rsidRPr="00BE5506">
        <w:rPr>
          <w:b/>
          <w:bCs/>
        </w:rPr>
        <w:t xml:space="preserve"> Key Insight 3: Pediatric anomaly</w:t>
      </w:r>
    </w:p>
    <w:p w14:paraId="035F59FE" w14:textId="7E420A79" w:rsidR="00BE5506" w:rsidRDefault="00BE5506" w:rsidP="00BE5506">
      <w:r w:rsidRPr="00BE5506">
        <w:t>Pediatric cases are extremely low, limiting inference for this group.</w:t>
      </w:r>
    </w:p>
    <w:p w14:paraId="35AEF761" w14:textId="77777777" w:rsidR="00275EF6" w:rsidRDefault="00275EF6" w:rsidP="00BE5506"/>
    <w:p w14:paraId="09E64CC4" w14:textId="535B6AC7" w:rsidR="00275EF6" w:rsidRPr="00275EF6" w:rsidRDefault="00275EF6" w:rsidP="00275EF6">
      <w:r w:rsidRPr="00275EF6">
        <w:t>All additional details, including breakdowns of billing amounts and patient-specific metrics, are provided in the full report pages. These pages offer interactive filters and deeper analytics, allowing stakeholders to explore the data in granular detail."</w:t>
      </w:r>
    </w:p>
    <w:p w14:paraId="4056CF44" w14:textId="77777777" w:rsidR="00275EF6" w:rsidRPr="00BE5506" w:rsidRDefault="00275EF6" w:rsidP="00BE5506"/>
    <w:p w14:paraId="3B1772B7" w14:textId="7C0C0F15" w:rsidR="00383F5C" w:rsidRDefault="00383F5C" w:rsidP="006468F4"/>
    <w:sectPr w:rsidR="00383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B44"/>
    <w:multiLevelType w:val="multilevel"/>
    <w:tmpl w:val="EEC0C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85F16"/>
    <w:multiLevelType w:val="multilevel"/>
    <w:tmpl w:val="41D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32AD3"/>
    <w:multiLevelType w:val="multilevel"/>
    <w:tmpl w:val="348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702B0"/>
    <w:multiLevelType w:val="multilevel"/>
    <w:tmpl w:val="7A86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0D2C85"/>
    <w:multiLevelType w:val="multilevel"/>
    <w:tmpl w:val="296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D6543"/>
    <w:multiLevelType w:val="multilevel"/>
    <w:tmpl w:val="F646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518A"/>
    <w:multiLevelType w:val="multilevel"/>
    <w:tmpl w:val="A10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F65D2"/>
    <w:multiLevelType w:val="multilevel"/>
    <w:tmpl w:val="124C4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A6DC3"/>
    <w:multiLevelType w:val="multilevel"/>
    <w:tmpl w:val="5F90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ED4695"/>
    <w:multiLevelType w:val="multilevel"/>
    <w:tmpl w:val="1B9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A5771"/>
    <w:multiLevelType w:val="multilevel"/>
    <w:tmpl w:val="A21C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751C0"/>
    <w:multiLevelType w:val="multilevel"/>
    <w:tmpl w:val="D3A8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D4D47"/>
    <w:multiLevelType w:val="multilevel"/>
    <w:tmpl w:val="ADB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B365A7"/>
    <w:multiLevelType w:val="multilevel"/>
    <w:tmpl w:val="0B8E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43855">
    <w:abstractNumId w:val="0"/>
  </w:num>
  <w:num w:numId="2" w16cid:durableId="1267080938">
    <w:abstractNumId w:val="2"/>
  </w:num>
  <w:num w:numId="3" w16cid:durableId="337512009">
    <w:abstractNumId w:val="3"/>
  </w:num>
  <w:num w:numId="4" w16cid:durableId="1550335328">
    <w:abstractNumId w:val="11"/>
  </w:num>
  <w:num w:numId="5" w16cid:durableId="2100365641">
    <w:abstractNumId w:val="7"/>
  </w:num>
  <w:num w:numId="6" w16cid:durableId="1879660822">
    <w:abstractNumId w:val="13"/>
  </w:num>
  <w:num w:numId="7" w16cid:durableId="1482431470">
    <w:abstractNumId w:val="12"/>
  </w:num>
  <w:num w:numId="8" w16cid:durableId="57824445">
    <w:abstractNumId w:val="4"/>
  </w:num>
  <w:num w:numId="9" w16cid:durableId="1880511591">
    <w:abstractNumId w:val="5"/>
  </w:num>
  <w:num w:numId="10" w16cid:durableId="1391684323">
    <w:abstractNumId w:val="8"/>
  </w:num>
  <w:num w:numId="11" w16cid:durableId="680277847">
    <w:abstractNumId w:val="9"/>
  </w:num>
  <w:num w:numId="12" w16cid:durableId="1037704640">
    <w:abstractNumId w:val="10"/>
  </w:num>
  <w:num w:numId="13" w16cid:durableId="1675837364">
    <w:abstractNumId w:val="1"/>
  </w:num>
  <w:num w:numId="14" w16cid:durableId="1975452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06"/>
    <w:rsid w:val="00022A2D"/>
    <w:rsid w:val="001635E6"/>
    <w:rsid w:val="001B713A"/>
    <w:rsid w:val="00275EF6"/>
    <w:rsid w:val="002D60DC"/>
    <w:rsid w:val="00325015"/>
    <w:rsid w:val="00383F5C"/>
    <w:rsid w:val="00395BE3"/>
    <w:rsid w:val="005F6F06"/>
    <w:rsid w:val="00626A77"/>
    <w:rsid w:val="006468F4"/>
    <w:rsid w:val="006E67AC"/>
    <w:rsid w:val="008106FF"/>
    <w:rsid w:val="00864C6D"/>
    <w:rsid w:val="00983251"/>
    <w:rsid w:val="009C7159"/>
    <w:rsid w:val="00BE5506"/>
    <w:rsid w:val="00CD61A5"/>
    <w:rsid w:val="00EF06CA"/>
    <w:rsid w:val="00F24358"/>
    <w:rsid w:val="00F31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FC228"/>
  <w15:chartTrackingRefBased/>
  <w15:docId w15:val="{EAF8DD5A-0B23-49E0-BC45-2C61FDA30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F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E67A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Okoro Emmanuel</dc:creator>
  <cp:keywords/>
  <dc:description/>
  <cp:lastModifiedBy>Okoro Emmanuel</cp:lastModifiedBy>
  <cp:revision>9</cp:revision>
  <dcterms:created xsi:type="dcterms:W3CDTF">2026-04-13T01:27:00Z</dcterms:created>
  <dcterms:modified xsi:type="dcterms:W3CDTF">2026-04-21T00:40:00Z</dcterms:modified>
</cp:coreProperties>
</file>