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3240000" cy="906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lcash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06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7A2B8"/>
          <w:sz w:val="20"/>
        </w:rPr>
        <w:t>PROPUESTA TÉCNICA Y COMERCIAL</w:t>
      </w:r>
    </w:p>
    <w:p>
      <w:pPr>
        <w:spacing w:after="40"/>
      </w:pPr>
      <w:r>
        <w:rPr>
          <w:b/>
          <w:color w:val="0F6674"/>
          <w:sz w:val="48"/>
        </w:rPr>
        <w:t>Sistema de Gestión de Liquidación de Minerales</w:t>
      </w:r>
    </w:p>
    <w:p>
      <w:pPr>
        <w:spacing w:after="80"/>
        <w:pBdr>
          <w:bottom w:val="single" w:sz="12" w:space="4" w:color="17A2B8"/>
        </w:pBdr>
      </w:pPr>
      <w:r>
        <w:rPr>
          <w:i/>
          <w:color w:val="5A5A5A"/>
          <w:sz w:val="24"/>
        </w:rPr>
        <w:t>Plataforma web para el ciclo de compra y liquidación de concentrados — Complejo Zinc · Plomo · Plata</w:t>
      </w:r>
    </w:p>
    <w:p>
      <w:pPr>
        <w:jc w:val="both"/>
      </w:pPr>
      <w:r>
        <w:t>La presente propuesta describe una solución de software a la medida para la administración integral del proceso de compra, control de calidad, valoración y liquidación de concentrados de minerales, así como el control financiero del proveedor y la generación de reportes operativos y de cumplimiento. El sistema centraliza la información, automatiza los cálculos y asegura trazabilidad y consistencia en cada etapa.</w:t>
      </w:r>
    </w:p>
    <w:p>
      <w:pPr>
        <w:spacing w:before="280" w:after="80"/>
        <w:pBdr>
          <w:bottom w:val="single" w:sz="6" w:space="4" w:color="BFE6EC"/>
        </w:pBdr>
      </w:pPr>
      <w:r>
        <w:rPr>
          <w:b/>
          <w:color w:val="0F6674"/>
          <w:sz w:val="28"/>
        </w:rPr>
        <w:t>1.  Resumen Ejecutivo</w:t>
      </w:r>
    </w:p>
    <w:p>
      <w:pPr>
        <w:jc w:val="both"/>
      </w:pPr>
      <w:r>
        <w:t>El sistema digitaliza el flujo completo desde la recepción del lote hasta el pago al proveedor, integrando cotizaciones de mercado, precios y términos contractuales, anticipos, retenciones y regalías mineras. Es una plataforma web multiusuario, con seguridad por roles, cálculos en tiempo real y un servidor que actúa como única fuente de verdad, eliminando los errores y las inconsistencias propias del manejo en planillas.</w:t>
      </w:r>
    </w:p>
    <w:p>
      <w:pPr>
        <w:pStyle w:val="ListBullet"/>
        <w:spacing w:after="40"/>
      </w:pPr>
      <w:r>
        <w:rPr>
          <w:b/>
        </w:rPr>
        <w:t xml:space="preserve">Cobertura: </w:t>
      </w:r>
      <w:r>
        <w:t>del proceso de recepción, análisis de laboratorio, liquidación, anticipos, transporte y reportes.</w:t>
      </w:r>
    </w:p>
    <w:p>
      <w:pPr>
        <w:pStyle w:val="ListBullet"/>
        <w:spacing w:after="40"/>
      </w:pPr>
      <w:r>
        <w:rPr>
          <w:b/>
        </w:rPr>
        <w:t xml:space="preserve">Precisión: </w:t>
      </w:r>
      <w:r>
        <w:t>cálculo automático y verificable del valor por tonelada, deducciones, regalías y líquido pagable.</w:t>
      </w:r>
    </w:p>
    <w:p>
      <w:pPr>
        <w:pStyle w:val="ListBullet"/>
        <w:spacing w:after="40"/>
      </w:pPr>
      <w:r>
        <w:rPr>
          <w:b/>
        </w:rPr>
        <w:t xml:space="preserve">Control financiero: </w:t>
      </w:r>
      <w:r>
        <w:t>estado de cuenta por cliente con manejo de saldos y deudas.</w:t>
      </w:r>
    </w:p>
    <w:p>
      <w:pPr>
        <w:pStyle w:val="ListBullet"/>
        <w:spacing w:after="40"/>
      </w:pPr>
      <w:r>
        <w:rPr>
          <w:b/>
        </w:rPr>
        <w:t xml:space="preserve">Cumplimiento: </w:t>
      </w:r>
      <w:r>
        <w:t>soporte para regalías mineras, canje de tornaguías y reportes de compras.</w:t>
      </w:r>
    </w:p>
    <w:p>
      <w:pPr>
        <w:spacing w:before="280" w:after="80"/>
        <w:pBdr>
          <w:bottom w:val="single" w:sz="6" w:space="4" w:color="BFE6EC"/>
        </w:pBdr>
      </w:pPr>
      <w:r>
        <w:rPr>
          <w:b/>
          <w:color w:val="0F6674"/>
          <w:sz w:val="28"/>
        </w:rPr>
        <w:t>2.  Alcance Funcional — Módulos</w:t>
      </w:r>
    </w:p>
    <w:p>
      <w:pPr>
        <w:spacing w:before="160" w:after="40"/>
      </w:pPr>
      <w:r>
        <w:rPr>
          <w:b/>
          <w:color w:val="0D4761"/>
          <w:sz w:val="23"/>
        </w:rPr>
        <w:t>2.1  Proceso de Liquidación (núcleo)</w:t>
      </w:r>
    </w:p>
    <w:p>
      <w:pPr>
        <w:pStyle w:val="ListBullet"/>
        <w:spacing w:after="40"/>
      </w:pPr>
      <w:r>
        <w:rPr>
          <w:b/>
        </w:rPr>
        <w:t xml:space="preserve">Recepción de Lotes: </w:t>
      </w:r>
      <w:r>
        <w:t>registro del lote con peso bruto, tara, peso neto húmedo, cantidad de sacos, costo de transporte y anticipo autorizado; datos de proveedor, empresa, sección, chofer y vehículo; cotizaciones asociadas y numeración por gestión minera.</w:t>
      </w:r>
    </w:p>
    <w:p>
      <w:pPr>
        <w:pStyle w:val="ListBullet"/>
        <w:spacing w:after="40"/>
      </w:pPr>
      <w:r>
        <w:rPr>
          <w:b/>
        </w:rPr>
        <w:t xml:space="preserve">Análisis de Laboratorio: </w:t>
      </w:r>
      <w:r>
        <w:t>captura de leyes por elemento (zinc, plomo, plata), humedad y merma, con ley registrada y ley de cliente para soporte de negociación.</w:t>
      </w:r>
    </w:p>
    <w:p>
      <w:pPr>
        <w:pStyle w:val="ListBullet"/>
        <w:spacing w:after="40"/>
      </w:pPr>
      <w:r>
        <w:rPr>
          <w:b/>
        </w:rPr>
        <w:t xml:space="preserve">Liquidación: </w:t>
      </w:r>
      <w:r>
        <w:t>cálculo automático del peso neto seco, contenidos finos (libras finas y onzas troy), valor bruto de venta, regalía minera, deducciones y retenciones, bonos, anticipos, líquido pagable y precio. Valoración del mineral por Tabla de Precios o por Términos de Contrato, recálculo en vivo, comprobante imprimible y anulación controlada.</w:t>
      </w:r>
    </w:p>
    <w:p>
      <w:pPr>
        <w:jc w:val="both"/>
      </w:pPr>
      <w:r>
        <w:t>Beneficio: un cálculo exacto, consistente y auditable que reemplaza las planillas manuales, reduce drásticamente los errores y acelera el cierre de cada liquidación.</w:t>
      </w:r>
    </w:p>
    <w:p>
      <w:pPr>
        <w:spacing w:before="160" w:after="40"/>
      </w:pPr>
      <w:r>
        <w:rPr>
          <w:b/>
          <w:color w:val="0D4761"/>
          <w:sz w:val="23"/>
        </w:rPr>
        <w:t>2.2  Anticipos, Pagos y Estado de Cuenta</w:t>
      </w:r>
    </w:p>
    <w:p>
      <w:pPr>
        <w:pStyle w:val="ListBullet"/>
        <w:spacing w:after="40"/>
      </w:pPr>
      <w:r>
        <w:rPr>
          <w:b/>
        </w:rPr>
        <w:t xml:space="preserve">Anticipo contra Entrega: </w:t>
      </w:r>
      <w:r>
        <w:t>anticipos otorgados sobre lotes ya recibidos, con amortización por tramos.</w:t>
      </w:r>
    </w:p>
    <w:p>
      <w:pPr>
        <w:pStyle w:val="ListBullet"/>
        <w:spacing w:after="40"/>
      </w:pPr>
      <w:r>
        <w:rPr>
          <w:b/>
        </w:rPr>
        <w:t xml:space="preserve">Anticipo contra Futura Entrega: </w:t>
      </w:r>
      <w:r>
        <w:t>anticipos a cuenta de entregas futuras, con comprobante y numeración por gestión.</w:t>
      </w:r>
    </w:p>
    <w:p>
      <w:pPr>
        <w:pStyle w:val="ListBullet"/>
        <w:spacing w:after="40"/>
      </w:pPr>
      <w:r>
        <w:rPr>
          <w:b/>
        </w:rPr>
        <w:t xml:space="preserve">Amortización: </w:t>
      </w:r>
      <w:r>
        <w:t>registro y seguimiento de la cancelación de anticipos.</w:t>
      </w:r>
    </w:p>
    <w:p>
      <w:pPr>
        <w:pStyle w:val="ListBullet"/>
        <w:spacing w:after="40"/>
      </w:pPr>
      <w:r>
        <w:rPr>
          <w:b/>
        </w:rPr>
        <w:t xml:space="preserve">Estado de Cuenta: </w:t>
      </w:r>
      <w:r>
        <w:t>libro mayor por cliente (debe / haber / saldo). Un saldo en contra en una liquidación se convierte automáticamente en deuda, que puede cobrarse —total o en fracciones— en entregas posteriores.</w:t>
      </w:r>
    </w:p>
    <w:p>
      <w:pPr>
        <w:jc w:val="both"/>
      </w:pPr>
      <w:r>
        <w:t>Beneficio: control financiero riguroso del proveedor, sin pérdidas de saldos ni dobles cobros.</w:t>
      </w:r>
    </w:p>
    <w:p>
      <w:pPr>
        <w:spacing w:before="160" w:after="40"/>
      </w:pPr>
      <w:r>
        <w:rPr>
          <w:b/>
          <w:color w:val="0D4761"/>
          <w:sz w:val="23"/>
        </w:rPr>
        <w:t>2.3  Transporte</w:t>
      </w:r>
    </w:p>
    <w:p>
      <w:pPr>
        <w:pStyle w:val="ListBullet"/>
        <w:spacing w:after="40"/>
      </w:pPr>
      <w:r>
        <w:rPr>
          <w:b/>
        </w:rPr>
        <w:t xml:space="preserve">Pago por Transporte: </w:t>
      </w:r>
      <w:r>
        <w:t>liquidación y registro del servicio de transporte de los lotes.</w:t>
      </w:r>
    </w:p>
    <w:p>
      <w:pPr>
        <w:pStyle w:val="ListBullet"/>
        <w:spacing w:after="40"/>
      </w:pPr>
      <w:r>
        <w:rPr>
          <w:b/>
        </w:rPr>
        <w:t xml:space="preserve">Anticipo contra Transporte: </w:t>
      </w:r>
      <w:r>
        <w:t>anticipos asociados al servicio de transporte.</w:t>
      </w:r>
    </w:p>
    <w:p>
      <w:pPr>
        <w:spacing w:before="160" w:after="40"/>
      </w:pPr>
      <w:r>
        <w:rPr>
          <w:b/>
          <w:color w:val="0D4761"/>
          <w:sz w:val="23"/>
        </w:rPr>
        <w:t>2.4  Precios y Condiciones Comerciales</w:t>
      </w:r>
    </w:p>
    <w:p>
      <w:pPr>
        <w:pStyle w:val="ListBullet"/>
        <w:spacing w:after="40"/>
      </w:pPr>
      <w:r>
        <w:rPr>
          <w:b/>
        </w:rPr>
        <w:t xml:space="preserve">Tablas de Precios: </w:t>
      </w:r>
      <w:r>
        <w:t>curvas de ley contra porcentaje pagable por elemento; cálculo del valor por tonelada mediante interpolación lineal, tomando la cotización diaria del lote y las leyes finales.</w:t>
      </w:r>
    </w:p>
    <w:p>
      <w:pPr>
        <w:pStyle w:val="ListBullet"/>
        <w:spacing w:after="40"/>
      </w:pPr>
      <w:r>
        <w:rPr>
          <w:b/>
        </w:rPr>
        <w:t xml:space="preserve">Términos de Contrato: </w:t>
      </w:r>
      <w:r>
        <w:t>parámetros contractuales por empresa: deducciones unitarias, porcentajes pagables, maquila, base y escalador, gastos de refinación y penalidades por impurezas.</w:t>
      </w:r>
    </w:p>
    <w:p>
      <w:pPr>
        <w:jc w:val="both"/>
      </w:pPr>
      <w:r>
        <w:t>Beneficio: precios y condiciones totalmente parametrizables, con un valor por tonelada fiel al contrato vigente.</w:t>
      </w:r>
    </w:p>
    <w:p>
      <w:pPr>
        <w:spacing w:before="160" w:after="40"/>
      </w:pPr>
      <w:r>
        <w:rPr>
          <w:b/>
          <w:color w:val="0D4761"/>
          <w:sz w:val="23"/>
        </w:rPr>
        <w:t>2.5  Cotizaciones de Mercado</w:t>
      </w:r>
    </w:p>
    <w:p>
      <w:pPr>
        <w:pStyle w:val="ListBullet"/>
        <w:spacing w:after="40"/>
      </w:pPr>
      <w:r>
        <w:rPr>
          <w:b/>
        </w:rPr>
        <w:t xml:space="preserve">Cotización Diaria y Quincenal: </w:t>
      </w:r>
      <w:r>
        <w:t>precios de los minerales utilizados como referencia y base de cálculo.</w:t>
      </w:r>
    </w:p>
    <w:p>
      <w:pPr>
        <w:pStyle w:val="ListBullet"/>
        <w:spacing w:after="40"/>
      </w:pPr>
      <w:r>
        <w:rPr>
          <w:b/>
        </w:rPr>
        <w:t xml:space="preserve">Alícuotas: </w:t>
      </w:r>
      <w:r>
        <w:t>porcentajes aplicables por elemento.</w:t>
      </w:r>
    </w:p>
    <w:p>
      <w:pPr>
        <w:pStyle w:val="ListBullet"/>
        <w:spacing w:after="40"/>
      </w:pPr>
      <w:r>
        <w:rPr>
          <w:b/>
        </w:rPr>
        <w:t xml:space="preserve">Tipo de Cambio (Dólar): </w:t>
      </w:r>
      <w:r>
        <w:t>cotización oficial y comercial para la conversión de valores.</w:t>
      </w:r>
    </w:p>
    <w:p>
      <w:pPr>
        <w:spacing w:before="160" w:after="40"/>
      </w:pPr>
      <w:r>
        <w:rPr>
          <w:b/>
          <w:color w:val="0D4761"/>
          <w:sz w:val="23"/>
        </w:rPr>
        <w:t>2.6  Retenciones</w:t>
      </w:r>
    </w:p>
    <w:p>
      <w:pPr>
        <w:pStyle w:val="ListBullet"/>
        <w:spacing w:after="40"/>
      </w:pPr>
      <w:r>
        <w:rPr>
          <w:b/>
        </w:rPr>
        <w:t xml:space="preserve">Configuración de Retenciones: </w:t>
      </w:r>
      <w:r>
        <w:t>definición de retenciones por empresa, con distintas bases de cálculo (sobre valor bruto, valor neto, por saco, por tonelada o monto fijo), aplicadas automáticamente en la liquidación.</w:t>
      </w:r>
    </w:p>
    <w:p>
      <w:pPr>
        <w:spacing w:before="160" w:after="40"/>
      </w:pPr>
      <w:r>
        <w:rPr>
          <w:b/>
          <w:color w:val="0D4761"/>
          <w:sz w:val="23"/>
        </w:rPr>
        <w:t>2.7  Datos Maestros (Proveedores)</w:t>
      </w:r>
    </w:p>
    <w:p>
      <w:pPr>
        <w:pStyle w:val="ListBullet"/>
        <w:spacing w:after="40"/>
      </w:pPr>
      <w:r>
        <w:t>Empresas y secciones, Clientes, Choferes, Automóviles y Municipios, como catálogos centralizados que alimentan todo el proceso.</w:t>
      </w:r>
    </w:p>
    <w:p>
      <w:pPr>
        <w:spacing w:before="280" w:after="80"/>
        <w:pBdr>
          <w:bottom w:val="single" w:sz="6" w:space="4" w:color="BFE6EC"/>
        </w:pBdr>
      </w:pPr>
      <w:r>
        <w:rPr>
          <w:b/>
          <w:color w:val="0F6674"/>
          <w:sz w:val="28"/>
        </w:rPr>
        <w:t>3.  Reportes Operativos y de Cumplimiento</w:t>
      </w:r>
    </w:p>
    <w:p>
      <w:pPr>
        <w:jc w:val="both"/>
      </w:pPr>
      <w:r>
        <w:t>El sistema contempla un conjunto de reportes para la gestión operativa, contable y de cumplimiento normativo, con posibilidad de impresión y exportación:</w:t>
      </w:r>
    </w:p>
    <w:p>
      <w:pPr>
        <w:pStyle w:val="ListBullet"/>
        <w:spacing w:after="40"/>
      </w:pPr>
      <w:r>
        <w:rPr>
          <w:b/>
        </w:rPr>
        <w:t xml:space="preserve">Lotes Recepcionados: </w:t>
      </w:r>
      <w:r>
        <w:t>detalle de los lotes ingresados en un período.</w:t>
      </w:r>
    </w:p>
    <w:p>
      <w:pPr>
        <w:pStyle w:val="ListBullet"/>
        <w:spacing w:after="40"/>
      </w:pPr>
      <w:r>
        <w:rPr>
          <w:b/>
        </w:rPr>
        <w:t xml:space="preserve">Lotes y Análisis: </w:t>
      </w:r>
      <w:r>
        <w:t>lotes con sus resultados de laboratorio.</w:t>
      </w:r>
    </w:p>
    <w:p>
      <w:pPr>
        <w:pStyle w:val="ListBullet"/>
        <w:spacing w:after="40"/>
      </w:pPr>
      <w:r>
        <w:rPr>
          <w:b/>
        </w:rPr>
        <w:t xml:space="preserve">Lotes Liquidados: </w:t>
      </w:r>
      <w:r>
        <w:t>liquidaciones realizadas con sus valores.</w:t>
      </w:r>
    </w:p>
    <w:p>
      <w:pPr>
        <w:pStyle w:val="ListBullet"/>
        <w:spacing w:after="40"/>
      </w:pPr>
      <w:r>
        <w:rPr>
          <w:b/>
        </w:rPr>
        <w:t xml:space="preserve">Planilla de Liquidación: </w:t>
      </w:r>
      <w:r>
        <w:t>consolidado de liquidaciones para control y pago.</w:t>
      </w:r>
    </w:p>
    <w:p>
      <w:pPr>
        <w:pStyle w:val="ListBullet"/>
        <w:spacing w:after="40"/>
      </w:pPr>
      <w:r>
        <w:rPr>
          <w:b/>
        </w:rPr>
        <w:t xml:space="preserve">Detalle de Compras: </w:t>
      </w:r>
      <w:r>
        <w:t>resumen de las compras de mineral por período.</w:t>
      </w:r>
    </w:p>
    <w:p>
      <w:pPr>
        <w:pStyle w:val="ListBullet"/>
        <w:spacing w:after="40"/>
      </w:pPr>
      <w:r>
        <w:rPr>
          <w:b/>
        </w:rPr>
        <w:t xml:space="preserve">Canje de Tornaguías: </w:t>
      </w:r>
      <w:r>
        <w:t>control del canje de tornaguías de transporte.</w:t>
      </w:r>
    </w:p>
    <w:p>
      <w:pPr>
        <w:pStyle w:val="ListBullet"/>
        <w:spacing w:after="40"/>
      </w:pPr>
      <w:r>
        <w:rPr>
          <w:b/>
        </w:rPr>
        <w:t xml:space="preserve">Libro de Regalías Mineras (RM): </w:t>
      </w:r>
      <w:r>
        <w:t>registro de las regalías mineras de las compras, para cumplimiento.</w:t>
      </w:r>
    </w:p>
    <w:p>
      <w:pPr>
        <w:pStyle w:val="ListBullet"/>
        <w:spacing w:after="40"/>
      </w:pPr>
      <w:r>
        <w:rPr>
          <w:b/>
        </w:rPr>
        <w:t xml:space="preserve">Anticipos contra Entrega: </w:t>
      </w:r>
      <w:r>
        <w:t>seguimiento de los anticipos otorgados.</w:t>
      </w:r>
    </w:p>
    <w:p>
      <w:pPr>
        <w:pStyle w:val="ListBullet"/>
        <w:spacing w:after="40"/>
      </w:pPr>
      <w:r>
        <w:rPr>
          <w:b/>
        </w:rPr>
        <w:t xml:space="preserve">Pago de Transporte: </w:t>
      </w:r>
      <w:r>
        <w:t>reporte de los pagos por transporte.</w:t>
      </w:r>
    </w:p>
    <w:p>
      <w:pPr>
        <w:pStyle w:val="ListBullet"/>
        <w:spacing w:after="40"/>
      </w:pPr>
      <w:r>
        <w:rPr>
          <w:b/>
        </w:rPr>
        <w:t xml:space="preserve">Retenciones: </w:t>
      </w:r>
      <w:r>
        <w:t>detalle de las retenciones aplicadas.</w:t>
      </w:r>
    </w:p>
    <w:p>
      <w:pPr>
        <w:pStyle w:val="ListBullet"/>
        <w:spacing w:after="40"/>
      </w:pPr>
      <w:r>
        <w:rPr>
          <w:b/>
        </w:rPr>
        <w:t xml:space="preserve">Gráfico de Cantidad: </w:t>
      </w:r>
      <w:r>
        <w:t>visualización gráfica de volúmenes para análisis gerencial.</w:t>
      </w:r>
    </w:p>
    <w:p>
      <w:pPr>
        <w:jc w:val="both"/>
      </w:pPr>
      <w:r>
        <w:t>Beneficio: información oportuna para la toma de decisiones y respaldo documental para auditoría y obligaciones ante las autoridades mineras.</w:t>
      </w:r>
    </w:p>
    <w:p>
      <w:pPr>
        <w:spacing w:before="280" w:after="80"/>
        <w:pBdr>
          <w:bottom w:val="single" w:sz="6" w:space="4" w:color="BFE6EC"/>
        </w:pBdr>
      </w:pPr>
      <w:r>
        <w:rPr>
          <w:b/>
          <w:color w:val="0F6674"/>
          <w:sz w:val="28"/>
        </w:rPr>
        <w:t>4.  Características Transversales</w:t>
      </w:r>
    </w:p>
    <w:p>
      <w:pPr>
        <w:pStyle w:val="ListBullet"/>
        <w:spacing w:after="40"/>
      </w:pPr>
      <w:r>
        <w:rPr>
          <w:b/>
        </w:rPr>
        <w:t xml:space="preserve">Plataforma web: </w:t>
      </w:r>
      <w:r>
        <w:t>acceso desde el navegador, con interfaz moderna y adaptable a distintos dispositivos.</w:t>
      </w:r>
    </w:p>
    <w:p>
      <w:pPr>
        <w:pStyle w:val="ListBullet"/>
        <w:spacing w:after="40"/>
      </w:pPr>
      <w:r>
        <w:rPr>
          <w:b/>
        </w:rPr>
        <w:t xml:space="preserve">Seguridad por roles: </w:t>
      </w:r>
      <w:r>
        <w:t>perfiles diferenciados (Recepción, Control de Calidad, Liquidación, Caja, Reportes y Administración).</w:t>
      </w:r>
    </w:p>
    <w:p>
      <w:pPr>
        <w:pStyle w:val="ListBullet"/>
        <w:spacing w:after="40"/>
      </w:pPr>
      <w:r>
        <w:rPr>
          <w:b/>
        </w:rPr>
        <w:t xml:space="preserve">Cálculo en tiempo real: </w:t>
      </w:r>
      <w:r>
        <w:t>los valores se recalculan al instante; el servidor valida y recalcula como fuente de verdad.</w:t>
      </w:r>
    </w:p>
    <w:p>
      <w:pPr>
        <w:pStyle w:val="ListBullet"/>
        <w:spacing w:after="40"/>
      </w:pPr>
      <w:r>
        <w:rPr>
          <w:b/>
        </w:rPr>
        <w:t xml:space="preserve">Trazabilidad: </w:t>
      </w:r>
      <w:r>
        <w:t>numeración por gestión minera, registro de movimientos y anulaciones controladas.</w:t>
      </w:r>
    </w:p>
    <w:p>
      <w:pPr>
        <w:pStyle w:val="ListBullet"/>
        <w:spacing w:after="40"/>
      </w:pPr>
      <w:r>
        <w:rPr>
          <w:b/>
        </w:rPr>
        <w:t xml:space="preserve">Impresión profesional: </w:t>
      </w:r>
      <w:r>
        <w:t>comprobantes de liquidación y reportes ejecutivos listos para imprimir (formato Carta).</w:t>
      </w:r>
    </w:p>
    <w:p>
      <w:pPr>
        <w:pStyle w:val="ListBullet"/>
        <w:spacing w:after="40"/>
      </w:pPr>
      <w:r>
        <w:rPr>
          <w:b/>
        </w:rPr>
        <w:t xml:space="preserve">Base de datos relacional: </w:t>
      </w:r>
      <w:r>
        <w:t>información estructurada, íntegra y respaldable.</w:t>
      </w:r>
    </w:p>
    <w:p>
      <w:pPr>
        <w:spacing w:before="280" w:after="80"/>
        <w:pBdr>
          <w:bottom w:val="single" w:sz="6" w:space="4" w:color="BFE6EC"/>
        </w:pBdr>
      </w:pPr>
      <w:r>
        <w:rPr>
          <w:b/>
          <w:color w:val="0F6674"/>
          <w:sz w:val="28"/>
        </w:rPr>
        <w:t>5.  Beneficios para su Empresa</w:t>
      </w:r>
    </w:p>
    <w:p>
      <w:pPr>
        <w:pStyle w:val="ListBullet"/>
        <w:spacing w:after="40"/>
      </w:pPr>
      <w:r>
        <w:t>Reducción drástica de errores de cálculo respecto al manejo en hojas de cálculo.</w:t>
      </w:r>
    </w:p>
    <w:p>
      <w:pPr>
        <w:pStyle w:val="ListBullet"/>
        <w:spacing w:after="40"/>
      </w:pPr>
      <w:r>
        <w:t>Mayor velocidad en el cierre de liquidaciones y pagos.</w:t>
      </w:r>
    </w:p>
    <w:p>
      <w:pPr>
        <w:pStyle w:val="ListBullet"/>
        <w:spacing w:after="40"/>
      </w:pPr>
      <w:r>
        <w:t>Control financiero y de deudas por proveedor.</w:t>
      </w:r>
    </w:p>
    <w:p>
      <w:pPr>
        <w:pStyle w:val="ListBullet"/>
        <w:spacing w:after="40"/>
      </w:pPr>
      <w:r>
        <w:t>Cumplimiento y respaldo documental (regalías, tornaguías, compras).</w:t>
      </w:r>
    </w:p>
    <w:p>
      <w:pPr>
        <w:pStyle w:val="ListBullet"/>
        <w:spacing w:after="40"/>
      </w:pPr>
      <w:r>
        <w:t>Información centralizada y reportes para la toma de decisiones.</w:t>
      </w:r>
    </w:p>
    <w:p>
      <w:pPr>
        <w:pStyle w:val="ListBullet"/>
        <w:spacing w:after="40"/>
      </w:pPr>
      <w:r>
        <w:t>Solución escalable, adaptable al crecimiento y a nuevos requerimientos.</w:t>
      </w:r>
    </w:p>
    <w:p>
      <w:pPr>
        <w:spacing w:before="280" w:after="80"/>
        <w:pBdr>
          <w:bottom w:val="single" w:sz="6" w:space="4" w:color="BFE6EC"/>
        </w:pBdr>
      </w:pPr>
      <w:r>
        <w:rPr>
          <w:b/>
          <w:color w:val="0F6674"/>
          <w:sz w:val="28"/>
        </w:rPr>
        <w:t>6.  Inversión Estimada</w:t>
      </w:r>
    </w:p>
    <w:p>
      <w:pPr>
        <w:jc w:val="both"/>
      </w:pPr>
      <w:r>
        <w:t>La inversión estimada para la implementación de la solución descrita es la siguiente: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F6674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4816"/>
            <w:shd w:val="clear" w:color="auto" w:fill="0F6674"/>
          </w:tcPr>
          <w:p>
            <w:r>
              <w:rPr>
                <w:b/>
                <w:color w:val="FFFFFF"/>
              </w:rPr>
              <w:t>Monto (Bs)</w:t>
            </w:r>
          </w:p>
        </w:tc>
      </w:tr>
      <w:tr>
        <w:tc>
          <w:tcPr>
            <w:tcW w:type="dxa" w:w="4816"/>
          </w:tcPr>
          <w:p>
            <w:r>
              <w:t>Implementación del Sistema de Gestión de Liquidación de Minerales (estimado)</w:t>
            </w:r>
          </w:p>
        </w:tc>
        <w:tc>
          <w:tcPr>
            <w:tcW w:type="dxa" w:w="4816"/>
          </w:tcPr>
          <w:p>
            <w:pPr>
              <w:jc w:val="right"/>
            </w:pPr>
            <w:r>
              <w:t>5.000,00</w:t>
            </w:r>
          </w:p>
        </w:tc>
      </w:tr>
    </w:tbl>
    <w:p>
      <w:r>
        <w:rPr>
          <w:i/>
          <w:color w:val="5A5A5A"/>
          <w:sz w:val="18"/>
        </w:rPr>
        <w:t>Monto referencial expresado en bolivianos (Bs). El alcance definitivo y las condiciones de pago se acordarán de común acuerdo según los requerimientos finales.</w:t>
      </w:r>
    </w:p>
    <w:p>
      <w:pPr>
        <w:spacing w:before="280" w:after="80"/>
        <w:pBdr>
          <w:bottom w:val="single" w:sz="6" w:space="4" w:color="BFE6EC"/>
        </w:pBdr>
      </w:pPr>
      <w:r>
        <w:rPr>
          <w:b/>
          <w:color w:val="0F6674"/>
          <w:sz w:val="28"/>
        </w:rPr>
        <w:t>7.  Cierre</w:t>
      </w:r>
    </w:p>
    <w:p>
      <w:pPr>
        <w:jc w:val="both"/>
      </w:pPr>
      <w:r>
        <w:t>Agradecemos la oportunidad de presentar esta propuesta. La solución está diseñada para ordenar, agilizar y dar transparencia a su operación de compra y liquidación de minerales. Quedamos a su disposición para una demostración y para ajustar el alcance a las necesidades específicas de su empresa.</w:t>
      </w:r>
    </w:p>
    <w:sectPr w:rsidR="00FC693F" w:rsidRPr="0006063C" w:rsidSect="00034616"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Sistema de Gestión de Liquidación de Minerales  ·  Propuesta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— Sistema de Gestión de Liquidación de Minerales</dc:title>
  <dc:subject>Propuesta técnica y comercial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Propuesta</cp:category>
</cp:coreProperties>
</file>