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ED6CBD" w14:textId="47267DA6" w:rsidR="007675B0" w:rsidRDefault="0029499F" w:rsidP="007675B0">
      <w:pPr>
        <w:jc w:val="both"/>
      </w:pPr>
      <w:r>
        <w:t>2</w:t>
      </w:r>
      <w:r w:rsidR="007675B0">
        <w:t>)a)</w:t>
      </w:r>
    </w:p>
    <w:p w14:paraId="32276B76" w14:textId="6183CA1C" w:rsidR="00E74C37" w:rsidRDefault="0061633C" w:rsidP="007675B0">
      <w:pPr>
        <w:jc w:val="both"/>
      </w:pPr>
      <w:r>
        <w:t>The above results, even if they are troubled by an endogeneity problem which as shown it will be addressed by an Instrumental variables approach, they are on track with most of the literature establishing positive effects of schooling on future earnings (</w:t>
      </w:r>
      <w:proofErr w:type="gramStart"/>
      <w:r>
        <w:t>e.g.</w:t>
      </w:r>
      <w:proofErr w:type="gramEnd"/>
      <w:r>
        <w:t xml:space="preserve"> </w:t>
      </w:r>
      <w:r w:rsidR="00E901F1">
        <w:t xml:space="preserve">Angrist Krueger 1991; </w:t>
      </w:r>
      <w:r>
        <w:t>Ashenfelter &amp; Krueger 1994; Devereux &amp; Hart 2010</w:t>
      </w:r>
      <w:r w:rsidR="00E901F1">
        <w:t>). It must be pointed out though a smaller number of studies (</w:t>
      </w:r>
      <w:proofErr w:type="gramStart"/>
      <w:r w:rsidR="00E901F1">
        <w:t>e.g.</w:t>
      </w:r>
      <w:proofErr w:type="gramEnd"/>
      <w:r w:rsidR="00E901F1">
        <w:t xml:space="preserve"> Pischke &amp; Watcher 2008; Grenet 2013) find zero or close to zero returns of schooling on future </w:t>
      </w:r>
      <w:proofErr w:type="spellStart"/>
      <w:r w:rsidR="00E901F1">
        <w:t>earning</w:t>
      </w:r>
      <w:proofErr w:type="spellEnd"/>
      <w:r w:rsidR="00E901F1">
        <w:t>.</w:t>
      </w:r>
    </w:p>
    <w:p w14:paraId="0FB28923" w14:textId="2209673F" w:rsidR="007675B0" w:rsidRDefault="00E901F1" w:rsidP="007675B0">
      <w:pPr>
        <w:jc w:val="both"/>
      </w:pPr>
      <w:r>
        <w:t xml:space="preserve">The example examined here treats the clear problem of endogeneity between schooling and future earnings by using an instrumental variables approach. </w:t>
      </w:r>
      <w:r w:rsidR="007675B0">
        <w:t xml:space="preserve">Education is endogenous to schooling as unobservable characteristics of the individual, such as family background, affect both education and earnings leading to an upward bias of the results as we will see later. </w:t>
      </w:r>
    </w:p>
    <w:p w14:paraId="6CF672B3" w14:textId="7E284C37" w:rsidR="00E901F1" w:rsidRDefault="00E901F1" w:rsidP="007675B0">
      <w:pPr>
        <w:jc w:val="both"/>
      </w:pPr>
      <w:r>
        <w:t>The use of instrumental variables to tackle unbiased treatment effects is common in the literature examining the effects of schooling on various outcomes (</w:t>
      </w:r>
      <w:proofErr w:type="gramStart"/>
      <w:r>
        <w:t>e.g.</w:t>
      </w:r>
      <w:proofErr w:type="gramEnd"/>
      <w:r>
        <w:t xml:space="preserve"> </w:t>
      </w:r>
      <w:r>
        <w:t>Angrist Krueger 1991</w:t>
      </w:r>
      <w:r>
        <w:t>; Card 1995; Acemoglu &amp; Angrist 200</w:t>
      </w:r>
      <w:r w:rsidR="0029499F">
        <w:t>1</w:t>
      </w:r>
      <w:r>
        <w:t xml:space="preserve">). Several studies have used a change in </w:t>
      </w:r>
      <w:r w:rsidR="007675B0">
        <w:t>compulsory schooling laws to instrument education (</w:t>
      </w:r>
      <w:proofErr w:type="gramStart"/>
      <w:r w:rsidR="007675B0">
        <w:t>e.g.</w:t>
      </w:r>
      <w:proofErr w:type="gramEnd"/>
      <w:r w:rsidR="007675B0">
        <w:t xml:space="preserve"> </w:t>
      </w:r>
      <w:proofErr w:type="spellStart"/>
      <w:r w:rsidR="007675B0">
        <w:t>Oreopoulos</w:t>
      </w:r>
      <w:proofErr w:type="spellEnd"/>
      <w:r w:rsidR="007675B0">
        <w:t xml:space="preserve"> 2006; Black et al. 2007) and that is the approach that this example follows. By using a policy that induced the treatment group to have at least one more year of schooling that the control group (those not subject to the policy), we implicitly consider that the treatment group has on average more years of schooling than the control group. Whether this is the case </w:t>
      </w:r>
      <w:proofErr w:type="gramStart"/>
      <w:r w:rsidR="007675B0">
        <w:t>has to</w:t>
      </w:r>
      <w:proofErr w:type="gramEnd"/>
      <w:r w:rsidR="007675B0">
        <w:t xml:space="preserve"> be seen when we estimate the first stage. </w:t>
      </w:r>
    </w:p>
    <w:p w14:paraId="6B00E3D9" w14:textId="1C31DE11" w:rsidR="0029499F" w:rsidRDefault="0029499F" w:rsidP="007675B0">
      <w:pPr>
        <w:jc w:val="both"/>
      </w:pPr>
    </w:p>
    <w:p w14:paraId="218F34D4" w14:textId="0FE254B7" w:rsidR="0029499F" w:rsidRDefault="0029499F" w:rsidP="007675B0">
      <w:pPr>
        <w:jc w:val="both"/>
      </w:pPr>
      <w:r>
        <w:t>2)b)</w:t>
      </w:r>
    </w:p>
    <w:p w14:paraId="094203BD" w14:textId="77777777" w:rsidR="00A1312A" w:rsidRDefault="0029499F" w:rsidP="007675B0">
      <w:pPr>
        <w:jc w:val="both"/>
      </w:pPr>
      <w:proofErr w:type="gramStart"/>
      <w:r w:rsidRPr="00A1312A">
        <w:rPr>
          <w:highlight w:val="yellow"/>
        </w:rPr>
        <w:t>The  treatment</w:t>
      </w:r>
      <w:proofErr w:type="gramEnd"/>
      <w:r w:rsidRPr="00A1312A">
        <w:rPr>
          <w:highlight w:val="yellow"/>
        </w:rPr>
        <w:t xml:space="preserve"> assignments are</w:t>
      </w:r>
      <w:r w:rsidR="00A1312A" w:rsidRPr="00A1312A">
        <w:rPr>
          <w:highlight w:val="yellow"/>
        </w:rPr>
        <w:t xml:space="preserve"> S0i = 1 (</w:t>
      </w:r>
      <w:r w:rsidR="00A1312A" w:rsidRPr="00A1312A">
        <w:rPr>
          <w:highlight w:val="yellow"/>
          <w:lang w:val="el-GR"/>
        </w:rPr>
        <w:t>γ</w:t>
      </w:r>
      <w:r w:rsidR="00A1312A" w:rsidRPr="00A1312A">
        <w:rPr>
          <w:highlight w:val="yellow"/>
        </w:rPr>
        <w:t>0&gt;</w:t>
      </w:r>
      <w:r w:rsidR="00A1312A" w:rsidRPr="00A1312A">
        <w:rPr>
          <w:highlight w:val="yellow"/>
          <w:lang w:val="el-GR"/>
        </w:rPr>
        <w:t>η</w:t>
      </w:r>
      <w:proofErr w:type="spellStart"/>
      <w:r w:rsidR="00A1312A" w:rsidRPr="00A1312A">
        <w:rPr>
          <w:highlight w:val="yellow"/>
        </w:rPr>
        <w:t>i</w:t>
      </w:r>
      <w:proofErr w:type="spellEnd"/>
      <w:r w:rsidR="00A1312A" w:rsidRPr="00A1312A">
        <w:rPr>
          <w:highlight w:val="yellow"/>
        </w:rPr>
        <w:t>) if Zi = 0…..</w:t>
      </w:r>
      <w:r w:rsidR="00A1312A">
        <w:t xml:space="preserve"> </w:t>
      </w:r>
      <w:r>
        <w:t xml:space="preserve">. </w:t>
      </w:r>
    </w:p>
    <w:p w14:paraId="7255BDC4" w14:textId="77777777" w:rsidR="00A1312A" w:rsidRDefault="00A1312A" w:rsidP="007675B0">
      <w:pPr>
        <w:jc w:val="both"/>
      </w:pPr>
      <w:r>
        <w:t>A</w:t>
      </w:r>
      <w:r w:rsidR="0029499F">
        <w:t xml:space="preserve"> first stage </w:t>
      </w:r>
      <w:r>
        <w:t xml:space="preserve">exists </w:t>
      </w:r>
      <w:r w:rsidR="0029499F">
        <w:t>for two reasons</w:t>
      </w:r>
      <w:r>
        <w:t>:</w:t>
      </w:r>
    </w:p>
    <w:p w14:paraId="322AC39C" w14:textId="77777777" w:rsidR="00A1312A" w:rsidRDefault="0029499F" w:rsidP="007675B0">
      <w:pPr>
        <w:jc w:val="both"/>
      </w:pPr>
      <w:r>
        <w:t xml:space="preserve"> Firstly, the covariance between policy and schooling is not zero</w:t>
      </w:r>
      <w:r w:rsidR="00A1312A">
        <w:t>. G</w:t>
      </w:r>
      <w:r>
        <w:t xml:space="preserve">iven that </w:t>
      </w:r>
      <w:r w:rsidR="00A1312A">
        <w:t xml:space="preserve">the </w:t>
      </w:r>
      <w:r>
        <w:t xml:space="preserve">policy is a compulsory </w:t>
      </w:r>
      <w:proofErr w:type="gramStart"/>
      <w:r>
        <w:t>law ,</w:t>
      </w:r>
      <w:proofErr w:type="gramEnd"/>
      <w:r>
        <w:t xml:space="preserve"> </w:t>
      </w:r>
      <w:r w:rsidR="00A1312A">
        <w:t xml:space="preserve">on average, </w:t>
      </w:r>
      <w:r>
        <w:t>it induces the increase schooling</w:t>
      </w:r>
      <w:r w:rsidR="00A1312A">
        <w:t xml:space="preserve"> for those subject to eat</w:t>
      </w:r>
      <w:r>
        <w:t xml:space="preserve">. Secondly, an option could have been instead of going through the first stage </w:t>
      </w:r>
      <w:proofErr w:type="gramStart"/>
      <w:r w:rsidR="00A1312A">
        <w:t xml:space="preserve">to </w:t>
      </w:r>
      <w:r>
        <w:t xml:space="preserve"> compute</w:t>
      </w:r>
      <w:proofErr w:type="gramEnd"/>
      <w:r>
        <w:t xml:space="preserve"> the reduced form, regressing the instrument on the outcome</w:t>
      </w:r>
      <w:r w:rsidR="00A1312A">
        <w:t xml:space="preserve">, and getting the treatment effects from that reduced form estimation. </w:t>
      </w:r>
      <w:r>
        <w:t xml:space="preserve"> However, given that there might be no perfect compliance, the </w:t>
      </w:r>
      <w:r w:rsidR="00A1312A">
        <w:t xml:space="preserve">covariance between schooling &amp; </w:t>
      </w:r>
      <w:r>
        <w:t>policy</w:t>
      </w:r>
      <w:r w:rsidR="00A1312A">
        <w:t xml:space="preserve"> </w:t>
      </w:r>
      <w:r>
        <w:t xml:space="preserve">is not equal to 1. Therefore, a first stage is needed to capture the causal effect of schooling on earnings. </w:t>
      </w:r>
    </w:p>
    <w:p w14:paraId="33ED71AF" w14:textId="2D9F16FB" w:rsidR="00A1312A" w:rsidRDefault="0029499F" w:rsidP="007675B0">
      <w:pPr>
        <w:jc w:val="both"/>
      </w:pPr>
      <w:r>
        <w:t>For an instrument to be valid following assumptions should be hold:</w:t>
      </w:r>
    </w:p>
    <w:p w14:paraId="243248BF" w14:textId="77777777" w:rsidR="00A1312A" w:rsidRDefault="0029499F" w:rsidP="007675B0">
      <w:pPr>
        <w:jc w:val="both"/>
      </w:pPr>
      <w:r>
        <w:t xml:space="preserve"> • Exogeneity Assumption: The instrument(policy) should be orthogonal to the any </w:t>
      </w:r>
      <w:proofErr w:type="spellStart"/>
      <w:r>
        <w:t>unobservables</w:t>
      </w:r>
      <w:proofErr w:type="spellEnd"/>
      <w:r>
        <w:t xml:space="preserve"> that affect the outcome(earnings). </w:t>
      </w:r>
    </w:p>
    <w:p w14:paraId="5E63DD6E" w14:textId="77777777" w:rsidR="00A1312A" w:rsidRDefault="0029499F" w:rsidP="007675B0">
      <w:pPr>
        <w:jc w:val="both"/>
      </w:pPr>
      <w:r>
        <w:t xml:space="preserve">• Exclusion Restriction: The instrument(policy) should affect the outcome(earnings) only through the treatment(schooling). </w:t>
      </w:r>
    </w:p>
    <w:p w14:paraId="0A534104" w14:textId="77777777" w:rsidR="00A1312A" w:rsidRDefault="0029499F" w:rsidP="007675B0">
      <w:pPr>
        <w:jc w:val="both"/>
      </w:pPr>
      <w:r>
        <w:t xml:space="preserve">• Monotonicity: No presence of </w:t>
      </w:r>
      <w:proofErr w:type="spellStart"/>
      <w:r>
        <w:t>defiers</w:t>
      </w:r>
      <w:proofErr w:type="spellEnd"/>
      <w:r>
        <w:t xml:space="preserve">. </w:t>
      </w:r>
    </w:p>
    <w:p w14:paraId="7CFAB995" w14:textId="77777777" w:rsidR="00A1312A" w:rsidRDefault="0029499F" w:rsidP="007675B0">
      <w:pPr>
        <w:jc w:val="both"/>
      </w:pPr>
      <w:r>
        <w:t>• Strength: There should be a sufficiently strong correlation between instrument</w:t>
      </w:r>
      <w:r w:rsidR="00A1312A">
        <w:t xml:space="preserve"> </w:t>
      </w:r>
      <w:r>
        <w:t xml:space="preserve">(policy) and </w:t>
      </w:r>
      <w:proofErr w:type="gramStart"/>
      <w:r>
        <w:t>treatment(</w:t>
      </w:r>
      <w:proofErr w:type="gramEnd"/>
      <w:r>
        <w:t>Schooling).</w:t>
      </w:r>
    </w:p>
    <w:p w14:paraId="748FF963" w14:textId="77777777" w:rsidR="00A1312A" w:rsidRDefault="00A1312A" w:rsidP="007675B0">
      <w:pPr>
        <w:jc w:val="both"/>
      </w:pPr>
    </w:p>
    <w:p w14:paraId="2A2A4118" w14:textId="77777777" w:rsidR="00A1312A" w:rsidRDefault="00A1312A" w:rsidP="007675B0">
      <w:pPr>
        <w:jc w:val="both"/>
      </w:pPr>
    </w:p>
    <w:p w14:paraId="2C1ADF2B" w14:textId="77777777" w:rsidR="00A1312A" w:rsidRDefault="00A1312A" w:rsidP="007675B0">
      <w:pPr>
        <w:jc w:val="both"/>
      </w:pPr>
    </w:p>
    <w:p w14:paraId="2397DDBA" w14:textId="77777777" w:rsidR="00A1312A" w:rsidRDefault="00A1312A" w:rsidP="007675B0">
      <w:pPr>
        <w:jc w:val="both"/>
      </w:pPr>
    </w:p>
    <w:p w14:paraId="751A0677" w14:textId="77777777" w:rsidR="00A1312A" w:rsidRDefault="00A1312A" w:rsidP="007675B0">
      <w:pPr>
        <w:jc w:val="both"/>
      </w:pPr>
    </w:p>
    <w:p w14:paraId="6BBB4739" w14:textId="77777777" w:rsidR="00A1312A" w:rsidRDefault="00A1312A" w:rsidP="007675B0">
      <w:pPr>
        <w:jc w:val="both"/>
      </w:pPr>
      <w:r>
        <w:t>Potential threats to validity:</w:t>
      </w:r>
    </w:p>
    <w:p w14:paraId="4F89213C" w14:textId="77777777" w:rsidR="005F6FB2" w:rsidRDefault="00A1312A" w:rsidP="003D2A1F">
      <w:pPr>
        <w:pStyle w:val="ListParagraph"/>
        <w:numPr>
          <w:ilvl w:val="0"/>
          <w:numId w:val="1"/>
        </w:numPr>
        <w:jc w:val="both"/>
      </w:pPr>
      <w:r>
        <w:t xml:space="preserve">Potential threats to </w:t>
      </w:r>
      <w:r w:rsidR="005F6FB2">
        <w:t xml:space="preserve">internal </w:t>
      </w:r>
      <w:r>
        <w:t xml:space="preserve">validity coming from violation of the above restrictions: </w:t>
      </w:r>
    </w:p>
    <w:p w14:paraId="21A44F5C" w14:textId="1AEEA052" w:rsidR="003D2A1F" w:rsidRDefault="00A1312A" w:rsidP="005F6FB2">
      <w:pPr>
        <w:pStyle w:val="ListParagraph"/>
        <w:ind w:left="360"/>
        <w:jc w:val="both"/>
      </w:pPr>
      <w:r>
        <w:t>Even though there is no reason to assume any violation of the exogeneity and mon</w:t>
      </w:r>
      <w:r w:rsidR="003D2A1F">
        <w:t xml:space="preserve">otonicity assumptions the exclusion restriction might be violated. An example of a violation of the exclusion restriction might have been if the policy not only made one more year of schooling mandatory but if also had explicitly or implicitly an effect in the curriculum. In that case future earnings might be affected by the policy not only through one more year of schooling but by a more comprehensive or extensive curriculum biasing upward the results. On the same time a violation of the exclusion restriction might come from the fact that people having to stay one more year in school, that have otherwise </w:t>
      </w:r>
      <w:proofErr w:type="gramStart"/>
      <w:r w:rsidR="003D2A1F">
        <w:t>choose</w:t>
      </w:r>
      <w:proofErr w:type="gramEnd"/>
      <w:r w:rsidR="003D2A1F">
        <w:t xml:space="preserve"> to leave after 14 years of schooling, enter the </w:t>
      </w:r>
      <w:proofErr w:type="spellStart"/>
      <w:r w:rsidR="003D2A1F">
        <w:t>labour</w:t>
      </w:r>
      <w:proofErr w:type="spellEnd"/>
      <w:r w:rsidR="003D2A1F">
        <w:t xml:space="preserve"> market later and that potentially results in lower future earnings. In case that the negative effects from entering the </w:t>
      </w:r>
      <w:proofErr w:type="spellStart"/>
      <w:r w:rsidR="003D2A1F">
        <w:t>labour</w:t>
      </w:r>
      <w:proofErr w:type="spellEnd"/>
      <w:r w:rsidR="003D2A1F">
        <w:t xml:space="preserve"> market later are greater than the positive effects of one more year of schooling the results are downwards biased.</w:t>
      </w:r>
    </w:p>
    <w:p w14:paraId="2E586D89" w14:textId="116EF285" w:rsidR="003D2A1F" w:rsidRDefault="003D2A1F" w:rsidP="003D2A1F">
      <w:pPr>
        <w:pStyle w:val="ListParagraph"/>
        <w:ind w:left="360"/>
        <w:jc w:val="both"/>
      </w:pPr>
    </w:p>
    <w:p w14:paraId="25394DDD" w14:textId="683CFCC6" w:rsidR="005F6FB2" w:rsidRDefault="003D2A1F" w:rsidP="005F6FB2">
      <w:pPr>
        <w:pStyle w:val="ListParagraph"/>
        <w:ind w:left="360"/>
        <w:jc w:val="both"/>
      </w:pPr>
      <w:r>
        <w:t xml:space="preserve">With respect to the strength of the instrument a </w:t>
      </w:r>
      <w:r w:rsidR="005F6FB2">
        <w:t>weak instrument causes problem related to unreliable inferenc</w:t>
      </w:r>
      <w:r w:rsidR="00EB1EF1">
        <w:t>e</w:t>
      </w:r>
      <w:r w:rsidR="005F6FB2">
        <w:t>, small sample bias and inconsistency of the IV estimator. Whether these potential issues hold in the specific case will be examined later</w:t>
      </w:r>
    </w:p>
    <w:p w14:paraId="485FAAD0" w14:textId="77777777" w:rsidR="005F6FB2" w:rsidRDefault="005F6FB2" w:rsidP="005F6FB2">
      <w:pPr>
        <w:pStyle w:val="ListParagraph"/>
        <w:ind w:left="360"/>
        <w:jc w:val="both"/>
      </w:pPr>
    </w:p>
    <w:p w14:paraId="548EA6D6" w14:textId="5A6A551A" w:rsidR="00A1312A" w:rsidRDefault="005F6FB2" w:rsidP="005F6FB2">
      <w:pPr>
        <w:pStyle w:val="ListParagraph"/>
        <w:ind w:left="360"/>
        <w:jc w:val="both"/>
      </w:pPr>
      <w:r>
        <w:t>Furthermore, given the data available we cannot control for regional or other characteristics that might affect the implementation of the policy and thus the strength of the instrument. These characteristics might be related to the enforceability of the policy</w:t>
      </w:r>
      <w:r w:rsidR="00034F7A">
        <w:t xml:space="preserve">. </w:t>
      </w:r>
    </w:p>
    <w:p w14:paraId="33216399" w14:textId="61E51D29" w:rsidR="00A1312A" w:rsidRDefault="00034F7A" w:rsidP="00A1312A">
      <w:pPr>
        <w:pStyle w:val="ListParagraph"/>
        <w:numPr>
          <w:ilvl w:val="0"/>
          <w:numId w:val="1"/>
        </w:numPr>
        <w:jc w:val="both"/>
      </w:pPr>
      <w:r>
        <w:t xml:space="preserve">Potential threats to </w:t>
      </w:r>
      <w:r>
        <w:t>external</w:t>
      </w:r>
      <w:r>
        <w:t xml:space="preserve"> validity coming from </w:t>
      </w:r>
      <w:r>
        <w:t>the fact that IV estimates Local Average Treatment Effects:</w:t>
      </w:r>
    </w:p>
    <w:p w14:paraId="37738DC4" w14:textId="1489AB4D" w:rsidR="00034F7A" w:rsidRDefault="00034F7A" w:rsidP="00034F7A">
      <w:pPr>
        <w:pStyle w:val="ListParagraph"/>
        <w:ind w:left="360"/>
        <w:jc w:val="both"/>
      </w:pPr>
      <w:r>
        <w:t xml:space="preserve">LATE captures the effects of schooling on those who complied with the policy </w:t>
      </w:r>
      <w:r w:rsidR="00EB1EF1">
        <w:t xml:space="preserve">at a specific time and place </w:t>
      </w:r>
      <w:r>
        <w:t xml:space="preserve">and excludes never-takers and always takers. If the outcomes differ substantially between the three </w:t>
      </w:r>
      <w:proofErr w:type="gramStart"/>
      <w:r>
        <w:t>groups</w:t>
      </w:r>
      <w:proofErr w:type="gramEnd"/>
      <w:r>
        <w:t xml:space="preserve"> it is difficult to extrapolate the results for the whole population from LATE. </w:t>
      </w:r>
      <w:r w:rsidR="00953CEB">
        <w:t xml:space="preserve">A way to </w:t>
      </w:r>
      <w:proofErr w:type="gramStart"/>
      <w:r w:rsidR="00953CEB">
        <w:t>asses</w:t>
      </w:r>
      <w:proofErr w:type="gramEnd"/>
      <w:r w:rsidR="00953CEB">
        <w:t xml:space="preserve"> external validity is to examine different populations that receive the same treatment and see the LATE. </w:t>
      </w:r>
    </w:p>
    <w:p w14:paraId="3CD5D352" w14:textId="39458637" w:rsidR="00034F7A" w:rsidRDefault="00034F7A" w:rsidP="00034F7A">
      <w:pPr>
        <w:pStyle w:val="ListParagraph"/>
        <w:ind w:left="360"/>
        <w:jc w:val="both"/>
      </w:pPr>
      <w:r>
        <w:t xml:space="preserve">Also, the results might be driven by specific groups among the population for which the </w:t>
      </w:r>
      <w:r w:rsidR="00EB1EF1">
        <w:t xml:space="preserve">gains from one additional year of education might have very high returns while for most other groups is low. </w:t>
      </w:r>
    </w:p>
    <w:p w14:paraId="4A6E9A5E" w14:textId="77777777" w:rsidR="00953CEB" w:rsidRDefault="00953CEB" w:rsidP="00953CEB">
      <w:pPr>
        <w:pStyle w:val="ListParagraph"/>
        <w:ind w:left="360"/>
        <w:jc w:val="both"/>
      </w:pPr>
    </w:p>
    <w:p w14:paraId="0012E6C7" w14:textId="77777777" w:rsidR="00953CEB" w:rsidRDefault="0029499F" w:rsidP="00953CEB">
      <w:pPr>
        <w:pStyle w:val="ListParagraph"/>
        <w:ind w:left="360"/>
        <w:jc w:val="both"/>
      </w:pPr>
      <w:r>
        <w:t xml:space="preserve"> </w:t>
      </w:r>
      <w:r w:rsidR="00953CEB">
        <w:t>C</w:t>
      </w:r>
      <w:r>
        <w:t>ompliers, never</w:t>
      </w:r>
      <w:r w:rsidR="00953CEB">
        <w:t>-</w:t>
      </w:r>
      <w:proofErr w:type="gramStart"/>
      <w:r>
        <w:t>takers</w:t>
      </w:r>
      <w:proofErr w:type="gramEnd"/>
      <w:r>
        <w:t xml:space="preserve"> and always-takers: </w:t>
      </w:r>
    </w:p>
    <w:p w14:paraId="2D74B9B7" w14:textId="5955DA90" w:rsidR="00953CEB" w:rsidRDefault="0029499F" w:rsidP="00953CEB">
      <w:pPr>
        <w:pStyle w:val="ListParagraph"/>
        <w:ind w:left="360"/>
        <w:jc w:val="both"/>
      </w:pPr>
      <w:r>
        <w:t>• Compliers: Compliers are the one</w:t>
      </w:r>
      <w:r w:rsidR="00953CEB">
        <w:t>s</w:t>
      </w:r>
      <w:r>
        <w:t xml:space="preserve"> who reacts to the policy (instruments). In this case, students who have 15 or more years of schooling after the implementation of policy and </w:t>
      </w:r>
      <w:r w:rsidR="00953CEB">
        <w:t xml:space="preserve">would </w:t>
      </w:r>
      <w:r>
        <w:t>ha</w:t>
      </w:r>
      <w:r w:rsidR="00953CEB">
        <w:t>ve</w:t>
      </w:r>
      <w:r>
        <w:t xml:space="preserve"> 14 or less years of schooling </w:t>
      </w:r>
      <w:r w:rsidR="00953CEB">
        <w:t xml:space="preserve">if </w:t>
      </w:r>
      <w:proofErr w:type="spellStart"/>
      <w:r w:rsidR="00953CEB">
        <w:t>the</w:t>
      </w:r>
      <w:proofErr w:type="spellEnd"/>
      <w:r w:rsidR="00953CEB">
        <w:t xml:space="preserve"> policy </w:t>
      </w:r>
      <w:proofErr w:type="gramStart"/>
      <w:r w:rsidR="00953CEB">
        <w:t>was</w:t>
      </w:r>
      <w:proofErr w:type="gramEnd"/>
      <w:r w:rsidR="00953CEB">
        <w:t xml:space="preserve"> not implemented</w:t>
      </w:r>
      <w:r>
        <w:t xml:space="preserve"> are the compliers. </w:t>
      </w:r>
    </w:p>
    <w:p w14:paraId="4067FCA6" w14:textId="2299F658" w:rsidR="00953CEB" w:rsidRDefault="0029499F" w:rsidP="00953CEB">
      <w:pPr>
        <w:pStyle w:val="ListParagraph"/>
        <w:ind w:left="360"/>
        <w:jc w:val="both"/>
      </w:pPr>
      <w:r>
        <w:lastRenderedPageBreak/>
        <w:t xml:space="preserve">• </w:t>
      </w:r>
      <w:r w:rsidR="00953CEB">
        <w:t>Never</w:t>
      </w:r>
      <w:r>
        <w:t>-Takers: Those who never take up the treatment irrespective of instrument. In this case, they are those who have 1</w:t>
      </w:r>
      <w:r w:rsidR="00953CEB">
        <w:t>4</w:t>
      </w:r>
      <w:r>
        <w:t xml:space="preserve"> or more years of schooling irrespective of whether they are affected by the policy. </w:t>
      </w:r>
    </w:p>
    <w:p w14:paraId="78D89C29" w14:textId="31213B83" w:rsidR="0029499F" w:rsidRDefault="0029499F" w:rsidP="00953CEB">
      <w:pPr>
        <w:pStyle w:val="ListParagraph"/>
        <w:ind w:left="360"/>
        <w:jc w:val="both"/>
      </w:pPr>
      <w:r>
        <w:t>• Always-Takers: Those who always take up the treatment irrespective of instrument. In this case, they are the students who have 1</w:t>
      </w:r>
      <w:r w:rsidR="00953CEB">
        <w:t>5</w:t>
      </w:r>
      <w:r>
        <w:t xml:space="preserve"> or less years of schooling irrespective of when they are affected by the </w:t>
      </w:r>
      <w:proofErr w:type="gramStart"/>
      <w:r>
        <w:t>policy</w:t>
      </w:r>
      <w:proofErr w:type="gramEnd"/>
    </w:p>
    <w:p w14:paraId="2F3CA0FD" w14:textId="5DCA8FCF" w:rsidR="00E901F1" w:rsidRDefault="00E901F1">
      <w:pPr>
        <w:rPr>
          <w:rFonts w:ascii="Georgia" w:hAnsi="Georgia"/>
          <w:color w:val="2E2E2E"/>
          <w:sz w:val="27"/>
          <w:szCs w:val="27"/>
        </w:rPr>
      </w:pPr>
      <w:r>
        <w:rPr>
          <w:rFonts w:ascii="Georgia" w:hAnsi="Georgia"/>
          <w:color w:val="2E2E2E"/>
          <w:sz w:val="27"/>
          <w:szCs w:val="27"/>
        </w:rPr>
        <w:t> </w:t>
      </w:r>
    </w:p>
    <w:p w14:paraId="3EFBF3AE" w14:textId="62C0413C" w:rsidR="007675B0" w:rsidRDefault="007675B0">
      <w:pPr>
        <w:rPr>
          <w:rFonts w:ascii="Georgia" w:hAnsi="Georgia"/>
          <w:color w:val="2E2E2E"/>
          <w:sz w:val="27"/>
          <w:szCs w:val="27"/>
        </w:rPr>
      </w:pPr>
    </w:p>
    <w:p w14:paraId="049391A3" w14:textId="2C46D0D7" w:rsidR="007675B0" w:rsidRDefault="007675B0">
      <w:pPr>
        <w:rPr>
          <w:rFonts w:ascii="Georgia" w:hAnsi="Georgia"/>
          <w:color w:val="2E2E2E"/>
          <w:sz w:val="27"/>
          <w:szCs w:val="27"/>
        </w:rPr>
      </w:pPr>
    </w:p>
    <w:p w14:paraId="33C68B8B" w14:textId="62E41941" w:rsidR="007675B0" w:rsidRDefault="007675B0">
      <w:pPr>
        <w:rPr>
          <w:rFonts w:ascii="Georgia" w:hAnsi="Georgia"/>
          <w:color w:val="2E2E2E"/>
          <w:sz w:val="27"/>
          <w:szCs w:val="27"/>
        </w:rPr>
      </w:pPr>
    </w:p>
    <w:p w14:paraId="63A9B092" w14:textId="6FFD05CA" w:rsidR="007675B0" w:rsidRDefault="007675B0">
      <w:pPr>
        <w:rPr>
          <w:rFonts w:ascii="Georgia" w:hAnsi="Georgia"/>
          <w:color w:val="2E2E2E"/>
          <w:sz w:val="27"/>
          <w:szCs w:val="27"/>
        </w:rPr>
      </w:pPr>
    </w:p>
    <w:p w14:paraId="58D3FA7C" w14:textId="573D5AA9" w:rsidR="0029499F" w:rsidRDefault="0029499F">
      <w:pPr>
        <w:rPr>
          <w:rFonts w:ascii="Georgia" w:hAnsi="Georgia"/>
          <w:color w:val="2E2E2E"/>
          <w:sz w:val="27"/>
          <w:szCs w:val="27"/>
        </w:rPr>
      </w:pPr>
    </w:p>
    <w:p w14:paraId="67CBE9A5" w14:textId="14CF607F" w:rsidR="0029499F" w:rsidRDefault="0029499F">
      <w:pPr>
        <w:rPr>
          <w:rFonts w:ascii="Georgia" w:hAnsi="Georgia"/>
          <w:color w:val="2E2E2E"/>
          <w:sz w:val="27"/>
          <w:szCs w:val="27"/>
        </w:rPr>
      </w:pPr>
    </w:p>
    <w:p w14:paraId="72B59DC8" w14:textId="3C7303F5" w:rsidR="0029499F" w:rsidRDefault="0029499F">
      <w:pPr>
        <w:rPr>
          <w:rFonts w:ascii="Georgia" w:hAnsi="Georgia"/>
          <w:color w:val="2E2E2E"/>
          <w:sz w:val="27"/>
          <w:szCs w:val="27"/>
        </w:rPr>
      </w:pPr>
    </w:p>
    <w:p w14:paraId="236BA30D" w14:textId="735AE36A" w:rsidR="0029499F" w:rsidRDefault="0029499F">
      <w:pPr>
        <w:rPr>
          <w:rFonts w:ascii="Georgia" w:hAnsi="Georgia"/>
          <w:color w:val="2E2E2E"/>
          <w:sz w:val="27"/>
          <w:szCs w:val="27"/>
        </w:rPr>
      </w:pPr>
    </w:p>
    <w:p w14:paraId="00D35478" w14:textId="465C35EB" w:rsidR="0029499F" w:rsidRDefault="0029499F">
      <w:pPr>
        <w:rPr>
          <w:rFonts w:ascii="Georgia" w:hAnsi="Georgia"/>
          <w:color w:val="2E2E2E"/>
          <w:sz w:val="27"/>
          <w:szCs w:val="27"/>
        </w:rPr>
      </w:pPr>
    </w:p>
    <w:p w14:paraId="5A8D464C" w14:textId="78CEB350" w:rsidR="0029499F" w:rsidRDefault="0029499F">
      <w:pPr>
        <w:rPr>
          <w:rFonts w:ascii="Georgia" w:hAnsi="Georgia"/>
          <w:color w:val="2E2E2E"/>
          <w:sz w:val="27"/>
          <w:szCs w:val="27"/>
        </w:rPr>
      </w:pPr>
    </w:p>
    <w:p w14:paraId="2CC1FEDF" w14:textId="295B7FC3" w:rsidR="0029499F" w:rsidRDefault="0029499F">
      <w:pPr>
        <w:rPr>
          <w:rFonts w:ascii="Georgia" w:hAnsi="Georgia"/>
          <w:color w:val="2E2E2E"/>
          <w:sz w:val="27"/>
          <w:szCs w:val="27"/>
        </w:rPr>
      </w:pPr>
    </w:p>
    <w:p w14:paraId="36413202" w14:textId="77777777" w:rsidR="0029499F" w:rsidRDefault="0029499F">
      <w:pPr>
        <w:rPr>
          <w:rFonts w:ascii="Georgia" w:hAnsi="Georgia"/>
          <w:color w:val="2E2E2E"/>
          <w:sz w:val="27"/>
          <w:szCs w:val="27"/>
        </w:rPr>
      </w:pPr>
    </w:p>
    <w:p w14:paraId="7A0B57EF" w14:textId="20397505" w:rsidR="007675B0" w:rsidRDefault="007675B0">
      <w:pPr>
        <w:rPr>
          <w:rFonts w:ascii="Georgia" w:hAnsi="Georgia"/>
          <w:color w:val="2E2E2E"/>
          <w:sz w:val="27"/>
          <w:szCs w:val="27"/>
        </w:rPr>
      </w:pPr>
    </w:p>
    <w:p w14:paraId="574B0AC5" w14:textId="051A207B" w:rsidR="007675B0" w:rsidRDefault="007675B0">
      <w:pPr>
        <w:rPr>
          <w:rFonts w:ascii="Georgia" w:hAnsi="Georgia"/>
          <w:color w:val="2E2E2E"/>
          <w:sz w:val="27"/>
          <w:szCs w:val="27"/>
        </w:rPr>
      </w:pPr>
      <w:r>
        <w:rPr>
          <w:rFonts w:ascii="Georgia" w:hAnsi="Georgia"/>
          <w:color w:val="2E2E2E"/>
          <w:sz w:val="27"/>
          <w:szCs w:val="27"/>
        </w:rPr>
        <w:t>References</w:t>
      </w:r>
    </w:p>
    <w:p w14:paraId="15F17076" w14:textId="6C13AFF5" w:rsidR="0029499F" w:rsidRDefault="0029499F">
      <w:pPr>
        <w:rPr>
          <w:rFonts w:ascii="Arial" w:hAnsi="Arial" w:cs="Arial"/>
          <w:color w:val="222222"/>
          <w:sz w:val="20"/>
          <w:szCs w:val="20"/>
          <w:shd w:val="clear" w:color="auto" w:fill="FFFFFF"/>
        </w:rPr>
      </w:pPr>
      <w:r>
        <w:rPr>
          <w:rFonts w:ascii="Arial" w:hAnsi="Arial" w:cs="Arial"/>
          <w:color w:val="222222"/>
          <w:sz w:val="20"/>
          <w:szCs w:val="20"/>
          <w:shd w:val="clear" w:color="auto" w:fill="FFFFFF"/>
        </w:rPr>
        <w:t>Acemoglu, D., &amp; Angrist, J. (2001). How Large Are Human-Capital Externalities? Evidence from Compulsory Schooling Laws. </w:t>
      </w:r>
      <w:r>
        <w:rPr>
          <w:rFonts w:ascii="Arial" w:hAnsi="Arial" w:cs="Arial"/>
          <w:i/>
          <w:iCs/>
          <w:color w:val="222222"/>
          <w:sz w:val="20"/>
          <w:szCs w:val="20"/>
          <w:shd w:val="clear" w:color="auto" w:fill="FFFFFF"/>
        </w:rPr>
        <w:t>N</w:t>
      </w:r>
      <w:r w:rsidR="00DD4A8C">
        <w:rPr>
          <w:rFonts w:ascii="Arial" w:hAnsi="Arial" w:cs="Arial"/>
          <w:i/>
          <w:iCs/>
          <w:color w:val="222222"/>
          <w:sz w:val="20"/>
          <w:szCs w:val="20"/>
          <w:shd w:val="clear" w:color="auto" w:fill="FFFFFF"/>
        </w:rPr>
        <w:t>BER</w:t>
      </w:r>
      <w:r>
        <w:rPr>
          <w:rFonts w:ascii="Arial" w:hAnsi="Arial" w:cs="Arial"/>
          <w:i/>
          <w:iCs/>
          <w:color w:val="222222"/>
          <w:sz w:val="20"/>
          <w:szCs w:val="20"/>
          <w:shd w:val="clear" w:color="auto" w:fill="FFFFFF"/>
        </w:rPr>
        <w:t xml:space="preserve"> Macroeconomics Annual 2000</w:t>
      </w:r>
      <w:r>
        <w:rPr>
          <w:rFonts w:ascii="Arial" w:hAnsi="Arial" w:cs="Arial"/>
          <w:color w:val="222222"/>
          <w:sz w:val="20"/>
          <w:szCs w:val="20"/>
          <w:shd w:val="clear" w:color="auto" w:fill="FFFFFF"/>
        </w:rPr>
        <w:t>, 9.</w:t>
      </w:r>
    </w:p>
    <w:p w14:paraId="11D98716" w14:textId="00AA1D1A" w:rsidR="00167CED" w:rsidRDefault="00167CED">
      <w:pPr>
        <w:rPr>
          <w:rFonts w:ascii="Arial" w:hAnsi="Arial" w:cs="Arial"/>
          <w:color w:val="222222"/>
          <w:sz w:val="20"/>
          <w:szCs w:val="20"/>
          <w:shd w:val="clear" w:color="auto" w:fill="FFFFFF"/>
        </w:rPr>
      </w:pPr>
      <w:r w:rsidRPr="00167CED">
        <w:rPr>
          <w:rFonts w:ascii="Arial" w:hAnsi="Arial" w:cs="Arial"/>
          <w:color w:val="222222"/>
          <w:sz w:val="20"/>
          <w:szCs w:val="20"/>
          <w:shd w:val="clear" w:color="auto" w:fill="FFFFFF"/>
        </w:rPr>
        <w:t>https://www.journals.uchicago.edu/doi/abs/10.1086/654403</w:t>
      </w:r>
    </w:p>
    <w:p w14:paraId="6A741CD5" w14:textId="192B2020" w:rsidR="0029499F" w:rsidRDefault="0029499F">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Angrist, J. D., &amp; </w:t>
      </w:r>
      <w:proofErr w:type="spellStart"/>
      <w:r>
        <w:rPr>
          <w:rFonts w:ascii="Arial" w:hAnsi="Arial" w:cs="Arial"/>
          <w:color w:val="222222"/>
          <w:sz w:val="20"/>
          <w:szCs w:val="20"/>
          <w:shd w:val="clear" w:color="auto" w:fill="FFFFFF"/>
        </w:rPr>
        <w:t>Keueger</w:t>
      </w:r>
      <w:proofErr w:type="spellEnd"/>
      <w:r>
        <w:rPr>
          <w:rFonts w:ascii="Arial" w:hAnsi="Arial" w:cs="Arial"/>
          <w:color w:val="222222"/>
          <w:sz w:val="20"/>
          <w:szCs w:val="20"/>
          <w:shd w:val="clear" w:color="auto" w:fill="FFFFFF"/>
        </w:rPr>
        <w:t xml:space="preserve">, A. B. (1991). Does compulsory school attendance affect schooling and </w:t>
      </w:r>
      <w:proofErr w:type="gramStart"/>
      <w:r>
        <w:rPr>
          <w:rFonts w:ascii="Arial" w:hAnsi="Arial" w:cs="Arial"/>
          <w:color w:val="222222"/>
          <w:sz w:val="20"/>
          <w:szCs w:val="20"/>
          <w:shd w:val="clear" w:color="auto" w:fill="FFFFFF"/>
        </w:rPr>
        <w:t>earnings?.</w:t>
      </w:r>
      <w:proofErr w:type="gramEnd"/>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The Quarterly Journal of Economics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106</w:t>
      </w:r>
      <w:r>
        <w:rPr>
          <w:rFonts w:ascii="Arial" w:hAnsi="Arial" w:cs="Arial"/>
          <w:color w:val="222222"/>
          <w:sz w:val="20"/>
          <w:szCs w:val="20"/>
          <w:shd w:val="clear" w:color="auto" w:fill="FFFFFF"/>
        </w:rPr>
        <w:t>(4), 979-1014.</w:t>
      </w:r>
    </w:p>
    <w:p w14:paraId="267C2F83" w14:textId="77777777" w:rsidR="00167CED" w:rsidRDefault="00167CED">
      <w:pPr>
        <w:rPr>
          <w:rFonts w:ascii="Arial" w:hAnsi="Arial" w:cs="Arial"/>
          <w:color w:val="222222"/>
          <w:sz w:val="20"/>
          <w:szCs w:val="20"/>
          <w:shd w:val="clear" w:color="auto" w:fill="FFFFFF"/>
        </w:rPr>
      </w:pPr>
    </w:p>
    <w:p w14:paraId="0382F98A" w14:textId="77777777" w:rsidR="0029499F" w:rsidRDefault="0029499F">
      <w:pPr>
        <w:rPr>
          <w:rFonts w:ascii="Arial" w:hAnsi="Arial" w:cs="Arial"/>
          <w:color w:val="222222"/>
          <w:sz w:val="20"/>
          <w:szCs w:val="20"/>
          <w:shd w:val="clear" w:color="auto" w:fill="FFFFFF"/>
        </w:rPr>
      </w:pPr>
      <w:r>
        <w:rPr>
          <w:rFonts w:ascii="Arial" w:hAnsi="Arial" w:cs="Arial"/>
          <w:color w:val="222222"/>
          <w:sz w:val="20"/>
          <w:szCs w:val="20"/>
          <w:shd w:val="clear" w:color="auto" w:fill="FFFFFF"/>
        </w:rPr>
        <w:t>Ashenfelter, O., &amp; Krueger, A. (1994). Estimates of the economic return to schooling from a new sample of twins. </w:t>
      </w:r>
      <w:r>
        <w:rPr>
          <w:rFonts w:ascii="Arial" w:hAnsi="Arial" w:cs="Arial"/>
          <w:i/>
          <w:iCs/>
          <w:color w:val="222222"/>
          <w:sz w:val="20"/>
          <w:szCs w:val="20"/>
          <w:shd w:val="clear" w:color="auto" w:fill="FFFFFF"/>
        </w:rPr>
        <w:t xml:space="preserve"> American </w:t>
      </w:r>
      <w:r>
        <w:rPr>
          <w:rFonts w:ascii="Arial" w:hAnsi="Arial" w:cs="Arial"/>
          <w:i/>
          <w:iCs/>
          <w:color w:val="222222"/>
          <w:sz w:val="20"/>
          <w:szCs w:val="20"/>
          <w:shd w:val="clear" w:color="auto" w:fill="FFFFFF"/>
        </w:rPr>
        <w:t>E</w:t>
      </w:r>
      <w:r>
        <w:rPr>
          <w:rFonts w:ascii="Arial" w:hAnsi="Arial" w:cs="Arial"/>
          <w:i/>
          <w:iCs/>
          <w:color w:val="222222"/>
          <w:sz w:val="20"/>
          <w:szCs w:val="20"/>
          <w:shd w:val="clear" w:color="auto" w:fill="FFFFFF"/>
        </w:rPr>
        <w:t xml:space="preserve">conomic </w:t>
      </w:r>
      <w:r>
        <w:rPr>
          <w:rFonts w:ascii="Arial" w:hAnsi="Arial" w:cs="Arial"/>
          <w:i/>
          <w:iCs/>
          <w:color w:val="222222"/>
          <w:sz w:val="20"/>
          <w:szCs w:val="20"/>
          <w:shd w:val="clear" w:color="auto" w:fill="FFFFFF"/>
        </w:rPr>
        <w:t>R</w:t>
      </w:r>
      <w:r>
        <w:rPr>
          <w:rFonts w:ascii="Arial" w:hAnsi="Arial" w:cs="Arial"/>
          <w:i/>
          <w:iCs/>
          <w:color w:val="222222"/>
          <w:sz w:val="20"/>
          <w:szCs w:val="20"/>
          <w:shd w:val="clear" w:color="auto" w:fill="FFFFFF"/>
        </w:rPr>
        <w:t>eview</w:t>
      </w:r>
      <w:r>
        <w:rPr>
          <w:rFonts w:ascii="Arial" w:hAnsi="Arial" w:cs="Arial"/>
          <w:color w:val="222222"/>
          <w:sz w:val="20"/>
          <w:szCs w:val="20"/>
          <w:shd w:val="clear" w:color="auto" w:fill="FFFFFF"/>
        </w:rPr>
        <w:t>, 1157-1173.</w:t>
      </w:r>
    </w:p>
    <w:p w14:paraId="52ABD4A9" w14:textId="77777777" w:rsidR="0029499F" w:rsidRDefault="0029499F">
      <w:r>
        <w:rPr>
          <w:rFonts w:ascii="Arial" w:hAnsi="Arial" w:cs="Arial"/>
          <w:color w:val="222222"/>
          <w:sz w:val="20"/>
          <w:szCs w:val="20"/>
          <w:shd w:val="clear" w:color="auto" w:fill="FFFFFF"/>
        </w:rPr>
        <w:t xml:space="preserve">Black, S. E., Devereux, P. J., &amp; </w:t>
      </w:r>
      <w:proofErr w:type="spellStart"/>
      <w:r>
        <w:rPr>
          <w:rFonts w:ascii="Arial" w:hAnsi="Arial" w:cs="Arial"/>
          <w:color w:val="222222"/>
          <w:sz w:val="20"/>
          <w:szCs w:val="20"/>
          <w:shd w:val="clear" w:color="auto" w:fill="FFFFFF"/>
        </w:rPr>
        <w:t>Salvanes</w:t>
      </w:r>
      <w:proofErr w:type="spellEnd"/>
      <w:r>
        <w:rPr>
          <w:rFonts w:ascii="Arial" w:hAnsi="Arial" w:cs="Arial"/>
          <w:color w:val="222222"/>
          <w:sz w:val="20"/>
          <w:szCs w:val="20"/>
          <w:shd w:val="clear" w:color="auto" w:fill="FFFFFF"/>
        </w:rPr>
        <w:t>, K. G. (2005). Why the Apple Doesn't Fall Far: Understanding Intergenerational Transmission of Human Capital. </w:t>
      </w:r>
      <w:r>
        <w:rPr>
          <w:rFonts w:ascii="Arial" w:hAnsi="Arial" w:cs="Arial"/>
          <w:i/>
          <w:iCs/>
          <w:color w:val="222222"/>
          <w:sz w:val="20"/>
          <w:szCs w:val="20"/>
          <w:shd w:val="clear" w:color="auto" w:fill="FFFFFF"/>
        </w:rPr>
        <w:t xml:space="preserve"> American Economic Review</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95</w:t>
      </w:r>
      <w:r>
        <w:rPr>
          <w:rFonts w:ascii="Arial" w:hAnsi="Arial" w:cs="Arial"/>
          <w:color w:val="222222"/>
          <w:sz w:val="20"/>
          <w:szCs w:val="20"/>
          <w:shd w:val="clear" w:color="auto" w:fill="FFFFFF"/>
        </w:rPr>
        <w:t>(1), 437-449.</w:t>
      </w:r>
    </w:p>
    <w:p w14:paraId="250A33B5" w14:textId="77777777" w:rsidR="0029499F" w:rsidRDefault="0029499F">
      <w:pPr>
        <w:rPr>
          <w:rFonts w:ascii="Arial" w:hAnsi="Arial" w:cs="Arial"/>
          <w:color w:val="222222"/>
          <w:sz w:val="20"/>
          <w:szCs w:val="20"/>
          <w:shd w:val="clear" w:color="auto" w:fill="FFFFFF"/>
        </w:rPr>
      </w:pPr>
      <w:r>
        <w:rPr>
          <w:rFonts w:ascii="Arial" w:hAnsi="Arial" w:cs="Arial"/>
          <w:color w:val="222222"/>
          <w:sz w:val="20"/>
          <w:szCs w:val="20"/>
          <w:shd w:val="clear" w:color="auto" w:fill="FFFFFF"/>
        </w:rPr>
        <w:lastRenderedPageBreak/>
        <w:t>Card, D. (1993). </w:t>
      </w:r>
      <w:r>
        <w:rPr>
          <w:rFonts w:ascii="Arial" w:hAnsi="Arial" w:cs="Arial"/>
          <w:i/>
          <w:iCs/>
          <w:color w:val="222222"/>
          <w:sz w:val="20"/>
          <w:szCs w:val="20"/>
          <w:shd w:val="clear" w:color="auto" w:fill="FFFFFF"/>
        </w:rPr>
        <w:t>Using Geographic Variation in College Proximity to Estimate the Return to Schooling</w:t>
      </w:r>
      <w:r>
        <w:rPr>
          <w:rFonts w:ascii="Arial" w:hAnsi="Arial" w:cs="Arial"/>
          <w:color w:val="222222"/>
          <w:sz w:val="20"/>
          <w:szCs w:val="20"/>
          <w:shd w:val="clear" w:color="auto" w:fill="FFFFFF"/>
        </w:rPr>
        <w:t> (No. w4483). National Bureau of Economic Research.</w:t>
      </w:r>
    </w:p>
    <w:p w14:paraId="136E7834" w14:textId="77777777" w:rsidR="0029499F" w:rsidRDefault="0029499F">
      <w:pPr>
        <w:rPr>
          <w:rFonts w:ascii="Arial" w:hAnsi="Arial" w:cs="Arial"/>
          <w:color w:val="222222"/>
          <w:sz w:val="20"/>
          <w:szCs w:val="20"/>
          <w:shd w:val="clear" w:color="auto" w:fill="FFFFFF"/>
        </w:rPr>
      </w:pPr>
      <w:r>
        <w:rPr>
          <w:rFonts w:ascii="Arial" w:hAnsi="Arial" w:cs="Arial"/>
          <w:color w:val="222222"/>
          <w:sz w:val="20"/>
          <w:szCs w:val="20"/>
          <w:shd w:val="clear" w:color="auto" w:fill="FFFFFF"/>
        </w:rPr>
        <w:t>Devereux, P. J., &amp; Hart, R. A. (2010). Forced to be rich? Returns to compulsory schooling in Britain. </w:t>
      </w:r>
      <w:r>
        <w:rPr>
          <w:rFonts w:ascii="Arial" w:hAnsi="Arial" w:cs="Arial"/>
          <w:i/>
          <w:iCs/>
          <w:color w:val="222222"/>
          <w:sz w:val="20"/>
          <w:szCs w:val="20"/>
          <w:shd w:val="clear" w:color="auto" w:fill="FFFFFF"/>
        </w:rPr>
        <w:t>The Economic Journal</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120</w:t>
      </w:r>
      <w:r>
        <w:rPr>
          <w:rFonts w:ascii="Arial" w:hAnsi="Arial" w:cs="Arial"/>
          <w:color w:val="222222"/>
          <w:sz w:val="20"/>
          <w:szCs w:val="20"/>
          <w:shd w:val="clear" w:color="auto" w:fill="FFFFFF"/>
        </w:rPr>
        <w:t>(549), 1345-1364.</w:t>
      </w:r>
    </w:p>
    <w:p w14:paraId="10062761" w14:textId="77777777" w:rsidR="0029499F" w:rsidRDefault="0029499F">
      <w:pPr>
        <w:rPr>
          <w:rFonts w:ascii="Arial" w:hAnsi="Arial" w:cs="Arial"/>
          <w:color w:val="222222"/>
          <w:sz w:val="20"/>
          <w:szCs w:val="20"/>
          <w:shd w:val="clear" w:color="auto" w:fill="FFFFFF"/>
        </w:rPr>
      </w:pPr>
      <w:r>
        <w:rPr>
          <w:rFonts w:ascii="Arial" w:hAnsi="Arial" w:cs="Arial"/>
          <w:color w:val="222222"/>
          <w:sz w:val="20"/>
          <w:szCs w:val="20"/>
          <w:shd w:val="clear" w:color="auto" w:fill="FFFFFF"/>
        </w:rPr>
        <w:t>Grenet, J. (2013). Is extending compulsory schooling alone enough to raise earnings? Evidence from French and British compulsory schooling laws. </w:t>
      </w:r>
      <w:r>
        <w:rPr>
          <w:rFonts w:ascii="Arial" w:hAnsi="Arial" w:cs="Arial"/>
          <w:i/>
          <w:iCs/>
          <w:color w:val="222222"/>
          <w:sz w:val="20"/>
          <w:szCs w:val="20"/>
          <w:shd w:val="clear" w:color="auto" w:fill="FFFFFF"/>
        </w:rPr>
        <w:t>The Scandinavian Journal of Economics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115</w:t>
      </w:r>
      <w:r>
        <w:rPr>
          <w:rFonts w:ascii="Arial" w:hAnsi="Arial" w:cs="Arial"/>
          <w:color w:val="222222"/>
          <w:sz w:val="20"/>
          <w:szCs w:val="20"/>
          <w:shd w:val="clear" w:color="auto" w:fill="FFFFFF"/>
        </w:rPr>
        <w:t>(1), 176-210.</w:t>
      </w:r>
    </w:p>
    <w:p w14:paraId="57216876" w14:textId="77777777" w:rsidR="0029499F" w:rsidRDefault="0029499F">
      <w:pPr>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Kleibergen</w:t>
      </w:r>
      <w:proofErr w:type="spellEnd"/>
      <w:r>
        <w:rPr>
          <w:rFonts w:ascii="Arial" w:hAnsi="Arial" w:cs="Arial"/>
          <w:color w:val="222222"/>
          <w:sz w:val="20"/>
          <w:szCs w:val="20"/>
          <w:shd w:val="clear" w:color="auto" w:fill="FFFFFF"/>
        </w:rPr>
        <w:t>, F. R., &amp; Paap, R. (2006). Generalized Reduced Rank Tests using the Singular Value Decomposition. </w:t>
      </w:r>
      <w:r>
        <w:rPr>
          <w:rFonts w:ascii="Arial" w:hAnsi="Arial" w:cs="Arial"/>
          <w:i/>
          <w:iCs/>
          <w:color w:val="222222"/>
          <w:sz w:val="20"/>
          <w:szCs w:val="20"/>
          <w:shd w:val="clear" w:color="auto" w:fill="FFFFFF"/>
        </w:rPr>
        <w:t>Journal of Econometrics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133</w:t>
      </w:r>
      <w:r>
        <w:rPr>
          <w:rFonts w:ascii="Arial" w:hAnsi="Arial" w:cs="Arial"/>
          <w:color w:val="222222"/>
          <w:sz w:val="20"/>
          <w:szCs w:val="20"/>
          <w:shd w:val="clear" w:color="auto" w:fill="FFFFFF"/>
        </w:rPr>
        <w:t>(1), 97-126.</w:t>
      </w:r>
    </w:p>
    <w:p w14:paraId="37B167DC" w14:textId="77777777" w:rsidR="0029499F" w:rsidRDefault="0029499F">
      <w:pPr>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Oreopoulos</w:t>
      </w:r>
      <w:proofErr w:type="spellEnd"/>
      <w:r>
        <w:rPr>
          <w:rFonts w:ascii="Arial" w:hAnsi="Arial" w:cs="Arial"/>
          <w:color w:val="222222"/>
          <w:sz w:val="20"/>
          <w:szCs w:val="20"/>
          <w:shd w:val="clear" w:color="auto" w:fill="FFFFFF"/>
        </w:rPr>
        <w:t>, P. (2006). Estimating average and local average treatment effects of education when compulsory schooling laws really matter. </w:t>
      </w:r>
      <w:r>
        <w:rPr>
          <w:rFonts w:ascii="Arial" w:hAnsi="Arial" w:cs="Arial"/>
          <w:i/>
          <w:iCs/>
          <w:color w:val="222222"/>
          <w:sz w:val="20"/>
          <w:szCs w:val="20"/>
          <w:shd w:val="clear" w:color="auto" w:fill="FFFFFF"/>
        </w:rPr>
        <w:t>American Economic Review</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96</w:t>
      </w:r>
      <w:r>
        <w:rPr>
          <w:rFonts w:ascii="Arial" w:hAnsi="Arial" w:cs="Arial"/>
          <w:color w:val="222222"/>
          <w:sz w:val="20"/>
          <w:szCs w:val="20"/>
          <w:shd w:val="clear" w:color="auto" w:fill="FFFFFF"/>
        </w:rPr>
        <w:t>(1), 152-175.</w:t>
      </w:r>
    </w:p>
    <w:p w14:paraId="2BEA3977" w14:textId="77777777" w:rsidR="0029499F" w:rsidRDefault="0029499F">
      <w:pPr>
        <w:rPr>
          <w:rFonts w:ascii="Arial" w:hAnsi="Arial" w:cs="Arial"/>
          <w:color w:val="222222"/>
          <w:sz w:val="20"/>
          <w:szCs w:val="20"/>
          <w:shd w:val="clear" w:color="auto" w:fill="FFFFFF"/>
        </w:rPr>
      </w:pPr>
      <w:r>
        <w:rPr>
          <w:rFonts w:ascii="Arial" w:hAnsi="Arial" w:cs="Arial"/>
          <w:color w:val="222222"/>
          <w:sz w:val="20"/>
          <w:szCs w:val="20"/>
          <w:shd w:val="clear" w:color="auto" w:fill="FFFFFF"/>
        </w:rPr>
        <w:t>Pischke, J. S., &amp; Von Wachter, T. (2008). Zero returns to compulsory schooling in Germany: Evidence and interpretation. </w:t>
      </w:r>
      <w:r>
        <w:rPr>
          <w:rFonts w:ascii="Arial" w:hAnsi="Arial" w:cs="Arial"/>
          <w:i/>
          <w:iCs/>
          <w:color w:val="222222"/>
          <w:sz w:val="20"/>
          <w:szCs w:val="20"/>
          <w:shd w:val="clear" w:color="auto" w:fill="FFFFFF"/>
        </w:rPr>
        <w:t>The Review of Economics and Statistics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90</w:t>
      </w:r>
      <w:r>
        <w:rPr>
          <w:rFonts w:ascii="Arial" w:hAnsi="Arial" w:cs="Arial"/>
          <w:color w:val="222222"/>
          <w:sz w:val="20"/>
          <w:szCs w:val="20"/>
          <w:shd w:val="clear" w:color="auto" w:fill="FFFFFF"/>
        </w:rPr>
        <w:t>(3), 592-598.</w:t>
      </w:r>
    </w:p>
    <w:p w14:paraId="53AB5C33" w14:textId="77777777" w:rsidR="0029499F" w:rsidRDefault="0029499F">
      <w:pPr>
        <w:rPr>
          <w:rFonts w:ascii="Arial" w:hAnsi="Arial" w:cs="Arial"/>
          <w:color w:val="222222"/>
          <w:sz w:val="20"/>
          <w:szCs w:val="20"/>
          <w:shd w:val="clear" w:color="auto" w:fill="FFFFFF"/>
        </w:rPr>
      </w:pPr>
      <w:r>
        <w:rPr>
          <w:rFonts w:ascii="Arial" w:hAnsi="Arial" w:cs="Arial"/>
          <w:color w:val="222222"/>
          <w:sz w:val="20"/>
          <w:szCs w:val="20"/>
          <w:shd w:val="clear" w:color="auto" w:fill="FFFFFF"/>
        </w:rPr>
        <w:t>Stock, J. H., Wright, J. H., &amp; Yogo, M. (2002). A survey of weak instruments and weak identification in generalized method of moments. </w:t>
      </w:r>
      <w:r>
        <w:rPr>
          <w:rFonts w:ascii="Arial" w:hAnsi="Arial" w:cs="Arial"/>
          <w:i/>
          <w:iCs/>
          <w:color w:val="222222"/>
          <w:sz w:val="20"/>
          <w:szCs w:val="20"/>
          <w:shd w:val="clear" w:color="auto" w:fill="FFFFFF"/>
        </w:rPr>
        <w:t>Journal of Business &amp; Economic Statistics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20</w:t>
      </w:r>
      <w:r>
        <w:rPr>
          <w:rFonts w:ascii="Arial" w:hAnsi="Arial" w:cs="Arial"/>
          <w:color w:val="222222"/>
          <w:sz w:val="20"/>
          <w:szCs w:val="20"/>
          <w:shd w:val="clear" w:color="auto" w:fill="FFFFFF"/>
        </w:rPr>
        <w:t>(4), 518-529.</w:t>
      </w:r>
    </w:p>
    <w:sectPr w:rsidR="002949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31711"/>
    <w:multiLevelType w:val="hybridMultilevel"/>
    <w:tmpl w:val="534E33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BEB"/>
    <w:rsid w:val="00034F7A"/>
    <w:rsid w:val="00167CED"/>
    <w:rsid w:val="0029499F"/>
    <w:rsid w:val="003D2A1F"/>
    <w:rsid w:val="00524BEB"/>
    <w:rsid w:val="005F6FB2"/>
    <w:rsid w:val="0061633C"/>
    <w:rsid w:val="007675B0"/>
    <w:rsid w:val="00803235"/>
    <w:rsid w:val="00953CEB"/>
    <w:rsid w:val="00A1312A"/>
    <w:rsid w:val="00DD4A8C"/>
    <w:rsid w:val="00E74C37"/>
    <w:rsid w:val="00E901F1"/>
    <w:rsid w:val="00EB1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B31A5"/>
  <w15:chartTrackingRefBased/>
  <w15:docId w15:val="{F1BE0C6B-E819-474A-ABBC-ABA32DDD5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901F1"/>
    <w:rPr>
      <w:color w:val="0000FF"/>
      <w:u w:val="single"/>
    </w:rPr>
  </w:style>
  <w:style w:type="paragraph" w:styleId="ListParagraph">
    <w:name w:val="List Paragraph"/>
    <w:basedOn w:val="Normal"/>
    <w:uiPriority w:val="34"/>
    <w:qFormat/>
    <w:rsid w:val="00A1312A"/>
    <w:pPr>
      <w:ind w:left="720"/>
      <w:contextualSpacing/>
    </w:pPr>
  </w:style>
  <w:style w:type="character" w:styleId="UnresolvedMention">
    <w:name w:val="Unresolved Mention"/>
    <w:basedOn w:val="DefaultParagraphFont"/>
    <w:uiPriority w:val="99"/>
    <w:semiHidden/>
    <w:unhideWhenUsed/>
    <w:rsid w:val="00167C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4</Pages>
  <Words>1171</Words>
  <Characters>6677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Dimitrios Argyros</dc:creator>
  <cp:keywords/>
  <dc:description/>
  <cp:lastModifiedBy>Dimitrios Argyros</cp:lastModifiedBy>
  <cp:revision>5</cp:revision>
  <dcterms:created xsi:type="dcterms:W3CDTF">2021-02-05T16:49:00Z</dcterms:created>
  <dcterms:modified xsi:type="dcterms:W3CDTF">2021-02-05T19:22:00Z</dcterms:modified>
</cp:coreProperties>
</file>