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Times New Roman" w:cs="Times New Roman" w:eastAsia="Times New Roman" w:hAnsi="Times New Roman"/>
          <w:b w:val="1"/>
          <w:bCs w:val="1"/>
          <w:color w:val="000000"/>
          <w:sz w:val="36"/>
          <w:szCs w:val="36"/>
          <w:rtl w:val="0"/>
        </w:rPr>
        <w:t xml:space="preserve">Analisi di Threat Intelligence e Indicatori di Compromissione in Ambiente di Laboratorio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i w:val="1"/>
          <w:iCs w:val="1"/>
          <w:color w:val="000000"/>
          <w:sz w:val="28"/>
          <w:szCs w:val="28"/>
          <w:rtl w:val="0"/>
        </w:rPr>
        <w:t xml:space="preserve">Studio del Traffico di Ricognizione e Scansione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2"/>
          <w:szCs w:val="22"/>
          <w:rtl w:val="0"/>
        </w:rPr>
        <w:t xml:space="preserve">Relazione di Laboratorio – Esercitazione di Ethical Hacking</w:t>
        <w:br w:type="textWrapping"/>
        <w:t xml:space="preserve">Data: 7 agosto 2026</w:t>
        <w:br w:type="textWrapping"/>
        <w:t xml:space="preserve">Ambiente: Laboratorio Virtuale Isolato (VirtualBox)</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Times New Roman" w:cs="Times New Roman" w:eastAsia="Times New Roman" w:hAnsi="Times New Roman"/>
          <w:color w:val="000000"/>
          <w:rtl w:val="0"/>
        </w:rPr>
        <w:t xml:space="preserve">1. Introduzione</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Times New Roman" w:cs="Times New Roman" w:eastAsia="Times New Roman" w:hAnsi="Times New Roman"/>
          <w:color w:val="000000"/>
          <w:rtl w:val="0"/>
        </w:rPr>
        <w:t xml:space="preserve">1.1 Contesto e Finalità Didattiche</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Fonts w:ascii="Times New Roman" w:cs="Times New Roman" w:eastAsia="Times New Roman" w:hAnsi="Times New Roman"/>
          <w:sz w:val="24"/>
          <w:szCs w:val="24"/>
          <w:rtl w:val="0"/>
        </w:rPr>
        <w:t xml:space="preserve">Nel campo della cybersecurity, la Threat Intelligence rappresenta una disciplina fondamentale per la prevenzione e il rilevamento delle minacce. Gli Indicatori di Compromissione (IOC — </w:t>
      </w:r>
      <w:r w:rsidDel="00000000" w:rsidR="00000000" w:rsidRPr="00000000">
        <w:rPr>
          <w:rFonts w:ascii="Times New Roman" w:cs="Times New Roman" w:eastAsia="Times New Roman" w:hAnsi="Times New Roman"/>
          <w:i w:val="1"/>
          <w:iCs w:val="1"/>
          <w:sz w:val="24"/>
          <w:szCs w:val="24"/>
          <w:rtl w:val="0"/>
        </w:rPr>
        <w:t xml:space="preserve">Indicators of Compromise</w:t>
      </w:r>
      <w:r w:rsidDel="00000000" w:rsidR="00000000" w:rsidRPr="00000000">
        <w:rPr>
          <w:rFonts w:ascii="Times New Roman" w:cs="Times New Roman" w:eastAsia="Times New Roman" w:hAnsi="Times New Roman"/>
          <w:sz w:val="24"/>
          <w:szCs w:val="24"/>
          <w:rtl w:val="0"/>
        </w:rPr>
        <w:t xml:space="preserve">) costituiscono gli artefatti tecnici che, opportunamente analizzati, consentono di identificare attività sospette o malevole all'interno di un sistema o di una rete. Il riconoscimento tempestivo di tali indicatori è prerequisito essenziale per l'attivazione di protocolli di incident response e per la messa in sicurezza delle infrastrutture informatiche.</w:t>
      </w: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Fonts w:ascii="Times New Roman" w:cs="Times New Roman" w:eastAsia="Times New Roman" w:hAnsi="Times New Roman"/>
          <w:sz w:val="24"/>
          <w:szCs w:val="24"/>
          <w:rtl w:val="0"/>
        </w:rPr>
        <w:t xml:space="preserve">Il presente elaborato ha lo scopo di documentare, con rigore metodologico e formalismo accademico, l'esercitazione pratica condotta nel corso del modulo dedicato alla Threat Intelligence e agli IOC. L'obiettivo didattico consiste nell'analizzare una cattura di rete al fine di: (1) individuare eventuali evidenze di attività anomale; (2) formulare ipotesi sui vettori di attacco potenzialmente impiegabili; (3) proporre azioni correttive e preventive per la riduzione dell'impatto di attacchi attuali e futuri.</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Fonts w:ascii="Times New Roman" w:cs="Times New Roman" w:eastAsia="Times New Roman" w:hAnsi="Times New Roman"/>
          <w:color w:val="000000"/>
          <w:rtl w:val="0"/>
        </w:rPr>
        <w:t xml:space="preserve">1.2 Struttura del Documento</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 relazione è articolata come segue. Il §2 descrive lo scenario sperimentale e l'architettura del laboratorio. Il §3 illustra la metodologia di analisi adottata. I §4 e §5 presentano, rispettivamente, i risultati della fase di ricognizione passiva e della fase di scansione attiva, con l'individuazione degli IOC. Il §6 propone un'analisi approfondita dei rischi associati e delle relative contromisure. Il §7 conclude il lavoro con considerazioni finali e lezioni apprese.</w:t>
      </w:r>
    </w:p>
    <w:p w:rsidR="00000000" w:rsidDel="00000000" w:rsidP="00000000" w:rsidRDefault="00000000" w:rsidRPr="00000000" w14:paraId="0000000C">
      <w:pPr>
        <w:pStyle w:val="Heading2"/>
        <w:rPr/>
      </w:pPr>
      <w:r w:rsidDel="00000000" w:rsidR="00000000" w:rsidRPr="00000000">
        <w:rPr>
          <w:rFonts w:ascii="Times New Roman" w:cs="Times New Roman" w:eastAsia="Times New Roman" w:hAnsi="Times New Roman"/>
          <w:color w:val="000000"/>
          <w:rtl w:val="0"/>
        </w:rPr>
        <w:t xml:space="preserve">1.3 Disclaimer Etico e Legale</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Si precisa, sin da ora, che l'intera attività descritta nel presente documento è stata condotta esclusivamente in ambiente di laboratorio virtuale, isolato da qualsiasi rete di produzione, e nel rispetto dei principi dell'ethical hacking. Le tecniche di scansione e di analisi del traffico sono state applicate su sistemi di proprietà dell'autore e dedicati alla formazione accademica, senza alcun intento di accesso non autorizzato a sistemi di terzi. Il documento è redatto a fini puramente didattici e di ricerca.</w:t>
      </w:r>
    </w:p>
    <w:p w:rsidR="00000000" w:rsidDel="00000000" w:rsidP="00000000" w:rsidRDefault="00000000" w:rsidRPr="00000000" w14:paraId="0000000E">
      <w:pPr>
        <w:pStyle w:val="Heading1"/>
        <w:rPr/>
      </w:pPr>
      <w:r w:rsidDel="00000000" w:rsidR="00000000" w:rsidRPr="00000000">
        <w:rPr>
          <w:rFonts w:ascii="Times New Roman" w:cs="Times New Roman" w:eastAsia="Times New Roman" w:hAnsi="Times New Roman"/>
          <w:color w:val="000000"/>
          <w:rtl w:val="0"/>
        </w:rPr>
        <w:t xml:space="preserve">2. Scenario Sperimentale e Architettura del Laboratorio</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Times New Roman" w:cs="Times New Roman" w:eastAsia="Times New Roman" w:hAnsi="Times New Roman"/>
          <w:color w:val="000000"/>
          <w:rtl w:val="0"/>
        </w:rPr>
        <w:t xml:space="preserve">2.1 Descrizione dell'Ambiente Controllato</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L'esercitazione è stata condotta all'interno di un ambiente virtualizzato, realizzato mediante l'impiego di Oracle VirtualBox. L'infrastruttura è stata progettata per simulare uno scenario realistico di analisi di rete, garantendo al contempo l'isolamento totale dal contesto esterno. La comunicazione tra le macchine virtuali è avvenuta attraverso un'interfaccia di rete interna, configurata in modalità host-only, al fine di prevenire fughe di traffico verso la rete fisica dell'host.</w:t>
      </w:r>
    </w:p>
    <w:p w:rsidR="00000000" w:rsidDel="00000000" w:rsidP="00000000" w:rsidRDefault="00000000" w:rsidRPr="00000000" w14:paraId="00000011">
      <w:pPr>
        <w:pStyle w:val="Heading2"/>
        <w:rPr/>
      </w:pPr>
      <w:r w:rsidDel="00000000" w:rsidR="00000000" w:rsidRPr="00000000">
        <w:rPr>
          <w:rFonts w:ascii="Times New Roman" w:cs="Times New Roman" w:eastAsia="Times New Roman" w:hAnsi="Times New Roman"/>
          <w:color w:val="000000"/>
          <w:rtl w:val="0"/>
        </w:rPr>
        <w:t xml:space="preserve">2.2 Asset Coinvolti</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Nella tabella seguente sono riepilogati i sistemi impiegati durante l'esercitazione, con le relative funzioni e configurazioni di rete.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2"/>
                <w:szCs w:val="22"/>
                <w:rtl w:val="0"/>
              </w:rPr>
              <w:t xml:space="preserve">Indirizzo IP</w:t>
            </w:r>
            <w:r w:rsidDel="00000000" w:rsidR="00000000" w:rsidRPr="00000000">
              <w:rPr>
                <w:rtl w:val="0"/>
              </w:rPr>
            </w:r>
          </w:p>
        </w:tc>
        <w:tc>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bCs w:val="1"/>
                <w:sz w:val="22"/>
                <w:szCs w:val="22"/>
                <w:rtl w:val="0"/>
              </w:rPr>
              <w:t xml:space="preserve">Ruolo</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sz w:val="22"/>
                <w:szCs w:val="22"/>
                <w:rtl w:val="0"/>
              </w:rPr>
              <w:t xml:space="preserve">Sistema Operativo / Software</w:t>
            </w:r>
            <w:r w:rsidDel="00000000" w:rsidR="00000000" w:rsidRPr="00000000">
              <w:rPr>
                <w:rtl w:val="0"/>
              </w:rPr>
            </w:r>
          </w:p>
        </w:tc>
        <w:tc>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sz w:val="22"/>
                <w:szCs w:val="22"/>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2"/>
                <w:szCs w:val="22"/>
                <w:rtl w:val="0"/>
              </w:rPr>
              <w:t xml:space="preserve">192.168.50.100</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2"/>
                <w:szCs w:val="22"/>
                <w:rtl w:val="0"/>
              </w:rPr>
              <w:t xml:space="preserve">Macchina Attaccante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2"/>
                <w:szCs w:val="22"/>
                <w:rtl w:val="0"/>
              </w:rPr>
              <w:t xml:space="preserve">Kali Linux (Nmap 7.99)</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2"/>
                <w:szCs w:val="22"/>
                <w:rtl w:val="0"/>
              </w:rPr>
              <w:t xml:space="preserve">Utilizzata per le scansioni di rete</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2"/>
                <w:szCs w:val="22"/>
                <w:rtl w:val="0"/>
              </w:rPr>
              <w:t xml:space="preserve">192.168.50.150</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2"/>
                <w:szCs w:val="22"/>
                <w:rtl w:val="0"/>
              </w:rPr>
              <w:t xml:space="preserve">Macchina Target</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2"/>
                <w:szCs w:val="22"/>
                <w:rtl w:val="0"/>
              </w:rPr>
              <w:t xml:space="preserve">Metasploitable (Samba 3.0.20-Debian)</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2"/>
                <w:szCs w:val="22"/>
                <w:rtl w:val="0"/>
              </w:rPr>
              <w:t xml:space="preserve">Sistema vulnerabile per scopi didattici</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2"/>
                <w:szCs w:val="22"/>
                <w:rtl w:val="0"/>
              </w:rPr>
              <w:t xml:space="preserve">192.168.200.100</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2"/>
                <w:szCs w:val="22"/>
                <w:rtl w:val="0"/>
              </w:rPr>
              <w:t xml:space="preserve">Macchina Attaccante (sessione alternativa)</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2"/>
                <w:szCs w:val="22"/>
                <w:rtl w:val="0"/>
              </w:rPr>
              <w:t xml:space="preserve">Kali Linux</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2"/>
                <w:szCs w:val="22"/>
                <w:rtl w:val="0"/>
              </w:rPr>
              <w:t xml:space="preserve">Cattura in subnet diversa per analisi comparativa</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2"/>
                <w:szCs w:val="22"/>
                <w:rtl w:val="0"/>
              </w:rPr>
              <w:t xml:space="preserve">192.168.200.150</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2"/>
                <w:szCs w:val="22"/>
                <w:rtl w:val="0"/>
              </w:rPr>
              <w:t xml:space="preserve">Macchina Target (sessione alternativa)</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2"/>
                <w:szCs w:val="22"/>
                <w:rtl w:val="0"/>
              </w:rPr>
              <w:t xml:space="preserve">Metasploitable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2"/>
                <w:szCs w:val="22"/>
                <w:rtl w:val="0"/>
              </w:rPr>
              <w:t xml:space="preserve">Oggetto della cattura Wireshark fornita</w:t>
            </w:r>
            <w:r w:rsidDel="00000000" w:rsidR="00000000" w:rsidRPr="00000000">
              <w:rPr>
                <w:rtl w:val="0"/>
              </w:rPr>
            </w:r>
          </w:p>
        </w:tc>
      </w:tr>
    </w:tbl>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i w:val="1"/>
          <w:iCs w:val="1"/>
          <w:sz w:val="20"/>
          <w:szCs w:val="20"/>
          <w:rtl w:val="0"/>
        </w:rPr>
        <w:t xml:space="preserve">Tabella 1 — Asset dell'infrastruttura di laboratorio</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Si evidenzia che gli indirizzi IP rientrano nelle classi private definite dalla RFC 1918, coerentemente con le best practice per la realizzazione di ambienti di test.</w:t>
      </w:r>
    </w:p>
    <w:p w:rsidR="00000000" w:rsidDel="00000000" w:rsidP="00000000" w:rsidRDefault="00000000" w:rsidRPr="00000000" w14:paraId="00000029">
      <w:pPr>
        <w:pStyle w:val="Heading1"/>
        <w:rPr/>
      </w:pPr>
      <w:r w:rsidDel="00000000" w:rsidR="00000000" w:rsidRPr="00000000">
        <w:rPr>
          <w:rFonts w:ascii="Times New Roman" w:cs="Times New Roman" w:eastAsia="Times New Roman" w:hAnsi="Times New Roman"/>
          <w:color w:val="000000"/>
          <w:rtl w:val="0"/>
        </w:rPr>
        <w:t xml:space="preserve">3. Metodologia di Analisi</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Times New Roman" w:cs="Times New Roman" w:eastAsia="Times New Roman" w:hAnsi="Times New Roman"/>
          <w:color w:val="000000"/>
          <w:rtl w:val="0"/>
        </w:rPr>
        <w:t xml:space="preserve">3.1 Framework di Threat Intelligence</w:t>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Times New Roman" w:cs="Times New Roman" w:eastAsia="Times New Roman" w:hAnsi="Times New Roman"/>
          <w:sz w:val="24"/>
          <w:szCs w:val="24"/>
          <w:rtl w:val="0"/>
        </w:rPr>
        <w:t xml:space="preserve">L'approccio investigativo adottato si ispira al ciclo di intelligence della cybersecurity, articolato nelle fasi di raccolta, elaborazione, analisi e disseminazione. In particolare, l'indagine si è concentrata sulla ricerca di artefatti riconducibili alla fase iniziale della kill chain: la </w:t>
      </w:r>
      <w:r w:rsidDel="00000000" w:rsidR="00000000" w:rsidRPr="00000000">
        <w:rPr>
          <w:rFonts w:ascii="Times New Roman" w:cs="Times New Roman" w:eastAsia="Times New Roman" w:hAnsi="Times New Roman"/>
          <w:i w:val="1"/>
          <w:iCs w:val="1"/>
          <w:sz w:val="24"/>
          <w:szCs w:val="24"/>
          <w:rtl w:val="0"/>
        </w:rPr>
        <w:t xml:space="preserve">ricognizione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Reconnaissance</w:t>
      </w:r>
      <w:r w:rsidDel="00000000" w:rsidR="00000000" w:rsidRPr="00000000">
        <w:rPr>
          <w:rFonts w:ascii="Times New Roman" w:cs="Times New Roman" w:eastAsia="Times New Roman" w:hAnsi="Times New Roman"/>
          <w:sz w:val="24"/>
          <w:szCs w:val="24"/>
          <w:rtl w:val="0"/>
        </w:rPr>
        <w:t xml:space="preserve">), suddivisa in: (1) </w:t>
      </w:r>
      <w:r w:rsidDel="00000000" w:rsidR="00000000" w:rsidRPr="00000000">
        <w:rPr>
          <w:rFonts w:ascii="Times New Roman" w:cs="Times New Roman" w:eastAsia="Times New Roman" w:hAnsi="Times New Roman"/>
          <w:i w:val="1"/>
          <w:iCs w:val="1"/>
          <w:sz w:val="24"/>
          <w:szCs w:val="24"/>
          <w:rtl w:val="0"/>
        </w:rPr>
        <w:t xml:space="preserve">ricognizione passiva</w:t>
      </w:r>
      <w:r w:rsidDel="00000000" w:rsidR="00000000" w:rsidRPr="00000000">
        <w:rPr>
          <w:rFonts w:ascii="Times New Roman" w:cs="Times New Roman" w:eastAsia="Times New Roman" w:hAnsi="Times New Roman"/>
          <w:sz w:val="24"/>
          <w:szCs w:val="24"/>
          <w:rtl w:val="0"/>
        </w:rPr>
        <w:t xml:space="preserve">: raccolta di informazioni senza interazione diretta con il target; (2) </w:t>
      </w:r>
      <w:r w:rsidDel="00000000" w:rsidR="00000000" w:rsidRPr="00000000">
        <w:rPr>
          <w:rFonts w:ascii="Times New Roman" w:cs="Times New Roman" w:eastAsia="Times New Roman" w:hAnsi="Times New Roman"/>
          <w:i w:val="1"/>
          <w:iCs w:val="1"/>
          <w:sz w:val="24"/>
          <w:szCs w:val="24"/>
          <w:rtl w:val="0"/>
        </w:rPr>
        <w:t xml:space="preserve">ricognizione attiva</w:t>
      </w:r>
      <w:r w:rsidDel="00000000" w:rsidR="00000000" w:rsidRPr="00000000">
        <w:rPr>
          <w:rFonts w:ascii="Times New Roman" w:cs="Times New Roman" w:eastAsia="Times New Roman" w:hAnsi="Times New Roman"/>
          <w:sz w:val="24"/>
          <w:szCs w:val="24"/>
          <w:rtl w:val="0"/>
        </w:rPr>
        <w:t xml:space="preserve">: interazione diretta con il target per l'enumerazione di servizi e vulnerabilità.</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Times New Roman" w:cs="Times New Roman" w:eastAsia="Times New Roman" w:hAnsi="Times New Roman"/>
          <w:color w:val="000000"/>
          <w:rtl w:val="0"/>
        </w:rPr>
        <w:t xml:space="preserve">3.2 Strumenti Utilizzati</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Gli strumenti impiegati durante l'esercitazione sono elencati di seguito:</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1"/>
                <w:bCs w:val="1"/>
                <w:sz w:val="22"/>
                <w:szCs w:val="22"/>
                <w:rtl w:val="0"/>
              </w:rPr>
              <w:t xml:space="preserve">Strumento</w:t>
            </w:r>
            <w:r w:rsidDel="00000000" w:rsidR="00000000" w:rsidRPr="00000000">
              <w:rPr>
                <w:rtl w:val="0"/>
              </w:rPr>
            </w:r>
          </w:p>
        </w:tc>
        <w:tc>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sz w:val="22"/>
                <w:szCs w:val="22"/>
                <w:rtl w:val="0"/>
              </w:rPr>
              <w:t xml:space="preserve">Versione</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sz w:val="22"/>
                <w:szCs w:val="22"/>
                <w:rtl w:val="0"/>
              </w:rPr>
              <w:t xml:space="preserve">Funzione</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2"/>
                <w:szCs w:val="22"/>
                <w:rtl w:val="0"/>
              </w:rPr>
              <w:t xml:space="preserve">Wireshark</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2"/>
                <w:szCs w:val="22"/>
                <w:rtl w:val="0"/>
              </w:rPr>
              <w:t xml:space="preserve">4.x</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2"/>
                <w:szCs w:val="22"/>
                <w:rtl w:val="0"/>
              </w:rPr>
              <w:t xml:space="preserve">Cattura e analisi del traffico di rete a livello di pacchetto</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2"/>
                <w:szCs w:val="22"/>
                <w:rtl w:val="0"/>
              </w:rPr>
              <w:t xml:space="preserve">Nmap</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2"/>
                <w:szCs w:val="22"/>
                <w:rtl w:val="0"/>
              </w:rPr>
              <w:t xml:space="preserve">7.99</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2"/>
                <w:szCs w:val="22"/>
                <w:rtl w:val="0"/>
              </w:rPr>
              <w:t xml:space="preserve">Port scanner per l'enumerazione dei servizi attivi</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2"/>
                <w:szCs w:val="22"/>
                <w:rtl w:val="0"/>
              </w:rPr>
              <w:t xml:space="preserve">Terminale Bash</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2"/>
                <w:szCs w:val="22"/>
                <w:rtl w:val="0"/>
              </w:rPr>
              <w:t xml:space="preserve">Esecuzione dei comandi e gestione dei file di cattura</w:t>
            </w:r>
            <w:r w:rsidDel="00000000" w:rsidR="00000000" w:rsidRPr="00000000">
              <w:rPr>
                <w:rtl w:val="0"/>
              </w:rPr>
            </w:r>
          </w:p>
        </w:tc>
      </w:tr>
    </w:tbl>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i w:val="1"/>
          <w:iCs w:val="1"/>
          <w:sz w:val="20"/>
          <w:szCs w:val="20"/>
          <w:rtl w:val="0"/>
        </w:rPr>
        <w:t xml:space="preserve">Tabella 2 — Strumenti utilizzati</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Fonts w:ascii="Times New Roman" w:cs="Times New Roman" w:eastAsia="Times New Roman" w:hAnsi="Times New Roman"/>
          <w:color w:val="000000"/>
          <w:rtl w:val="0"/>
        </w:rPr>
        <w:t xml:space="preserve">4. Fase di Ricognizione Passiva: Analisi del Traffico Broadcast</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Times New Roman" w:cs="Times New Roman" w:eastAsia="Times New Roman" w:hAnsi="Times New Roman"/>
          <w:color w:val="000000"/>
          <w:rtl w:val="0"/>
        </w:rPr>
        <w:t xml:space="preserve">4.1 Identificazione degli Asset Tramite Protocollo SMB Browser</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Times New Roman" w:cs="Times New Roman" w:eastAsia="Times New Roman" w:hAnsi="Times New Roman"/>
          <w:sz w:val="24"/>
          <w:szCs w:val="24"/>
          <w:rtl w:val="0"/>
        </w:rPr>
        <w:t xml:space="preserve">L'analisi preliminare della cattura di rete ha evidenziato la presenza di pacchetti del protocollo </w:t>
      </w:r>
      <w:r w:rsidDel="00000000" w:rsidR="00000000" w:rsidRPr="00000000">
        <w:rPr>
          <w:rFonts w:ascii="Times New Roman" w:cs="Times New Roman" w:eastAsia="Times New Roman" w:hAnsi="Times New Roman"/>
          <w:b w:val="1"/>
          <w:bCs w:val="1"/>
          <w:sz w:val="24"/>
          <w:szCs w:val="24"/>
          <w:rtl w:val="0"/>
        </w:rPr>
        <w:t xml:space="preserve">SMB MailSlot / Microsoft Windows Browser Protocol</w:t>
      </w:r>
      <w:r w:rsidDel="00000000" w:rsidR="00000000" w:rsidRPr="00000000">
        <w:rPr>
          <w:rFonts w:ascii="Times New Roman" w:cs="Times New Roman" w:eastAsia="Times New Roman" w:hAnsi="Times New Roman"/>
          <w:sz w:val="24"/>
          <w:szCs w:val="24"/>
          <w:rtl w:val="0"/>
        </w:rPr>
        <w:t xml:space="preserve">, trasmessi in modalità broadcast dall'host target. Tali pacchetti rivelano l'annuncio periodico della macchina METASPLOITABLE all'interno del dominio di workgroup.</w:t>
      </w:r>
      <w:r w:rsidDel="00000000" w:rsidR="00000000" w:rsidRPr="00000000">
        <w:rPr>
          <w:rFonts w:ascii="Times New Roman" w:cs="Times New Roman" w:eastAsia="Times New Roman" w:hAnsi="Times New Roman"/>
          <w:sz w:val="24"/>
          <w:szCs w:val="24"/>
        </w:rPr>
        <w:drawing>
          <wp:inline distB="114300" distT="114300" distL="114300" distR="114300">
            <wp:extent cx="5486400" cy="27940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sz w:val="20"/>
          <w:szCs w:val="20"/>
          <w:rtl w:val="0"/>
        </w:rPr>
        <w:t xml:space="preserve">Figura 1 — Cattura Wireshark: Host Announcement SMB e primi pacchetti di scansione TCP</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i w:val="1"/>
          <w:iCs w:val="1"/>
          <w:sz w:val="20"/>
          <w:szCs w:val="20"/>
          <w:rtl w:val="0"/>
        </w:rPr>
        <w:t xml:space="preserve">La figura illustra il pacchetto di Host Announcement (0x01) trasmesso dall'indirizzo 192.168.200.150 verso la subnet broadcast (192.168.200.255), contestualmente all'inizio dell'attività di scansione TCP SYN proveniente dall'host 192.168.200.100.</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Times New Roman" w:cs="Times New Roman" w:eastAsia="Times New Roman" w:hAnsi="Times New Roman"/>
          <w:sz w:val="24"/>
          <w:szCs w:val="24"/>
          <w:rtl w:val="0"/>
        </w:rPr>
        <w:t xml:space="preserve">L'ispezione approfondita del payload del pacchetto SMB (Figura 2) ha consentito di estrarre informazioni critiche per il fingerprinting del sistema target: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Name: METASPLOITABLE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Major Version: 4</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Minor Version: 9</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Comment: metasploitable server (Samba 3.0.20-Debian)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486400" cy="16129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20"/>
          <w:szCs w:val="20"/>
          <w:rtl w:val="0"/>
        </w:rPr>
        <w:t xml:space="preserve">Figura 2 — Dettaglio del protocollo SMB Browser: fingerprinting del sistema operativo</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i w:val="1"/>
          <w:iCs w:val="1"/>
          <w:sz w:val="20"/>
          <w:szCs w:val="20"/>
          <w:rtl w:val="0"/>
        </w:rPr>
        <w:t xml:space="preserve">L'immagine mostra il campo "Host Comment" che espone esplicitamente la versione del servizio Samba (3.0.20) e la distribuzione sottostante (Debian), fornendo all'attaccante informazioni preziose per la ricerca di vulnerabilità note.</w:t>
      </w: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Times New Roman" w:cs="Times New Roman" w:eastAsia="Times New Roman" w:hAnsi="Times New Roman"/>
          <w:sz w:val="24"/>
          <w:szCs w:val="24"/>
          <w:rtl w:val="0"/>
        </w:rPr>
        <w:t xml:space="preserve">È importante sottolineare che il traffico SMB Browser analizzato non costituisce di per sé un attacco, bensì una normale attività di annuncio di presenza (</w:t>
      </w:r>
      <w:r w:rsidDel="00000000" w:rsidR="00000000" w:rsidRPr="00000000">
        <w:rPr>
          <w:rFonts w:ascii="Times New Roman" w:cs="Times New Roman" w:eastAsia="Times New Roman" w:hAnsi="Times New Roman"/>
          <w:i w:val="1"/>
          <w:iCs w:val="1"/>
          <w:sz w:val="24"/>
          <w:szCs w:val="24"/>
          <w:rtl w:val="0"/>
        </w:rPr>
        <w:t xml:space="preserve">Local Master Announcement</w:t>
      </w:r>
      <w:r w:rsidDel="00000000" w:rsidR="00000000" w:rsidRPr="00000000">
        <w:rPr>
          <w:rFonts w:ascii="Times New Roman" w:cs="Times New Roman" w:eastAsia="Times New Roman" w:hAnsi="Times New Roman"/>
          <w:sz w:val="24"/>
          <w:szCs w:val="24"/>
          <w:rtl w:val="0"/>
        </w:rPr>
        <w:t xml:space="preserve">) generata dal demone Samba in esecuzione sul target. Tuttavia, dal punto di vista della Threat Intelligence, tali pacchetti rappresentano un </w:t>
      </w:r>
      <w:r w:rsidDel="00000000" w:rsidR="00000000" w:rsidRPr="00000000">
        <w:rPr>
          <w:rFonts w:ascii="Times New Roman" w:cs="Times New Roman" w:eastAsia="Times New Roman" w:hAnsi="Times New Roman"/>
          <w:b w:val="1"/>
          <w:bCs w:val="1"/>
          <w:sz w:val="24"/>
          <w:szCs w:val="24"/>
          <w:rtl w:val="0"/>
        </w:rPr>
        <w:t xml:space="preserve">Indicatore di Compromissione di tipo informazionale</w:t>
      </w:r>
      <w:r w:rsidDel="00000000" w:rsidR="00000000" w:rsidRPr="00000000">
        <w:rPr>
          <w:rFonts w:ascii="Times New Roman" w:cs="Times New Roman" w:eastAsia="Times New Roman" w:hAnsi="Times New Roman"/>
          <w:sz w:val="24"/>
          <w:szCs w:val="24"/>
          <w:rtl w:val="0"/>
        </w:rPr>
        <w:t xml:space="preserve"> (IOC), in quanto forniscono all'attaccante dati essenziali per la pianificazione di successive fasi offensive.</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Times New Roman" w:cs="Times New Roman" w:eastAsia="Times New Roman" w:hAnsi="Times New Roman"/>
          <w:color w:val="000000"/>
          <w:rtl w:val="0"/>
        </w:rPr>
        <w:t xml:space="preserve">4.2 Analisi delle Richieste ARP</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Contestualmente al traffico SMB, la cattura evidenzia scambi di pacchetti ARP (Address Resolution Protocol) tra gli host del laboratorio. Le richieste ARP di tipo 'Who has [IP]? Tell [IP]' sono funzionali alla risoluzione degli indirizzi fisici (MAC) necessari per la comunicazione a livello data-link. Tali pacchetti, sebbene legittimi in una rete locale, possono essere considerati precursori di attività di scansione, in quanto precedono sistematicamente l'invio dei segmenti TCP SYN.</w:t>
      </w:r>
    </w:p>
    <w:p w:rsidR="00000000" w:rsidDel="00000000" w:rsidP="00000000" w:rsidRDefault="00000000" w:rsidRPr="00000000" w14:paraId="0000004A">
      <w:pPr>
        <w:pStyle w:val="Heading1"/>
        <w:rPr/>
      </w:pPr>
      <w:r w:rsidDel="00000000" w:rsidR="00000000" w:rsidRPr="00000000">
        <w:rPr>
          <w:rFonts w:ascii="Times New Roman" w:cs="Times New Roman" w:eastAsia="Times New Roman" w:hAnsi="Times New Roman"/>
          <w:color w:val="000000"/>
          <w:rtl w:val="0"/>
        </w:rPr>
        <w:t xml:space="preserve">5. Fase di Ricognizione Attiva: Scansione delle Porte e Identificazione degli IOC</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Times New Roman" w:cs="Times New Roman" w:eastAsia="Times New Roman" w:hAnsi="Times New Roman"/>
          <w:color w:val="000000"/>
          <w:rtl w:val="0"/>
        </w:rPr>
        <w:t xml:space="preserve">5.1 Scansione Mirata su Porte di Servizio Specifiche</w:t>
      </w:r>
      <w:r w:rsidDel="00000000" w:rsidR="00000000" w:rsidRPr="00000000">
        <w:rPr>
          <w:rtl w:val="0"/>
        </w:rPr>
      </w:r>
    </w:p>
    <w:p w:rsidR="00000000" w:rsidDel="00000000" w:rsidP="00000000" w:rsidRDefault="00000000" w:rsidRPr="00000000" w14:paraId="0000004C">
      <w:pPr>
        <w:jc w:val="both"/>
        <w:rPr/>
      </w:pPr>
      <w:r w:rsidDel="00000000" w:rsidR="00000000" w:rsidRPr="00000000">
        <w:rPr>
          <w:rFonts w:ascii="Times New Roman" w:cs="Times New Roman" w:eastAsia="Times New Roman" w:hAnsi="Times New Roman"/>
          <w:sz w:val="24"/>
          <w:szCs w:val="24"/>
          <w:rtl w:val="0"/>
        </w:rPr>
        <w:t xml:space="preserve">Si è proceduti all'esecuzione di una scansione mirata mediante il comando Nmap, finalizzata a verificare lo stato delle porte 80 (HTTP) e 443 (HTTPS) sul target 192.168.50.150:</w:t>
      </w:r>
      <w:r w:rsidDel="00000000" w:rsidR="00000000" w:rsidRPr="00000000">
        <w:rPr>
          <w:rtl w:val="0"/>
        </w:rPr>
      </w:r>
    </w:p>
    <w:p w:rsidR="00000000" w:rsidDel="00000000" w:rsidP="00000000" w:rsidRDefault="00000000" w:rsidRPr="00000000" w14:paraId="0000004D">
      <w:pPr>
        <w:ind w:left="720" w:firstLine="0"/>
        <w:jc w:val="left"/>
        <w:rPr/>
      </w:pPr>
      <w:r w:rsidDel="00000000" w:rsidR="00000000" w:rsidRPr="00000000">
        <w:rPr>
          <w:rFonts w:ascii="Courier New" w:cs="Courier New" w:eastAsia="Courier New" w:hAnsi="Courier New"/>
          <w:b w:val="1"/>
          <w:bCs w:val="1"/>
          <w:sz w:val="22"/>
          <w:szCs w:val="22"/>
          <w:rtl w:val="0"/>
        </w:rPr>
        <w:t xml:space="preserve">nmap -p 80,443 192.168.50.150</w:t>
      </w: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Times New Roman" w:cs="Times New Roman" w:eastAsia="Times New Roman" w:hAnsi="Times New Roman"/>
          <w:sz w:val="24"/>
          <w:szCs w:val="24"/>
          <w:rtl w:val="0"/>
        </w:rPr>
        <w:t xml:space="preserve">L'output del comando ha evidenziato quanto segue: (1) Porta 80/tcp: stato open, servizio http; (2) Porta 443/tcp: stato closed, servizio https.</w:t>
      </w:r>
      <w:r w:rsidDel="00000000" w:rsidR="00000000" w:rsidRPr="00000000">
        <w:rPr/>
        <w:drawing>
          <wp:inline distB="114300" distT="114300" distL="114300" distR="114300">
            <wp:extent cx="5486400" cy="1016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1"/>
          <w:bCs w:val="1"/>
          <w:sz w:val="20"/>
          <w:szCs w:val="20"/>
          <w:rtl w:val="0"/>
        </w:rPr>
        <w:t xml:space="preserve">Figura 3 — Esecuzione di Nmap su porte specifiche e cattura Wireshark in parallelo</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i w:val="1"/>
          <w:iCs w:val="1"/>
          <w:sz w:val="20"/>
          <w:szCs w:val="20"/>
          <w:rtl w:val="0"/>
        </w:rPr>
        <w:t xml:space="preserve">La figura mostra il terminale Kali Linux con il risultato della scansione mirata, affiancato alla cattura Wireshark in tempo reale. Si osservano i pacchetti TCP SYN inviati dall'host 192.168.50.100 verso le porte 80 e 443 del target, seguiti rispettivamente da un segmento SYN-ACK (porta aperta) e da un segmento RST-ACK (porta chiusa).</w:t>
      </w:r>
      <w:r w:rsidDel="00000000" w:rsidR="00000000" w:rsidRPr="00000000">
        <w:rPr>
          <w:rtl w:val="0"/>
        </w:rPr>
      </w:r>
    </w:p>
    <w:p w:rsidR="00000000" w:rsidDel="00000000" w:rsidP="00000000" w:rsidRDefault="00000000" w:rsidRPr="00000000" w14:paraId="00000051">
      <w:pPr>
        <w:spacing w:line="360" w:lineRule="auto"/>
        <w:jc w:val="both"/>
        <w:rPr/>
      </w:pPr>
      <w:sdt>
        <w:sdtPr>
          <w:id w:val="1515336955"/>
          <w:tag w:val="goog_rdk_0"/>
        </w:sdtPr>
        <w:sdtContent>
          <w:r w:rsidDel="00000000" w:rsidR="00000000" w:rsidRPr="00000000">
            <w:rPr>
              <w:rFonts w:ascii="Cardo" w:cs="Cardo" w:eastAsia="Cardo" w:hAnsi="Cardo"/>
              <w:sz w:val="24"/>
              <w:szCs w:val="24"/>
              <w:rtl w:val="0"/>
            </w:rPr>
            <w:t xml:space="preserve">La cattura di rete conferma l'impiego della tecnica di TCP connect scan (-sT), caratterizzata dal completamento del three-way handshake (SYN → SYN-ACK → ACK) per ciascuna porta aperta, seguito dalla chiusura della connessione con un segmento RST. Questa modalità è intrinsecamente più rumorosa rispetto alla SYN scan (-sS), in quanto genera connessioni TCP complete, facilmente loggabili dai servizi di sistema del target.</w:t>
          </w:r>
        </w:sdtContent>
      </w:sdt>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Times New Roman" w:cs="Times New Roman" w:eastAsia="Times New Roman" w:hAnsi="Times New Roman"/>
          <w:color w:val="000000"/>
          <w:rtl w:val="0"/>
        </w:rPr>
        <w:t xml:space="preserve">5.2 Scansione Massiva SYN (Three-wayhandshake intero)</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Successivamente, è stata condotta una scansione più estesa sulle prime 1024 porte TCP del target, utilizzando la tecnica di </w:t>
      </w:r>
      <w:r w:rsidDel="00000000" w:rsidR="00000000" w:rsidRPr="00000000">
        <w:rPr>
          <w:b w:val="1"/>
          <w:bCs w:val="1"/>
          <w:rtl w:val="0"/>
        </w:rPr>
        <w:t xml:space="preserve">TCP connect scan</w:t>
      </w:r>
      <w:r w:rsidDel="00000000" w:rsidR="00000000" w:rsidRPr="00000000">
        <w:rPr>
          <w:rtl w:val="0"/>
        </w:rPr>
        <w:t xml:space="preserve"> con elevata velocità di esecuzione:</w:t>
      </w:r>
    </w:p>
    <w:p w:rsidR="00000000" w:rsidDel="00000000" w:rsidP="00000000" w:rsidRDefault="00000000" w:rsidRPr="00000000" w14:paraId="00000054">
      <w:pPr>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sudo nmap -sT -T4 -p -1024 192.168.50.150</w:t>
      </w:r>
      <w:r w:rsidDel="00000000" w:rsidR="00000000" w:rsidRPr="00000000">
        <w:rPr>
          <w:rtl w:val="0"/>
        </w:rPr>
      </w:r>
    </w:p>
    <w:p w:rsidR="00000000" w:rsidDel="00000000" w:rsidP="00000000" w:rsidRDefault="00000000" w:rsidRPr="00000000" w14:paraId="00000055">
      <w:pPr>
        <w:spacing w:line="360" w:lineRule="auto"/>
        <w:ind w:left="0" w:firstLine="0"/>
        <w:jc w:val="both"/>
        <w:rPr/>
      </w:pPr>
      <w:r w:rsidDel="00000000" w:rsidR="00000000" w:rsidRPr="00000000">
        <w:rPr>
          <w:rFonts w:ascii="Times New Roman" w:cs="Times New Roman" w:eastAsia="Times New Roman" w:hAnsi="Times New Roman"/>
          <w:i w:val="1"/>
          <w:iCs w:val="1"/>
          <w:sz w:val="22"/>
          <w:szCs w:val="22"/>
          <w:rtl w:val="0"/>
        </w:rPr>
        <w:t xml:space="preserve">Si rammenta che la flag -sT attiva la TCP connect scan, la quale completa interamente il three-way handshake per ogni porta aperta, a differenza della SYN scan (-sS) che interrompe la connessione dopo la ricezione del SYN-ACK. La connect scan risulta pertanto più facilmente rilevabile dai sistemi di logging del target, ma non richiede la capacità di inviare pacchetti raw a livello di kernel.</w:t>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I risultati ottenuti (Figura 4) hanno rivelato un'ampia superficie di attacco, con numerosi servizi attivi:</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sz w:val="22"/>
                <w:szCs w:val="22"/>
                <w:rtl w:val="0"/>
              </w:rPr>
              <w:t xml:space="preserve">Porta</w:t>
            </w: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sz w:val="22"/>
                <w:szCs w:val="22"/>
                <w:rtl w:val="0"/>
              </w:rPr>
              <w:t xml:space="preserve">Stato</w:t>
            </w: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1"/>
                <w:bCs w:val="1"/>
                <w:sz w:val="22"/>
                <w:szCs w:val="22"/>
                <w:rtl w:val="0"/>
              </w:rPr>
              <w:t xml:space="preserve">Servizio</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2"/>
                <w:szCs w:val="22"/>
                <w:rtl w:val="0"/>
              </w:rPr>
              <w:t xml:space="preserve">21/tcp</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2"/>
                <w:szCs w:val="22"/>
                <w:rtl w:val="0"/>
              </w:rPr>
              <w:t xml:space="preserve">ftp</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2"/>
                <w:szCs w:val="22"/>
                <w:rtl w:val="0"/>
              </w:rPr>
              <w:t xml:space="preserve">22/tcp</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2"/>
                <w:szCs w:val="22"/>
                <w:rtl w:val="0"/>
              </w:rPr>
              <w:t xml:space="preserve">ssh</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2"/>
                <w:szCs w:val="22"/>
                <w:rtl w:val="0"/>
              </w:rPr>
              <w:t xml:space="preserve">23/tcp</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2"/>
                <w:szCs w:val="22"/>
                <w:rtl w:val="0"/>
              </w:rPr>
              <w:t xml:space="preserve">telnet</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2"/>
                <w:szCs w:val="22"/>
                <w:rtl w:val="0"/>
              </w:rPr>
              <w:t xml:space="preserve">25/tcp</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2"/>
                <w:szCs w:val="22"/>
                <w:rtl w:val="0"/>
              </w:rPr>
              <w:t xml:space="preserve">smtp</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2"/>
                <w:szCs w:val="22"/>
                <w:rtl w:val="0"/>
              </w:rPr>
              <w:t xml:space="preserve">53/tcp</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2"/>
                <w:szCs w:val="22"/>
                <w:rtl w:val="0"/>
              </w:rPr>
              <w:t xml:space="preserve">domain</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2"/>
                <w:szCs w:val="22"/>
                <w:rtl w:val="0"/>
              </w:rPr>
              <w:t xml:space="preserve">80/tcp</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2"/>
                <w:szCs w:val="22"/>
                <w:rtl w:val="0"/>
              </w:rPr>
              <w:t xml:space="preserve">http</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2"/>
                <w:szCs w:val="22"/>
                <w:rtl w:val="0"/>
              </w:rPr>
              <w:t xml:space="preserve">111/tcp</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2"/>
                <w:szCs w:val="22"/>
                <w:rtl w:val="0"/>
              </w:rPr>
              <w:t xml:space="preserve">rpcbind</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2"/>
                <w:szCs w:val="22"/>
                <w:rtl w:val="0"/>
              </w:rPr>
              <w:t xml:space="preserve">139/tcp</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2"/>
                <w:szCs w:val="22"/>
                <w:rtl w:val="0"/>
              </w:rPr>
              <w:t xml:space="preserve">netbios-ssn</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2"/>
                <w:szCs w:val="22"/>
                <w:rtl w:val="0"/>
              </w:rPr>
              <w:t xml:space="preserve">445/tcp</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 xml:space="preserve">microsoft-ds</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 xml:space="preserve">512/tcp</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 xml:space="preserve">exec</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513/tcp</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2"/>
                <w:szCs w:val="22"/>
                <w:rtl w:val="0"/>
              </w:rPr>
              <w:t xml:space="preserve">login</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2"/>
                <w:szCs w:val="22"/>
                <w:rtl w:val="0"/>
              </w:rPr>
              <w:t xml:space="preserve">514/tcp</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2"/>
                <w:szCs w:val="22"/>
                <w:rtl w:val="0"/>
              </w:rPr>
              <w:t xml:space="preserve">open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2"/>
                <w:szCs w:val="22"/>
                <w:rtl w:val="0"/>
              </w:rPr>
              <w:t xml:space="preserve">shell</w:t>
            </w:r>
            <w:r w:rsidDel="00000000" w:rsidR="00000000" w:rsidRPr="00000000">
              <w:rPr>
                <w:rtl w:val="0"/>
              </w:rPr>
            </w:r>
          </w:p>
        </w:tc>
      </w:tr>
    </w:tbl>
    <w:p w:rsidR="00000000" w:rsidDel="00000000" w:rsidP="00000000" w:rsidRDefault="00000000" w:rsidRPr="00000000" w14:paraId="0000007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Tabella 3 — Risultato della scansione SYN sulle prime 1024 porte</w:t>
      </w:r>
    </w:p>
    <w:p w:rsidR="00000000" w:rsidDel="00000000" w:rsidP="00000000" w:rsidRDefault="00000000" w:rsidRPr="00000000" w14:paraId="0000007F">
      <w:pPr>
        <w:jc w:val="left"/>
        <w:rPr>
          <w:i w:val="1"/>
          <w:iCs w:val="1"/>
          <w:sz w:val="20"/>
          <w:szCs w:val="20"/>
        </w:rPr>
      </w:pPr>
      <w:r w:rsidDel="00000000" w:rsidR="00000000" w:rsidRPr="00000000">
        <w:rPr>
          <w:i w:val="1"/>
          <w:iCs w:val="1"/>
          <w:sz w:val="20"/>
          <w:szCs w:val="20"/>
        </w:rPr>
        <w:drawing>
          <wp:inline distB="114300" distT="114300" distL="114300" distR="114300">
            <wp:extent cx="5486400" cy="2794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1"/>
          <w:bCs w:val="1"/>
          <w:sz w:val="20"/>
          <w:szCs w:val="20"/>
          <w:rtl w:val="0"/>
        </w:rPr>
        <w:t xml:space="preserve">Figura 4 — Esecuzione della scansione SYN massiva e enumerazione dei servizi attivi</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i w:val="1"/>
          <w:iCs w:val="1"/>
          <w:sz w:val="20"/>
          <w:szCs w:val="20"/>
          <w:rtl w:val="0"/>
        </w:rPr>
        <w:t xml:space="preserve">L'immagine riporta l'output completo del comando Nmap, evidenziando le 12 porte aperte identificate sul target. In parallelo, la cattura Wireshark mostra la sequenza di pacchetti SYN inviati in rapida successione, tipica di una scansione automatizzata.</w:t>
      </w: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Fonts w:ascii="Times New Roman" w:cs="Times New Roman" w:eastAsia="Times New Roman" w:hAnsi="Times New Roman"/>
          <w:sz w:val="24"/>
          <w:szCs w:val="24"/>
          <w:rtl w:val="0"/>
        </w:rPr>
        <w:t xml:space="preserve">L'analisi del traffico generato ha inoltre permesso di osservare il comportamento del target in risposta alla scansione: per le porte aperte, è stato completato il three-way handshake (SYN, SYN-ACK, ACK), seguito da un RST per la chiusura della connessione; per le porte chiuse, il target ha restituito pacchetti RST-ACK. La presenza di connessioni TCP complete stabilite e immediatamente terminate costituisce un pattern altamente rilevabile per qualsiasi sistema di monitoraggio della rete.</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Fonts w:ascii="Times New Roman" w:cs="Times New Roman" w:eastAsia="Times New Roman" w:hAnsi="Times New Roman"/>
          <w:color w:val="000000"/>
          <w:rtl w:val="0"/>
        </w:rPr>
        <w:t xml:space="preserve">5.3 Classificazione degli Indicatori di Compromissione</w:t>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In base all'analisi condotta, sono stati identificati e classificati i seguenti IOC, riassunti nella Tabella 4:</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1"/>
                <w:bCs w:val="1"/>
                <w:sz w:val="20"/>
                <w:szCs w:val="20"/>
                <w:rtl w:val="0"/>
              </w:rPr>
              <w:t xml:space="preserve">Tipo di IOC</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1"/>
                <w:bCs w:val="1"/>
                <w:sz w:val="20"/>
                <w:szCs w:val="20"/>
                <w:rtl w:val="0"/>
              </w:rPr>
              <w:t xml:space="preserve">Descrizione</w:t>
            </w:r>
            <w:r w:rsidDel="00000000" w:rsidR="00000000" w:rsidRPr="00000000">
              <w:rPr>
                <w:rtl w:val="0"/>
              </w:rPr>
            </w:r>
          </w:p>
        </w:tc>
        <w:tc>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1"/>
                <w:bCs w:val="1"/>
                <w:sz w:val="20"/>
                <w:szCs w:val="20"/>
                <w:rtl w:val="0"/>
              </w:rPr>
              <w:t xml:space="preserve">Fase MITRE ATT&amp;CK</w:t>
            </w: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1"/>
                <w:bCs w:val="1"/>
                <w:sz w:val="20"/>
                <w:szCs w:val="20"/>
                <w:rtl w:val="0"/>
              </w:rPr>
              <w:t xml:space="preserve">Livello di Rischio</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0"/>
                <w:szCs w:val="20"/>
                <w:rtl w:val="0"/>
              </w:rPr>
              <w:t xml:space="preserve">IOC-001</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0"/>
                <w:szCs w:val="20"/>
                <w:rtl w:val="0"/>
              </w:rPr>
              <w:t xml:space="preserve">Informazionale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0"/>
                <w:szCs w:val="20"/>
                <w:rtl w:val="0"/>
              </w:rPr>
              <w:t xml:space="preserve">Host Announcement SMB con leak di versione (Samba 3.0.20-Debian)</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0"/>
                <w:szCs w:val="20"/>
                <w:rtl w:val="0"/>
              </w:rPr>
              <w:t xml:space="preserve">Reconnaissance (T1592)</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0"/>
                <w:szCs w:val="20"/>
                <w:rtl w:val="0"/>
              </w:rPr>
              <w:t xml:space="preserve">Medio</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0"/>
                <w:szCs w:val="20"/>
                <w:rtl w:val="0"/>
              </w:rPr>
              <w:t xml:space="preserve">IOC-002</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0"/>
                <w:szCs w:val="20"/>
                <w:rtl w:val="0"/>
              </w:rPr>
              <w:t xml:space="preserve">di Rete</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0"/>
                <w:szCs w:val="20"/>
                <w:rtl w:val="0"/>
              </w:rPr>
              <w:t xml:space="preserve">Richieste ARP anomale in sequenza rapida</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0"/>
                <w:szCs w:val="20"/>
                <w:rtl w:val="0"/>
              </w:rPr>
              <w:t xml:space="preserve">Reconnaissance (T1018)</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0"/>
                <w:szCs w:val="20"/>
                <w:rtl w:val="0"/>
              </w:rPr>
              <w:t xml:space="preserve">Basso</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0"/>
                <w:szCs w:val="20"/>
                <w:rtl w:val="0"/>
              </w:rPr>
              <w:t xml:space="preserve">IOC-003</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0"/>
                <w:szCs w:val="20"/>
                <w:rtl w:val="0"/>
              </w:rPr>
              <w:t xml:space="preserve">di Rete</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Pacchetti TCP SYN verso multiple porte in intervalli temporali ristretti</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Reconnaissance (T1046)</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0"/>
                <w:szCs w:val="20"/>
                <w:rtl w:val="0"/>
              </w:rPr>
              <w:t xml:space="preserve">Alto</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0"/>
                <w:szCs w:val="20"/>
                <w:rtl w:val="0"/>
              </w:rPr>
              <w:t xml:space="preserve">IOC-004</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0"/>
                <w:szCs w:val="20"/>
                <w:rtl w:val="0"/>
              </w:rPr>
              <w:t xml:space="preserve">di Rete</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Risposte RST-ACK massicce dal target verso un singolo host sorgente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Reconnaissance (T1046)</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Medio</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20"/>
                <w:szCs w:val="20"/>
                <w:rtl w:val="0"/>
              </w:rPr>
              <w:t xml:space="preserve">IOC-005</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0"/>
                <w:szCs w:val="20"/>
                <w:rtl w:val="0"/>
              </w:rPr>
              <w:t xml:space="preserve">di Host</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Enumerazione di servizi legacy (Telnet, FTP, rlogin) esposti su rete</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Reconnaissance (T1590)</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20"/>
                <w:szCs w:val="20"/>
                <w:rtl w:val="0"/>
              </w:rPr>
              <w:t xml:space="preserve">Critico</w:t>
            </w:r>
            <w:r w:rsidDel="00000000" w:rsidR="00000000" w:rsidRPr="00000000">
              <w:rPr>
                <w:rtl w:val="0"/>
              </w:rPr>
            </w:r>
          </w:p>
        </w:tc>
      </w:tr>
    </w:tbl>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i w:val="1"/>
          <w:iCs w:val="1"/>
          <w:sz w:val="20"/>
          <w:szCs w:val="20"/>
          <w:rtl w:val="0"/>
        </w:rPr>
        <w:t xml:space="preserve">Tabella 4 — Matrice di classificazione degli Indicatori di Compromissione identificati</w:t>
      </w:r>
      <w:r w:rsidDel="00000000" w:rsidR="00000000" w:rsidRPr="00000000">
        <w:rPr>
          <w:rtl w:val="0"/>
        </w:rPr>
      </w:r>
    </w:p>
    <w:p w:rsidR="00000000" w:rsidDel="00000000" w:rsidP="00000000" w:rsidRDefault="00000000" w:rsidRPr="00000000" w14:paraId="000000A4">
      <w:pPr>
        <w:jc w:val="both"/>
        <w:rPr/>
      </w:pPr>
      <w:r w:rsidDel="00000000" w:rsidR="00000000" w:rsidRPr="00000000">
        <w:rPr>
          <w:rFonts w:ascii="Times New Roman" w:cs="Times New Roman" w:eastAsia="Times New Roman" w:hAnsi="Times New Roman"/>
          <w:sz w:val="24"/>
          <w:szCs w:val="24"/>
          <w:rtl w:val="0"/>
        </w:rPr>
        <w:t xml:space="preserve">Si sottolinea che gli IOC rilevati non dimostrano di per sé una compromissione avvenuta, ma testimoniano un'intensa attività di ricognizione, riconducibile alla fase iniziale della </w:t>
      </w:r>
      <w:r w:rsidDel="00000000" w:rsidR="00000000" w:rsidRPr="00000000">
        <w:rPr>
          <w:rFonts w:ascii="Times New Roman" w:cs="Times New Roman" w:eastAsia="Times New Roman" w:hAnsi="Times New Roman"/>
          <w:i w:val="1"/>
          <w:iCs w:val="1"/>
          <w:sz w:val="24"/>
          <w:szCs w:val="24"/>
          <w:rtl w:val="0"/>
        </w:rPr>
        <w:t xml:space="preserve">Cyber Kill Chain</w:t>
      </w:r>
      <w:r w:rsidDel="00000000" w:rsidR="00000000" w:rsidRPr="00000000">
        <w:rPr>
          <w:rFonts w:ascii="Times New Roman" w:cs="Times New Roman" w:eastAsia="Times New Roman" w:hAnsi="Times New Roman"/>
          <w:sz w:val="24"/>
          <w:szCs w:val="24"/>
          <w:rtl w:val="0"/>
        </w:rPr>
        <w:t xml:space="preserve">. La presenza di servizi obsoleti e non crittografati (Telnet, FTP, rlogin su porte 23, 21, 513, 514) costituisce tuttavia un fattore di rischio critico, in quanto espone il target a potenziali attacchi di tipo man-in-the-middle o credential sniffing.</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Fonts w:ascii="Times New Roman" w:cs="Times New Roman" w:eastAsia="Times New Roman" w:hAnsi="Times New Roman"/>
          <w:color w:val="000000"/>
          <w:rtl w:val="0"/>
        </w:rPr>
        <w:t xml:space="preserve">5.4 Analisi del Traffico BROWSER di Workgroup</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La cattura ha inoltre evidenziato pacchetti di Local Master Announcement e Domain/Workgroup Announcement (Figura 6), tramessi dal target verso l'indirizzo broadcast della subnet.</w:t>
      </w:r>
      <w:r w:rsidDel="00000000" w:rsidR="00000000" w:rsidRPr="00000000">
        <w:rPr/>
        <w:drawing>
          <wp:inline distB="114300" distT="114300" distL="114300" distR="114300">
            <wp:extent cx="5486400" cy="317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sz w:val="20"/>
          <w:szCs w:val="20"/>
          <w:rtl w:val="0"/>
        </w:rPr>
        <w:t xml:space="preserve">Figura 6 — Pacchetti BROWSER: Local Master Announcement e Domain/Workgroup Announcement</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i w:val="1"/>
          <w:iCs w:val="1"/>
          <w:sz w:val="20"/>
          <w:szCs w:val="20"/>
          <w:rtl w:val="0"/>
        </w:rPr>
        <w:t xml:space="preserve">La figura mostra i pacchetti di annuncio del workgroup "WORKGROUP", con flag NT Workstation e Domain Enum attivi. Tali pacchetti sono generati automaticamente dal servizio Samba e non costituiscono un attacco, ma forniscono informazioni sulla topologia logica della rete.</w:t>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Fonts w:ascii="Times New Roman" w:cs="Times New Roman" w:eastAsia="Times New Roman" w:hAnsi="Times New Roman"/>
          <w:color w:val="000000"/>
          <w:rtl w:val="0"/>
        </w:rPr>
        <w:t xml:space="preserve">6. Analisi dei Rischi e Contromisure</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Fonts w:ascii="Times New Roman" w:cs="Times New Roman" w:eastAsia="Times New Roman" w:hAnsi="Times New Roman"/>
          <w:color w:val="000000"/>
          <w:rtl w:val="0"/>
        </w:rPr>
        <w:t xml:space="preserve">6.1 Valutazione del Rischio Associato agli IOC</w:t>
      </w:r>
      <w:r w:rsidDel="00000000" w:rsidR="00000000" w:rsidRPr="00000000">
        <w:rPr>
          <w:rtl w:val="0"/>
        </w:rPr>
      </w:r>
    </w:p>
    <w:p w:rsidR="00000000" w:rsidDel="00000000" w:rsidP="00000000" w:rsidRDefault="00000000" w:rsidRPr="00000000" w14:paraId="000000AB">
      <w:pPr>
        <w:jc w:val="both"/>
        <w:rPr/>
      </w:pPr>
      <w:r w:rsidDel="00000000" w:rsidR="00000000" w:rsidRPr="00000000">
        <w:rPr>
          <w:rFonts w:ascii="Times New Roman" w:cs="Times New Roman" w:eastAsia="Times New Roman" w:hAnsi="Times New Roman"/>
          <w:sz w:val="24"/>
          <w:szCs w:val="24"/>
          <w:rtl w:val="0"/>
        </w:rPr>
        <w:t xml:space="preserve">L'identificazione degli IOC descritti nel §5 consente di formulare una valutazione del rischio secondo il paradigma della </w:t>
      </w:r>
      <w:r w:rsidDel="00000000" w:rsidR="00000000" w:rsidRPr="00000000">
        <w:rPr>
          <w:rFonts w:ascii="Times New Roman" w:cs="Times New Roman" w:eastAsia="Times New Roman" w:hAnsi="Times New Roman"/>
          <w:i w:val="1"/>
          <w:iCs w:val="1"/>
          <w:sz w:val="24"/>
          <w:szCs w:val="24"/>
          <w:rtl w:val="0"/>
        </w:rPr>
        <w:t xml:space="preserve">Likelihood</w:t>
      </w:r>
      <w:r w:rsidDel="00000000" w:rsidR="00000000" w:rsidRPr="00000000">
        <w:rPr>
          <w:rFonts w:ascii="Times New Roman" w:cs="Times New Roman" w:eastAsia="Times New Roman" w:hAnsi="Times New Roman"/>
          <w:sz w:val="24"/>
          <w:szCs w:val="24"/>
          <w:rtl w:val="0"/>
        </w:rPr>
        <w:t xml:space="preserve"> (probabilità) e dell'</w:t>
      </w:r>
      <w:r w:rsidDel="00000000" w:rsidR="00000000" w:rsidRPr="00000000">
        <w:rPr>
          <w:rFonts w:ascii="Times New Roman" w:cs="Times New Roman" w:eastAsia="Times New Roman" w:hAnsi="Times New Roman"/>
          <w:i w:val="1"/>
          <w:i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(impatto). La matrice che segue sintetizza la pericolosità delle evidenze rilevate:</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1"/>
                <w:bCs w:val="1"/>
                <w:sz w:val="22"/>
                <w:szCs w:val="22"/>
                <w:rtl w:val="0"/>
              </w:rPr>
              <w:t xml:space="preserve">IOC</w:t>
            </w: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1"/>
                <w:bCs w:val="1"/>
                <w:sz w:val="22"/>
                <w:szCs w:val="22"/>
                <w:rtl w:val="0"/>
              </w:rPr>
              <w:t xml:space="preserve">Probabilità di Escalation</w:t>
            </w:r>
            <w:r w:rsidDel="00000000" w:rsidR="00000000" w:rsidRPr="00000000">
              <w:rPr>
                <w:rtl w:val="0"/>
              </w:rPr>
            </w:r>
          </w:p>
        </w:tc>
        <w:tc>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1"/>
                <w:bCs w:val="1"/>
                <w:sz w:val="22"/>
                <w:szCs w:val="22"/>
                <w:rtl w:val="0"/>
              </w:rPr>
              <w:t xml:space="preserve">Impatto Potenziale</w:t>
            </w: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1"/>
                <w:bCs w:val="1"/>
                <w:sz w:val="22"/>
                <w:szCs w:val="22"/>
                <w:rtl w:val="0"/>
              </w:rPr>
              <w:t xml:space="preserve">Rischio Complessivo</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2"/>
                <w:szCs w:val="22"/>
                <w:rtl w:val="0"/>
              </w:rPr>
              <w:t xml:space="preserve">IOC-001 (Leak versione Samba)</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2"/>
                <w:szCs w:val="22"/>
                <w:rtl w:val="0"/>
              </w:rPr>
              <w:t xml:space="preserve">Alta</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2"/>
                <w:szCs w:val="22"/>
                <w:rtl w:val="0"/>
              </w:rPr>
              <w:t xml:space="preserve">Medio</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2"/>
                <w:szCs w:val="22"/>
                <w:rtl w:val="0"/>
              </w:rPr>
              <w:t xml:space="preserve">Medio-Alto</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2"/>
                <w:szCs w:val="22"/>
                <w:rtl w:val="0"/>
              </w:rPr>
              <w:t xml:space="preserve">IOC-003 (TCP connect scan multi-porta)</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2"/>
                <w:szCs w:val="22"/>
                <w:rtl w:val="0"/>
              </w:rPr>
              <w:t xml:space="preserve">Alta</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2"/>
                <w:szCs w:val="22"/>
                <w:rtl w:val="0"/>
              </w:rPr>
              <w:t xml:space="preserve">Medio</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2"/>
                <w:szCs w:val="22"/>
                <w:rtl w:val="0"/>
              </w:rPr>
              <w:t xml:space="preserve">Alto</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2"/>
                <w:szCs w:val="22"/>
                <w:rtl w:val="0"/>
              </w:rPr>
              <w:t xml:space="preserve">IOC-005 (Servizi legacy esposti)</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2"/>
                <w:szCs w:val="22"/>
                <w:rtl w:val="0"/>
              </w:rPr>
              <w:t xml:space="preserve">Molto Alta</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2"/>
                <w:szCs w:val="22"/>
                <w:rtl w:val="0"/>
              </w:rPr>
              <w:t xml:space="preserve">Alto</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2"/>
                <w:szCs w:val="22"/>
                <w:rtl w:val="0"/>
              </w:rPr>
              <w:t xml:space="preserve">Critico</w:t>
            </w:r>
            <w:r w:rsidDel="00000000" w:rsidR="00000000" w:rsidRPr="00000000">
              <w:rPr>
                <w:rtl w:val="0"/>
              </w:rPr>
            </w:r>
          </w:p>
        </w:tc>
      </w:tr>
    </w:tbl>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i w:val="1"/>
          <w:iCs w:val="1"/>
          <w:sz w:val="20"/>
          <w:szCs w:val="20"/>
          <w:rtl w:val="0"/>
        </w:rPr>
        <w:t xml:space="preserve">Tabella 5 — Matrice di valutazione del rischio</w: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La presenza concomitante di un'attività di scansione attiva (IOC-003) e di servizi vulnerabili o deprecati (IOC-005) determina uno scenario ad alto rischio, in quanto l'attaccante dispone sia degli strumenti di discovery sia dei vettori di attacco necessari per procedere alla fase successiva della kill chain (weaponization / exploitation).</w:t>
      </w:r>
    </w:p>
    <w:p w:rsidR="00000000" w:rsidDel="00000000" w:rsidP="00000000" w:rsidRDefault="00000000" w:rsidRPr="00000000" w14:paraId="000000BE">
      <w:pPr>
        <w:pStyle w:val="Heading2"/>
        <w:rPr/>
      </w:pPr>
      <w:r w:rsidDel="00000000" w:rsidR="00000000" w:rsidRPr="00000000">
        <w:rPr>
          <w:rFonts w:ascii="Times New Roman" w:cs="Times New Roman" w:eastAsia="Times New Roman" w:hAnsi="Times New Roman"/>
          <w:color w:val="000000"/>
          <w:rtl w:val="0"/>
        </w:rPr>
        <w:t xml:space="preserve">6.2 Ipotesi sui Vettori di Attacco Potenziali</w:t>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In virtù degli IOC rilevati, è possibile formulare le seguenti ipotesi sui vettori di attacco impiegabili in una fase offensiva successiva:</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Exploit di Samba (CVE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versione 3.0.20 è notoriamente affetta da vulnerabilità critiche (es. CVE-2007-2447, Samba 'username map script' Command Execution), che consentirebbero l'esecuzione di codice remoto con privilegi elevati.</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Attacco ai servizi Telnet/FTP non crittografati: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l'intercettazione del traffico su tali porte permetterebbe il furto di credenziali in chiaro, abilitando l'accesso non autorizzato al sistema.</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Remote Shell via rlogin/rsh (porte 512-514):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servizi rexec, rlogin e rshell sono storicamente noti per l'assenza di autenticazione robusta e potrebbero essere sfruttati per l'accesso interattivo remoto.</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Enumerazione RPC e NetBIOS (porte 111, 139, 445):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l'accesso a questi servizi potrebbe consentire il mapping delle risorse condivise e l'estrazione di informazioni sensibili (es. hash NTLM, elenchi utenti).</w:t>
      </w:r>
    </w:p>
    <w:p w:rsidR="00000000" w:rsidDel="00000000" w:rsidP="00000000" w:rsidRDefault="00000000" w:rsidRPr="00000000" w14:paraId="000000C4">
      <w:pPr>
        <w:pStyle w:val="Heading2"/>
        <w:rPr/>
      </w:pPr>
      <w:r w:rsidDel="00000000" w:rsidR="00000000" w:rsidRPr="00000000">
        <w:rPr>
          <w:rFonts w:ascii="Times New Roman" w:cs="Times New Roman" w:eastAsia="Times New Roman" w:hAnsi="Times New Roman"/>
          <w:color w:val="000000"/>
          <w:rtl w:val="0"/>
        </w:rPr>
        <w:t xml:space="preserve">6.3 Contromisure Tecniche</w: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Per mitigare i rischi identificati, si propone l'adozione delle seguenti contromisure tecniche, organizzate per livello di implementazione:</w:t>
      </w:r>
    </w:p>
    <w:p w:rsidR="00000000" w:rsidDel="00000000" w:rsidP="00000000" w:rsidRDefault="00000000" w:rsidRPr="00000000" w14:paraId="000000C6">
      <w:pPr>
        <w:ind w:left="360" w:firstLine="0"/>
        <w:rPr/>
      </w:pPr>
      <w:r w:rsidDel="00000000" w:rsidR="00000000" w:rsidRPr="00000000">
        <w:rPr>
          <w:rFonts w:ascii="Times New Roman" w:cs="Times New Roman" w:eastAsia="Times New Roman" w:hAnsi="Times New Roman"/>
          <w:b w:val="1"/>
          <w:bCs w:val="1"/>
          <w:sz w:val="24"/>
          <w:szCs w:val="24"/>
          <w:rtl w:val="0"/>
        </w:rPr>
        <w:t xml:space="preserve">a) Livello di Rete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Segmentazione e VLAN: isolare il server in una zona demilitarizzata (DMZ) o in una VLAN dedicata, limitando la visibilità dei pacchetti broadcast a livello di dominio di collisione.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Firewall di nuova generazione (NGFW): implementare regole stateful che limitino il numero di connessioni SYN per secondo provenienti da un singolo host (protezione SYN flood / scan detection).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IDS/IPS: distribuire sensori di rilevamento delle intrusioni (es. Snort, Suricata) con regole specifiche per l'identificazione di scansioni Nmap (es. regole ET SCAN).</w:t>
      </w:r>
    </w:p>
    <w:p w:rsidR="00000000" w:rsidDel="00000000" w:rsidP="00000000" w:rsidRDefault="00000000" w:rsidRPr="00000000" w14:paraId="000000CA">
      <w:pPr>
        <w:ind w:left="360" w:firstLine="0"/>
        <w:rPr/>
      </w:pPr>
      <w:r w:rsidDel="00000000" w:rsidR="00000000" w:rsidRPr="00000000">
        <w:rPr>
          <w:rFonts w:ascii="Times New Roman" w:cs="Times New Roman" w:eastAsia="Times New Roman" w:hAnsi="Times New Roman"/>
          <w:b w:val="1"/>
          <w:bCs w:val="1"/>
          <w:sz w:val="24"/>
          <w:szCs w:val="24"/>
          <w:rtl w:val="0"/>
        </w:rPr>
        <w:t xml:space="preserve">b) Livello di Host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Hardening del sistema operativo: disabilitare tutti i servizi non strettamente necessari, in particolare Telnet, FTP anonimo, rlogin e rshell.</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Aggiornamento dei pacchetti: aggiornare immediatamente Samba alla versione più recente e stabilire una procedura di patch management ricorrente.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Configurazione sicura di Samba: rimuovere il commento che espone la versione del software; implementare l'autenticazione SMB signing; limitare l'accesso alle share tramite ACL.</w:t>
      </w:r>
    </w:p>
    <w:p w:rsidR="00000000" w:rsidDel="00000000" w:rsidP="00000000" w:rsidRDefault="00000000" w:rsidRPr="00000000" w14:paraId="000000CE">
      <w:pPr>
        <w:ind w:left="360" w:firstLine="0"/>
        <w:rPr/>
      </w:pPr>
      <w:r w:rsidDel="00000000" w:rsidR="00000000" w:rsidRPr="00000000">
        <w:rPr>
          <w:rFonts w:ascii="Times New Roman" w:cs="Times New Roman" w:eastAsia="Times New Roman" w:hAnsi="Times New Roman"/>
          <w:b w:val="1"/>
          <w:bCs w:val="1"/>
          <w:sz w:val="24"/>
          <w:szCs w:val="24"/>
          <w:rtl w:val="0"/>
        </w:rPr>
        <w:t xml:space="preserve">c) Livello di Applicazione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Sostituzione di protocolli non sicuri: migrare da Telnet a SSH, da FTP a SFTP/SCP, implementando sempre l'autenticazione a chiave pubblica.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 del minimo privilegio: configurare i servizi attivi per l'esecuzione con account non privilegiati (service accounts).</w:t>
      </w:r>
    </w:p>
    <w:p w:rsidR="00000000" w:rsidDel="00000000" w:rsidP="00000000" w:rsidRDefault="00000000" w:rsidRPr="00000000" w14:paraId="000000D1">
      <w:pPr>
        <w:pStyle w:val="Heading2"/>
        <w:rPr/>
      </w:pPr>
      <w:r w:rsidDel="00000000" w:rsidR="00000000" w:rsidRPr="00000000">
        <w:rPr>
          <w:rFonts w:ascii="Times New Roman" w:cs="Times New Roman" w:eastAsia="Times New Roman" w:hAnsi="Times New Roman"/>
          <w:color w:val="000000"/>
          <w:rtl w:val="0"/>
        </w:rPr>
        <w:t xml:space="preserve">6.4 Contromisure Procedurali e Organizzative</w:t>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Oltre alle misure tecniche, risulta indispensabile rafforzare il perimetro umano e procedurale: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Monitoraggio continuo: implementare un SIEM (Security Information and Event Management) per la correlazione degli eventi di rete e l'allerta tempestiva su pattern di scansione.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Intelligence attiva: sottoscrivere feed di intelligence per il rilevamento di IP sospetti e per l'aggiornamento continuo delle firme di attacco.</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Formazione del personale: sensibilizzare gli amministratori di sistema ai rischi associati all'esposizione di servizi legacy e alle tecniche di footprinting.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Response Plan: definire procedure documentate per la risposta agli incidenti, inclusa la catena di escalation e le modalità di contenimento.</w:t>
      </w:r>
    </w:p>
    <w:p w:rsidR="00000000" w:rsidDel="00000000" w:rsidP="00000000" w:rsidRDefault="00000000" w:rsidRPr="00000000" w14:paraId="000000D7">
      <w:pPr>
        <w:pStyle w:val="Heading1"/>
        <w:rPr/>
      </w:pPr>
      <w:r w:rsidDel="00000000" w:rsidR="00000000" w:rsidRPr="00000000">
        <w:rPr>
          <w:rFonts w:ascii="Times New Roman" w:cs="Times New Roman" w:eastAsia="Times New Roman" w:hAnsi="Times New Roman"/>
          <w:color w:val="000000"/>
          <w:rtl w:val="0"/>
        </w:rPr>
        <w:t xml:space="preserve">7. Considerazioni Finali e Lezioni Apprese</w:t>
      </w:r>
      <w:r w:rsidDel="00000000" w:rsidR="00000000" w:rsidRPr="00000000">
        <w:rPr>
          <w:rtl w:val="0"/>
        </w:rPr>
      </w:r>
    </w:p>
    <w:p w:rsidR="00000000" w:rsidDel="00000000" w:rsidP="00000000" w:rsidRDefault="00000000" w:rsidRPr="00000000" w14:paraId="000000D8">
      <w:pPr>
        <w:jc w:val="both"/>
        <w:rPr/>
      </w:pPr>
      <w:r w:rsidDel="00000000" w:rsidR="00000000" w:rsidRPr="00000000">
        <w:rPr>
          <w:rFonts w:ascii="Times New Roman" w:cs="Times New Roman" w:eastAsia="Times New Roman" w:hAnsi="Times New Roman"/>
          <w:sz w:val="24"/>
          <w:szCs w:val="24"/>
          <w:rtl w:val="0"/>
        </w:rPr>
        <w:t xml:space="preserve">L'esercitazione condotta ha confermato l'importanza cruciale della fase di ricognizione nell'economia di un attacco informatico. L'analisi della cattura Wireshark ha dimostrato che anche attività apparentemente innocue — quali le broadcast SMB o le scansioni di porte — generano artefatti rilevabili e classificabili come IOC. La capacità di distinguere tra traffico legittimo, ricognizione passiva e scansione attiva rappresenta una competenza fondamentale per l'analista di sicurezza.</w:t>
      </w:r>
      <w:r w:rsidDel="00000000" w:rsidR="00000000" w:rsidRPr="00000000">
        <w:rPr>
          <w:rtl w:val="0"/>
        </w:rPr>
      </w:r>
    </w:p>
    <w:p w:rsidR="00000000" w:rsidDel="00000000" w:rsidP="00000000" w:rsidRDefault="00000000" w:rsidRPr="00000000" w14:paraId="000000D9">
      <w:pPr>
        <w:jc w:val="both"/>
        <w:rPr/>
      </w:pPr>
      <w:r w:rsidDel="00000000" w:rsidR="00000000" w:rsidRPr="00000000">
        <w:rPr>
          <w:rFonts w:ascii="Times New Roman" w:cs="Times New Roman" w:eastAsia="Times New Roman" w:hAnsi="Times New Roman"/>
          <w:sz w:val="24"/>
          <w:szCs w:val="24"/>
          <w:rtl w:val="0"/>
        </w:rPr>
        <w:t xml:space="preserve">È emerso, inoltre, che l'ambiente Metasploitable, per sua natura deliberatamente vulnerabile, espone una superficie di attacco eccessivamente ampia, rendendo evidenti le conseguenze di una cattiva gestione dei servizi di rete. La coesistenza di protocolli deprecati (Telnet, rlogin) e di versioni obsolete di software di condivisione file (Samba 3.0.20) costituisce un campionario emblematico delle configurazioni che, purtroppo, ancora oggi si riscontrano in contesti produttivi non adeguatamente manutenuti.</w:t>
      </w:r>
      <w:r w:rsidDel="00000000" w:rsidR="00000000" w:rsidRPr="00000000">
        <w:rPr>
          <w:rtl w:val="0"/>
        </w:rPr>
      </w:r>
    </w:p>
    <w:p w:rsidR="00000000" w:rsidDel="00000000" w:rsidP="00000000" w:rsidRDefault="00000000" w:rsidRPr="00000000" w14:paraId="000000DA">
      <w:pPr>
        <w:jc w:val="both"/>
        <w:rPr/>
      </w:pPr>
      <w:r w:rsidDel="00000000" w:rsidR="00000000" w:rsidRPr="00000000">
        <w:rPr>
          <w:rFonts w:ascii="Times New Roman" w:cs="Times New Roman" w:eastAsia="Times New Roman" w:hAnsi="Times New Roman"/>
          <w:sz w:val="24"/>
          <w:szCs w:val="24"/>
          <w:rtl w:val="0"/>
        </w:rPr>
        <w:t xml:space="preserve">Dal punto di vista metodologico, l'integrazione tra strumenti di cattura passiva (Wireshark) e strumenti di scansione attiva (Nmap) ha permesso di correlare il traffico di rete con le azioni dell'attaccante, fornendo una visione olistica del processo di reconnaissance. Tale approccio, replicato in un contesto aziendale, consentirebbe di identificare tempestivamente un potenziale avversario ancora nella fase preparatoria, offrendo al blue team un vantaggio temporale decisivo per l'attuazione delle contromisure.</w:t>
      </w:r>
      <w:r w:rsidDel="00000000" w:rsidR="00000000" w:rsidRPr="00000000">
        <w:rPr>
          <w:rtl w:val="0"/>
        </w:rPr>
      </w:r>
    </w:p>
    <w:p w:rsidR="00000000" w:rsidDel="00000000" w:rsidP="00000000" w:rsidRDefault="00000000" w:rsidRPr="00000000" w14:paraId="000000DB">
      <w:pPr>
        <w:jc w:val="both"/>
        <w:rPr/>
      </w:pPr>
      <w:r w:rsidDel="00000000" w:rsidR="00000000" w:rsidRPr="00000000">
        <w:rPr>
          <w:rFonts w:ascii="Times New Roman" w:cs="Times New Roman" w:eastAsia="Times New Roman" w:hAnsi="Times New Roman"/>
          <w:sz w:val="24"/>
          <w:szCs w:val="24"/>
          <w:rtl w:val="0"/>
        </w:rPr>
        <w:t xml:space="preserve">In conclusione, il presente lavoro ribadisce che la cybersecurity non può prescindere da una gestione proattiva della visibilità di rete: ogni pacchetto trasporta informazioni; la capacità di leggerle, interpretarle e contestualizzarle è il presupposto indispensabile per la costruzione di una difesa resiliente e consapevole.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i w:val="1"/>
          <w:iCs w:val="1"/>
          <w:sz w:val="20"/>
          <w:szCs w:val="20"/>
          <w:rtl w:val="0"/>
        </w:rPr>
        <w:t xml:space="preserve">Documento redatto per finalità esclusivamente didattiche e di ricerca accademica.</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ByArPes16hI+Io5h3WURCiwDug==">CgMxLjAaIwoBMBIeChwIB0IYCg9UaW1lcyBOZXcgUm9tYW4SBUNhcmRvOAByITFzb3FaMWFBdzNHY3Y0eklKR0VNME5qQkpydlRiTzVSZQ==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