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0"/>
          <w:szCs w:val="40"/>
        </w:rPr>
        <w:t xml:space="preserve">Relazione Tecnica di Vulnerability Assessment</w:t>
      </w:r>
    </w:p>
    <w:p>
      <w:pPr>
        <w:spacing w:after="200" w:before="200"/>
        <w:jc w:val="center"/>
      </w:pPr>
      <w:r>
        <w:rPr>
          <w:color w:val="2E5395"/>
          <w:sz w:val="28"/>
          <w:szCs w:val="28"/>
        </w:rPr>
        <w:t xml:space="preserve">Scansione di Rete e Analisi delle Vulnerabilità su Ambiente Metasploitable</w:t>
      </w:r>
    </w:p>
    <w:p>
      <w:pPr>
        <w:spacing w:before="400"/>
        <w:jc w:val="center"/>
      </w:pPr>
      <w:r>
        <w:rPr>
          <w:i/>
          <w:iCs/>
          <w:sz w:val="22"/>
          <w:szCs w:val="22"/>
        </w:rPr>
        <w:t xml:space="preserve">Target: 192.168.50.2  |  Strumento: Nmap 7.99</w:t>
      </w:r>
    </w:p>
    <w:p>
      <w:pPr>
        <w:spacing w:before="100"/>
        <w:jc w:val="center"/>
      </w:pPr>
      <w:r>
        <w:rPr>
          <w:i/>
          <w:iCs/>
          <w:sz w:val="22"/>
          <w:szCs w:val="22"/>
        </w:rPr>
        <w:t xml:space="preserve">Data esecuzione scansione: 9 luglio 2026</w:t>
      </w:r>
    </w:p>
    <w:p>
      <w:pPr>
        <w:spacing w:before="100"/>
        <w:jc w:val="center"/>
      </w:pPr>
      <w:r>
        <w:rPr>
          <w:color w:val="595959"/>
          <w:sz w:val="20"/>
          <w:szCs w:val="20"/>
        </w:rPr>
        <w:t xml:space="preserve">Documento redatto per finalità didattiche e di analisi strategica.</w:t>
      </w:r>
    </w:p>
    <w:p>
      <w:r>
        <w:br w:type="page"/>
      </w:r>
    </w:p>
    <w:p>
      <w:pPr>
        <w:pStyle w:val="Heading1"/>
        <w:spacing w:after="200" w:before="360"/>
      </w:pPr>
      <w:r>
        <w:t xml:space="preserve">1. Sintesi</w:t>
      </w:r>
    </w:p>
    <w:p>
      <w:pPr>
        <w:spacing w:after="160" w:line="276"/>
      </w:pPr>
      <w:r>
        <w:t xml:space="preserve">La presente relazione documenta l'attività di network scanning condotta sulla macchina target Metasploitable (indirizzo IP 192.168.50.2), un ambiente intenzionalmente vulnerabile utilizzato a scopo didattico per l'addestramento in ambito cyber security. L'attività, eseguita mediante lo strumento Nmap, ha permesso di identificare 22 porte TCP aperte e i relativi servizi in esecuzione. L'analisi ha evidenziato la presenza di numerose vulnerabilità critiche, tra cui backdoor note nei servizi FTP (vsftpd, ProFTPD), IRC (UnrealIRCd) e una shell di root esposta senza autenticazione sulla porta 1524. Il documento illustra la metodologia adottata, i risultati della scansione, la valutazione dei rischi associati a ciascun servizio e le raccomandazioni di mitigazione secondo le best practice di settore.</w:t>
      </w:r>
    </w:p>
    <w:p>
      <w:pPr>
        <w:pStyle w:val="Heading1"/>
        <w:spacing w:after="200" w:before="360"/>
      </w:pPr>
      <w:r>
        <w:t xml:space="preserve">2. Obiettivo e Metodologia</w:t>
      </w:r>
    </w:p>
    <w:p>
      <w:pPr>
        <w:spacing w:after="160" w:line="276"/>
      </w:pPr>
      <w:r>
        <w:t xml:space="preserve">Obiettivo dell'attività è stato eseguire una scansione di rete completa per identificare host attivi, porte aperte e servizi in esecuzione sul sistema target, propedeutica a una successiva valutazione delle vulnerabilità e dei rischi associati, in linea con le pratiche standard di Vulnerability Assessment &amp; Penetration Testing (VAPT).</w:t>
      </w:r>
    </w:p>
    <w:p>
      <w:pPr>
        <w:pStyle w:val="Heading2"/>
        <w:spacing w:after="160" w:before="280"/>
      </w:pPr>
      <w:r>
        <w:t xml:space="preserve">2.1 Strumento e Comando Utilizzato</w:t>
      </w:r>
    </w:p>
    <w:p>
      <w:pPr>
        <w:spacing w:after="160" w:line="276"/>
      </w:pPr>
      <w:r>
        <w:t xml:space="preserve">La scansione è stata effettuata con Nmap versione 7.99, tramite il seguente comando:</w:t>
      </w:r>
    </w:p>
    <w:p>
      <w:pPr>
        <w:shd w:fill="F2F2F2" w:val="clear"/>
        <w:spacing w:after="200"/>
      </w:pPr>
      <w:r>
        <w:rPr>
          <w:rFonts w:ascii="Consolas" w:cs="Consolas" w:eastAsia="Consolas" w:hAnsi="Consolas"/>
          <w:sz w:val="20"/>
          <w:szCs w:val="20"/>
        </w:rPr>
        <w:t xml:space="preserve">nmap -sV -oG scan_results.grep 192.168.50.2</w:t>
      </w:r>
    </w:p>
    <w:p>
      <w:pPr>
        <w:spacing w:after="160" w:line="276"/>
      </w:pPr>
      <w:r>
        <w:t xml:space="preserve">L'opzione -sV abilita il rilevamento della versione dei servizi (service/version detection), fondamentale per associare a ciascuna porta la relativa vulnerabilità nota (CVE).</w:t>
      </w:r>
    </w:p>
    <w:p>
      <w:pPr>
        <w:pStyle w:val="Heading2"/>
        <w:spacing w:after="160" w:before="280"/>
      </w:pPr>
      <w:r>
        <w:t xml:space="preserve">2.2 Ambiente di Test</w:t>
      </w:r>
    </w:p>
    <w:p>
      <w:pPr>
        <w:pStyle w:val="ListParagraph"/>
        <w:numPr>
          <w:ilvl w:val="0"/>
          <w:numId w:val="2"/>
        </w:numPr>
        <w:spacing w:after="80"/>
      </w:pPr>
      <w:r>
        <w:t xml:space="preserve">Target: 192.168.50.2 (Metasploitable 2, macchina virtuale intenzionalmente vulnerabile)</w:t>
      </w:r>
    </w:p>
    <w:p>
      <w:pPr>
        <w:pStyle w:val="ListParagraph"/>
        <w:numPr>
          <w:ilvl w:val="0"/>
          <w:numId w:val="2"/>
        </w:numPr>
        <w:spacing w:after="80"/>
      </w:pPr>
      <w:r>
        <w:t xml:space="preserve">Rete: ambiente di laboratorio isolato (host-only / NAT)</w:t>
      </w:r>
    </w:p>
    <w:p>
      <w:pPr>
        <w:pStyle w:val="ListParagraph"/>
        <w:numPr>
          <w:ilvl w:val="0"/>
          <w:numId w:val="2"/>
        </w:numPr>
        <w:spacing w:after="80"/>
      </w:pPr>
      <w:r>
        <w:t xml:space="preserve">Durata scansione: 12,19 secondi</w:t>
      </w:r>
    </w:p>
    <w:p>
      <w:pPr>
        <w:pStyle w:val="ListParagraph"/>
        <w:numPr>
          <w:ilvl w:val="0"/>
          <w:numId w:val="2"/>
        </w:numPr>
        <w:spacing w:after="80"/>
      </w:pPr>
      <w:r>
        <w:t xml:space="preserve">Esito: host attivo (Up), 22 porte aperte su 977 analizzate come chiuse</w:t>
      </w:r>
    </w:p>
    <w:p>
      <w:pPr>
        <w:pStyle w:val="Heading1"/>
        <w:spacing w:after="200" w:before="360"/>
      </w:pPr>
      <w:r>
        <w:t xml:space="preserve">3. Risultati della Scansione Nmap</w:t>
      </w:r>
    </w:p>
    <w:p>
      <w:pPr>
        <w:spacing w:after="160" w:line="276"/>
      </w:pPr>
      <w:r>
        <w:t xml:space="preserve">La scansione ha rilevato l'host attivo e un totale di 22 porte TCP aperte, con relativa identificazione del servizio e, ove possibile, della versione software. La tabella seguente riassume i risultati grezzi ottenuti.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100"/>
        <w:gridCol w:w="2100"/>
        <w:gridCol w:w="1200"/>
        <w:gridCol w:w="2000"/>
      </w:tblGrid>
      <w:tr>
        <w:trPr>
          <w:tblHeader/>
        </w:trPr>
        <w:tc>
          <w:tcPr>
            <w:tcW w:type="dxa" w:w="1000"/>
            <w:shd w:fill="1F3864" w:val="clear"/>
            <w:tcMar>
              <w:top w:type="dxa" w:w="80"/>
              <w:left w:type="dxa" w:w="100"/>
              <w:bottom w:type="dxa" w:w="80"/>
              <w:right w:type="dxa" w:w="100"/>
            </w:tcMar>
            <w:vAlign w:val="center"/>
          </w:tcPr>
          <w:p>
            <w:pPr>
              <w:jc w:val="center"/>
            </w:pPr>
            <w:r>
              <w:rPr>
                <w:b/>
                <w:bCs/>
                <w:color w:val="FFFFFF"/>
                <w:sz w:val="20"/>
                <w:szCs w:val="20"/>
              </w:rPr>
              <w:t xml:space="preserve">Porta</w:t>
            </w:r>
          </w:p>
        </w:tc>
        <w:tc>
          <w:tcPr>
            <w:tcW w:type="dxa" w:w="1000"/>
            <w:shd w:fill="1F3864" w:val="clear"/>
            <w:tcMar>
              <w:top w:type="dxa" w:w="80"/>
              <w:left w:type="dxa" w:w="100"/>
              <w:bottom w:type="dxa" w:w="80"/>
              <w:right w:type="dxa" w:w="100"/>
            </w:tcMar>
            <w:vAlign w:val="center"/>
          </w:tcPr>
          <w:p>
            <w:pPr>
              <w:jc w:val="center"/>
            </w:pPr>
            <w:r>
              <w:rPr>
                <w:b/>
                <w:bCs/>
                <w:color w:val="FFFFFF"/>
                <w:sz w:val="20"/>
                <w:szCs w:val="20"/>
              </w:rPr>
              <w:t xml:space="preserve">Protocollo</w:t>
            </w:r>
          </w:p>
        </w:tc>
        <w:tc>
          <w:tcPr>
            <w:tcW w:type="dxa" w:w="2100"/>
            <w:shd w:fill="1F3864" w:val="clear"/>
            <w:tcMar>
              <w:top w:type="dxa" w:w="80"/>
              <w:left w:type="dxa" w:w="100"/>
              <w:bottom w:type="dxa" w:w="80"/>
              <w:right w:type="dxa" w:w="100"/>
            </w:tcMar>
            <w:vAlign w:val="center"/>
          </w:tcPr>
          <w:p>
            <w:pPr>
              <w:jc w:val="left"/>
            </w:pPr>
            <w:r>
              <w:rPr>
                <w:b/>
                <w:bCs/>
                <w:color w:val="FFFFFF"/>
                <w:sz w:val="20"/>
                <w:szCs w:val="20"/>
              </w:rPr>
              <w:t xml:space="preserve">Servizio / Versione</w:t>
            </w:r>
          </w:p>
        </w:tc>
        <w:tc>
          <w:tcPr>
            <w:tcW w:type="dxa" w:w="2100"/>
            <w:shd w:fill="1F3864" w:val="clear"/>
            <w:tcMar>
              <w:top w:type="dxa" w:w="80"/>
              <w:left w:type="dxa" w:w="100"/>
              <w:bottom w:type="dxa" w:w="80"/>
              <w:right w:type="dxa" w:w="100"/>
            </w:tcMar>
            <w:vAlign w:val="center"/>
          </w:tcPr>
          <w:p>
            <w:pPr>
              <w:jc w:val="left"/>
            </w:pPr>
            <w:r>
              <w:rPr>
                <w:b/>
                <w:bCs/>
                <w:color w:val="FFFFFF"/>
                <w:sz w:val="20"/>
                <w:szCs w:val="20"/>
              </w:rPr>
              <w:t xml:space="preserve">Vulnerabilità Nota</w:t>
            </w:r>
          </w:p>
        </w:tc>
        <w:tc>
          <w:tcPr>
            <w:tcW w:type="dxa" w:w="1200"/>
            <w:shd w:fill="1F3864" w:val="clear"/>
            <w:tcMar>
              <w:top w:type="dxa" w:w="80"/>
              <w:left w:type="dxa" w:w="100"/>
              <w:bottom w:type="dxa" w:w="80"/>
              <w:right w:type="dxa" w:w="100"/>
            </w:tcMar>
            <w:vAlign w:val="center"/>
          </w:tcPr>
          <w:p>
            <w:pPr>
              <w:jc w:val="center"/>
            </w:pPr>
            <w:r>
              <w:rPr>
                <w:b/>
                <w:bCs/>
                <w:color w:val="FFFFFF"/>
                <w:sz w:val="20"/>
                <w:szCs w:val="20"/>
              </w:rPr>
              <w:t xml:space="preserve">CVE / Rif.</w:t>
            </w:r>
          </w:p>
        </w:tc>
        <w:tc>
          <w:tcPr>
            <w:tcW w:type="dxa" w:w="2000"/>
            <w:shd w:fill="1F3864" w:val="clear"/>
            <w:tcMar>
              <w:top w:type="dxa" w:w="80"/>
              <w:left w:type="dxa" w:w="100"/>
              <w:bottom w:type="dxa" w:w="80"/>
              <w:right w:type="dxa" w:w="100"/>
            </w:tcMar>
            <w:vAlign w:val="center"/>
          </w:tcPr>
          <w:p>
            <w:pPr>
              <w:jc w:val="center"/>
            </w:pPr>
            <w:r>
              <w:rPr>
                <w:b/>
                <w:bCs/>
                <w:color w:val="FFFFFF"/>
                <w:sz w:val="20"/>
                <w:szCs w:val="20"/>
              </w:rPr>
              <w:t xml:space="preserve">Rischio</w:t>
            </w:r>
          </w:p>
        </w:tc>
      </w:tr>
      <w:tr>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21</w:t>
            </w:r>
          </w:p>
        </w:tc>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FTP – vsftpd 2.3.4</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Backdoor: una stringa di login contenente ":)" apre una shell remota sulla porta 6200/tcp.</w:t>
            </w:r>
          </w:p>
        </w:tc>
        <w:tc>
          <w:tcPr>
            <w:tcW w:type="dxa" w:w="1200"/>
            <w:shd w:fill="FFFFFF" w:val="clear"/>
            <w:tcMar>
              <w:top w:type="dxa" w:w="80"/>
              <w:left w:type="dxa" w:w="100"/>
              <w:bottom w:type="dxa" w:w="80"/>
              <w:right w:type="dxa" w:w="100"/>
            </w:tcMar>
            <w:vAlign w:val="center"/>
          </w:tcPr>
          <w:p>
            <w:pPr>
              <w:jc w:val="center"/>
            </w:pPr>
            <w:r>
              <w:rPr>
                <w:b w:val="false"/>
                <w:bCs w:val="false"/>
                <w:sz w:val="20"/>
                <w:szCs w:val="20"/>
              </w:rPr>
              <w:t xml:space="preserve">CVE-2011-2523</w:t>
            </w:r>
          </w:p>
        </w:tc>
        <w:tc>
          <w:tcPr>
            <w:tcW w:type="dxa" w:w="2000"/>
            <w:shd w:fill="FFFFFF" w:val="clear"/>
            <w:tcMar>
              <w:top w:type="dxa" w:w="80"/>
              <w:left w:type="dxa" w:w="100"/>
              <w:bottom w:type="dxa" w:w="80"/>
              <w:right w:type="dxa" w:w="100"/>
            </w:tcMar>
            <w:vAlign w:val="center"/>
          </w:tcPr>
          <w:p>
            <w:pPr>
              <w:jc w:val="center"/>
            </w:pPr>
            <w:r>
              <w:rPr>
                <w:b/>
                <w:bCs/>
                <w:color w:val="C00000"/>
                <w:sz w:val="20"/>
                <w:szCs w:val="20"/>
              </w:rPr>
              <w:t xml:space="preserve">Critico</w:t>
            </w:r>
          </w:p>
        </w:tc>
      </w:tr>
      <w:tr>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22</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SSH – OpenSSH 4.7p1 (Debian 8ubuntu1)</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Versione obsoleta con debolezze note nella generazione delle chiavi (Debian OpenSSL PRNG) e vettori di user-enumeration.</w:t>
            </w:r>
          </w:p>
        </w:tc>
        <w:tc>
          <w:tcPr>
            <w:tcW w:type="dxa" w:w="1200"/>
            <w:shd w:fill="F2F2F2" w:val="clear"/>
            <w:tcMar>
              <w:top w:type="dxa" w:w="80"/>
              <w:left w:type="dxa" w:w="100"/>
              <w:bottom w:type="dxa" w:w="80"/>
              <w:right w:type="dxa" w:w="100"/>
            </w:tcMar>
            <w:vAlign w:val="center"/>
          </w:tcPr>
          <w:p>
            <w:pPr>
              <w:jc w:val="center"/>
            </w:pPr>
            <w:r>
              <w:rPr>
                <w:b w:val="false"/>
                <w:bCs w:val="false"/>
                <w:sz w:val="20"/>
                <w:szCs w:val="20"/>
              </w:rPr>
              <w:t xml:space="preserve">CVE-2008-0166</w:t>
            </w:r>
          </w:p>
        </w:tc>
        <w:tc>
          <w:tcPr>
            <w:tcW w:type="dxa" w:w="2000"/>
            <w:shd w:fill="F2F2F2" w:val="clear"/>
            <w:tcMar>
              <w:top w:type="dxa" w:w="80"/>
              <w:left w:type="dxa" w:w="100"/>
              <w:bottom w:type="dxa" w:w="80"/>
              <w:right w:type="dxa" w:w="100"/>
            </w:tcMar>
            <w:vAlign w:val="center"/>
          </w:tcPr>
          <w:p>
            <w:pPr>
              <w:jc w:val="center"/>
            </w:pPr>
            <w:r>
              <w:rPr>
                <w:b/>
                <w:bCs/>
                <w:color w:val="BF9000"/>
                <w:sz w:val="20"/>
                <w:szCs w:val="20"/>
              </w:rPr>
              <w:t xml:space="preserve">Medio</w:t>
            </w:r>
          </w:p>
        </w:tc>
      </w:tr>
      <w:tr>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23</w:t>
            </w:r>
          </w:p>
        </w:tc>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Telnet – Linux telnetd</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Protocollo in chiaro: credenziali e traffico intercettabili via sniffing; nessuna cifratura.</w:t>
            </w:r>
          </w:p>
        </w:tc>
        <w:tc>
          <w:tcPr>
            <w:tcW w:type="dxa" w:w="1200"/>
            <w:shd w:fill="FFFFFF" w:val="clear"/>
            <w:tcMar>
              <w:top w:type="dxa" w:w="80"/>
              <w:left w:type="dxa" w:w="100"/>
              <w:bottom w:type="dxa" w:w="80"/>
              <w:right w:type="dxa" w:w="100"/>
            </w:tcMar>
            <w:vAlign w:val="center"/>
          </w:tcPr>
          <w:p>
            <w:pPr>
              <w:jc w:val="center"/>
            </w:pPr>
            <w:r>
              <w:rPr>
                <w:b w:val="false"/>
                <w:bCs w:val="false"/>
                <w:sz w:val="20"/>
                <w:szCs w:val="20"/>
              </w:rPr>
              <w:t xml:space="preserve">CWE-319</w:t>
            </w:r>
          </w:p>
        </w:tc>
        <w:tc>
          <w:tcPr>
            <w:tcW w:type="dxa" w:w="2000"/>
            <w:shd w:fill="FFFFFF" w:val="clear"/>
            <w:tcMar>
              <w:top w:type="dxa" w:w="80"/>
              <w:left w:type="dxa" w:w="100"/>
              <w:bottom w:type="dxa" w:w="80"/>
              <w:right w:type="dxa" w:w="100"/>
            </w:tcMar>
            <w:vAlign w:val="center"/>
          </w:tcPr>
          <w:p>
            <w:pPr>
              <w:jc w:val="center"/>
            </w:pPr>
            <w:r>
              <w:rPr>
                <w:b/>
                <w:bCs/>
                <w:color w:val="E36C09"/>
                <w:sz w:val="20"/>
                <w:szCs w:val="20"/>
              </w:rPr>
              <w:t xml:space="preserve">Alto</w:t>
            </w:r>
          </w:p>
        </w:tc>
      </w:tr>
      <w:tr>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25</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SMTP – Postfix smtpd</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Possibile uso come open relay e information disclosure tramite comandi VRFY/EXPN per l'enumerazione utenti.</w:t>
            </w:r>
          </w:p>
        </w:tc>
        <w:tc>
          <w:tcPr>
            <w:tcW w:type="dxa" w:w="1200"/>
            <w:shd w:fill="F2F2F2" w:val="clear"/>
            <w:tcMar>
              <w:top w:type="dxa" w:w="80"/>
              <w:left w:type="dxa" w:w="100"/>
              <w:bottom w:type="dxa" w:w="80"/>
              <w:right w:type="dxa" w:w="100"/>
            </w:tcMar>
            <w:vAlign w:val="center"/>
          </w:tcPr>
          <w:p>
            <w:pPr>
              <w:jc w:val="center"/>
            </w:pPr>
            <w:r>
              <w:rPr>
                <w:b w:val="false"/>
                <w:bCs w:val="false"/>
                <w:sz w:val="20"/>
                <w:szCs w:val="20"/>
              </w:rPr>
              <w:t xml:space="preserve">CWE-200</w:t>
            </w:r>
          </w:p>
        </w:tc>
        <w:tc>
          <w:tcPr>
            <w:tcW w:type="dxa" w:w="2000"/>
            <w:shd w:fill="F2F2F2" w:val="clear"/>
            <w:tcMar>
              <w:top w:type="dxa" w:w="80"/>
              <w:left w:type="dxa" w:w="100"/>
              <w:bottom w:type="dxa" w:w="80"/>
              <w:right w:type="dxa" w:w="100"/>
            </w:tcMar>
            <w:vAlign w:val="center"/>
          </w:tcPr>
          <w:p>
            <w:pPr>
              <w:jc w:val="center"/>
            </w:pPr>
            <w:r>
              <w:rPr>
                <w:b/>
                <w:bCs/>
                <w:color w:val="BF9000"/>
                <w:sz w:val="20"/>
                <w:szCs w:val="20"/>
              </w:rPr>
              <w:t xml:space="preserve">Medio</w:t>
            </w:r>
          </w:p>
        </w:tc>
      </w:tr>
      <w:tr>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53</w:t>
            </w:r>
          </w:p>
        </w:tc>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DNS – ISC BIND 9.4.2</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Versione datata soggetta a cache poisoning e a diverse CVE di denial-of-service.</w:t>
            </w:r>
          </w:p>
        </w:tc>
        <w:tc>
          <w:tcPr>
            <w:tcW w:type="dxa" w:w="1200"/>
            <w:shd w:fill="FFFFFF" w:val="clear"/>
            <w:tcMar>
              <w:top w:type="dxa" w:w="80"/>
              <w:left w:type="dxa" w:w="100"/>
              <w:bottom w:type="dxa" w:w="80"/>
              <w:right w:type="dxa" w:w="100"/>
            </w:tcMar>
            <w:vAlign w:val="center"/>
          </w:tcPr>
          <w:p>
            <w:pPr>
              <w:jc w:val="center"/>
            </w:pPr>
            <w:r>
              <w:rPr>
                <w:b w:val="false"/>
                <w:bCs w:val="false"/>
                <w:sz w:val="20"/>
                <w:szCs w:val="20"/>
              </w:rPr>
              <w:t xml:space="preserve">CVE-2008-0122</w:t>
            </w:r>
          </w:p>
        </w:tc>
        <w:tc>
          <w:tcPr>
            <w:tcW w:type="dxa" w:w="2000"/>
            <w:shd w:fill="FFFFFF" w:val="clear"/>
            <w:tcMar>
              <w:top w:type="dxa" w:w="80"/>
              <w:left w:type="dxa" w:w="100"/>
              <w:bottom w:type="dxa" w:w="80"/>
              <w:right w:type="dxa" w:w="100"/>
            </w:tcMar>
            <w:vAlign w:val="center"/>
          </w:tcPr>
          <w:p>
            <w:pPr>
              <w:jc w:val="center"/>
            </w:pPr>
            <w:r>
              <w:rPr>
                <w:b/>
                <w:bCs/>
                <w:color w:val="BF9000"/>
                <w:sz w:val="20"/>
                <w:szCs w:val="20"/>
              </w:rPr>
              <w:t xml:space="preserve">Medio</w:t>
            </w:r>
          </w:p>
        </w:tc>
      </w:tr>
      <w:tr>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80</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HTTP – Apache 2.2.8 (Ubuntu) DAV/2</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Versione end-of-life; modulo WebDAV e applicazioni web di test (DVWA, Mutillidae) con SQLi/XSS/LFI note.</w:t>
            </w:r>
          </w:p>
        </w:tc>
        <w:tc>
          <w:tcPr>
            <w:tcW w:type="dxa" w:w="1200"/>
            <w:shd w:fill="F2F2F2" w:val="clear"/>
            <w:tcMar>
              <w:top w:type="dxa" w:w="80"/>
              <w:left w:type="dxa" w:w="100"/>
              <w:bottom w:type="dxa" w:w="80"/>
              <w:right w:type="dxa" w:w="100"/>
            </w:tcMar>
            <w:vAlign w:val="center"/>
          </w:tcPr>
          <w:p>
            <w:pPr>
              <w:jc w:val="center"/>
            </w:pPr>
            <w:r>
              <w:rPr>
                <w:b w:val="false"/>
                <w:bCs w:val="false"/>
                <w:sz w:val="20"/>
                <w:szCs w:val="20"/>
              </w:rPr>
              <w:t xml:space="preserve">CVE-2009-1891</w:t>
            </w:r>
          </w:p>
        </w:tc>
        <w:tc>
          <w:tcPr>
            <w:tcW w:type="dxa" w:w="2000"/>
            <w:shd w:fill="F2F2F2" w:val="clear"/>
            <w:tcMar>
              <w:top w:type="dxa" w:w="80"/>
              <w:left w:type="dxa" w:w="100"/>
              <w:bottom w:type="dxa" w:w="80"/>
              <w:right w:type="dxa" w:w="100"/>
            </w:tcMar>
            <w:vAlign w:val="center"/>
          </w:tcPr>
          <w:p>
            <w:pPr>
              <w:jc w:val="center"/>
            </w:pPr>
            <w:r>
              <w:rPr>
                <w:b/>
                <w:bCs/>
                <w:color w:val="E36C09"/>
                <w:sz w:val="20"/>
                <w:szCs w:val="20"/>
              </w:rPr>
              <w:t xml:space="preserve">Alto</w:t>
            </w:r>
          </w:p>
        </w:tc>
      </w:tr>
      <w:tr>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111</w:t>
            </w:r>
          </w:p>
        </w:tc>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RPC – rpcbind</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Espone il mapping dei servizi RPC, facilitando l'enumerazione di NFS/NIS e attacchi successivi.</w:t>
            </w:r>
          </w:p>
        </w:tc>
        <w:tc>
          <w:tcPr>
            <w:tcW w:type="dxa" w:w="1200"/>
            <w:shd w:fill="FFFFFF" w:val="clear"/>
            <w:tcMar>
              <w:top w:type="dxa" w:w="80"/>
              <w:left w:type="dxa" w:w="100"/>
              <w:bottom w:type="dxa" w:w="80"/>
              <w:right w:type="dxa" w:w="100"/>
            </w:tcMar>
            <w:vAlign w:val="center"/>
          </w:tcPr>
          <w:p>
            <w:pPr>
              <w:jc w:val="center"/>
            </w:pPr>
            <w:r>
              <w:rPr>
                <w:b w:val="false"/>
                <w:bCs w:val="false"/>
                <w:sz w:val="20"/>
                <w:szCs w:val="20"/>
              </w:rPr>
              <w:t xml:space="preserve">CWE-200</w:t>
            </w:r>
          </w:p>
        </w:tc>
        <w:tc>
          <w:tcPr>
            <w:tcW w:type="dxa" w:w="2000"/>
            <w:shd w:fill="FFFFFF" w:val="clear"/>
            <w:tcMar>
              <w:top w:type="dxa" w:w="80"/>
              <w:left w:type="dxa" w:w="100"/>
              <w:bottom w:type="dxa" w:w="80"/>
              <w:right w:type="dxa" w:w="100"/>
            </w:tcMar>
            <w:vAlign w:val="center"/>
          </w:tcPr>
          <w:p>
            <w:pPr>
              <w:jc w:val="center"/>
            </w:pPr>
            <w:r>
              <w:rPr>
                <w:b/>
                <w:bCs/>
                <w:color w:val="548235"/>
                <w:sz w:val="20"/>
                <w:szCs w:val="20"/>
              </w:rPr>
              <w:t xml:space="preserve">Basso</w:t>
            </w:r>
          </w:p>
        </w:tc>
      </w:tr>
      <w:tr>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139/445</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SMB – Samba 3.X - 4.X</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Vulnerabile all'exploit "username map script" che consente esecuzione di comandi remoti non autenticata.</w:t>
            </w:r>
          </w:p>
        </w:tc>
        <w:tc>
          <w:tcPr>
            <w:tcW w:type="dxa" w:w="1200"/>
            <w:shd w:fill="F2F2F2" w:val="clear"/>
            <w:tcMar>
              <w:top w:type="dxa" w:w="80"/>
              <w:left w:type="dxa" w:w="100"/>
              <w:bottom w:type="dxa" w:w="80"/>
              <w:right w:type="dxa" w:w="100"/>
            </w:tcMar>
            <w:vAlign w:val="center"/>
          </w:tcPr>
          <w:p>
            <w:pPr>
              <w:jc w:val="center"/>
            </w:pPr>
            <w:r>
              <w:rPr>
                <w:b w:val="false"/>
                <w:bCs w:val="false"/>
                <w:sz w:val="20"/>
                <w:szCs w:val="20"/>
              </w:rPr>
              <w:t xml:space="preserve">CVE-2007-2447</w:t>
            </w:r>
          </w:p>
        </w:tc>
        <w:tc>
          <w:tcPr>
            <w:tcW w:type="dxa" w:w="2000"/>
            <w:shd w:fill="F2F2F2" w:val="clear"/>
            <w:tcMar>
              <w:top w:type="dxa" w:w="80"/>
              <w:left w:type="dxa" w:w="100"/>
              <w:bottom w:type="dxa" w:w="80"/>
              <w:right w:type="dxa" w:w="100"/>
            </w:tcMar>
            <w:vAlign w:val="center"/>
          </w:tcPr>
          <w:p>
            <w:pPr>
              <w:jc w:val="center"/>
            </w:pPr>
            <w:r>
              <w:rPr>
                <w:b/>
                <w:bCs/>
                <w:color w:val="C00000"/>
                <w:sz w:val="20"/>
                <w:szCs w:val="20"/>
              </w:rPr>
              <w:t xml:space="preserve">Critico</w:t>
            </w:r>
          </w:p>
        </w:tc>
      </w:tr>
      <w:tr>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512</w:t>
            </w:r>
          </w:p>
        </w:tc>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Rexec – netkit-rsh rexecd</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Autenticazione in chiaro basata su username/password trasmessi senza cifratura.</w:t>
            </w:r>
          </w:p>
        </w:tc>
        <w:tc>
          <w:tcPr>
            <w:tcW w:type="dxa" w:w="1200"/>
            <w:shd w:fill="FFFFFF" w:val="clear"/>
            <w:tcMar>
              <w:top w:type="dxa" w:w="80"/>
              <w:left w:type="dxa" w:w="100"/>
              <w:bottom w:type="dxa" w:w="80"/>
              <w:right w:type="dxa" w:w="100"/>
            </w:tcMar>
            <w:vAlign w:val="center"/>
          </w:tcPr>
          <w:p>
            <w:pPr>
              <w:jc w:val="center"/>
            </w:pPr>
            <w:r>
              <w:rPr>
                <w:b w:val="false"/>
                <w:bCs w:val="false"/>
                <w:sz w:val="20"/>
                <w:szCs w:val="20"/>
              </w:rPr>
              <w:t xml:space="preserve">CWE-319</w:t>
            </w:r>
          </w:p>
        </w:tc>
        <w:tc>
          <w:tcPr>
            <w:tcW w:type="dxa" w:w="2000"/>
            <w:shd w:fill="FFFFFF" w:val="clear"/>
            <w:tcMar>
              <w:top w:type="dxa" w:w="80"/>
              <w:left w:type="dxa" w:w="100"/>
              <w:bottom w:type="dxa" w:w="80"/>
              <w:right w:type="dxa" w:w="100"/>
            </w:tcMar>
            <w:vAlign w:val="center"/>
          </w:tcPr>
          <w:p>
            <w:pPr>
              <w:jc w:val="center"/>
            </w:pPr>
            <w:r>
              <w:rPr>
                <w:b/>
                <w:bCs/>
                <w:color w:val="E36C09"/>
                <w:sz w:val="20"/>
                <w:szCs w:val="20"/>
              </w:rPr>
              <w:t xml:space="preserve">Alto</w:t>
            </w:r>
          </w:p>
        </w:tc>
      </w:tr>
      <w:tr>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513</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Rlogin</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Autenticazione basata su relazioni di fiducia host (.rhosts) facilmente aggirabile.</w:t>
            </w:r>
          </w:p>
        </w:tc>
        <w:tc>
          <w:tcPr>
            <w:tcW w:type="dxa" w:w="1200"/>
            <w:shd w:fill="F2F2F2" w:val="clear"/>
            <w:tcMar>
              <w:top w:type="dxa" w:w="80"/>
              <w:left w:type="dxa" w:w="100"/>
              <w:bottom w:type="dxa" w:w="80"/>
              <w:right w:type="dxa" w:w="100"/>
            </w:tcMar>
            <w:vAlign w:val="center"/>
          </w:tcPr>
          <w:p>
            <w:pPr>
              <w:jc w:val="center"/>
            </w:pPr>
            <w:r>
              <w:rPr>
                <w:b w:val="false"/>
                <w:bCs w:val="false"/>
                <w:sz w:val="20"/>
                <w:szCs w:val="20"/>
              </w:rPr>
              <w:t xml:space="preserve">CWE-287</w:t>
            </w:r>
          </w:p>
        </w:tc>
        <w:tc>
          <w:tcPr>
            <w:tcW w:type="dxa" w:w="2000"/>
            <w:shd w:fill="F2F2F2" w:val="clear"/>
            <w:tcMar>
              <w:top w:type="dxa" w:w="80"/>
              <w:left w:type="dxa" w:w="100"/>
              <w:bottom w:type="dxa" w:w="80"/>
              <w:right w:type="dxa" w:w="100"/>
            </w:tcMar>
            <w:vAlign w:val="center"/>
          </w:tcPr>
          <w:p>
            <w:pPr>
              <w:jc w:val="center"/>
            </w:pPr>
            <w:r>
              <w:rPr>
                <w:b/>
                <w:bCs/>
                <w:color w:val="E36C09"/>
                <w:sz w:val="20"/>
                <w:szCs w:val="20"/>
              </w:rPr>
              <w:t xml:space="preserve">Alto</w:t>
            </w:r>
          </w:p>
        </w:tc>
      </w:tr>
      <w:tr>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514</w:t>
            </w:r>
          </w:p>
        </w:tc>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Rsh – Netkit rshd</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Esecuzione di comandi remoti con autenticazione debole basata su IP/hostname.</w:t>
            </w:r>
          </w:p>
        </w:tc>
        <w:tc>
          <w:tcPr>
            <w:tcW w:type="dxa" w:w="1200"/>
            <w:shd w:fill="FFFFFF" w:val="clear"/>
            <w:tcMar>
              <w:top w:type="dxa" w:w="80"/>
              <w:left w:type="dxa" w:w="100"/>
              <w:bottom w:type="dxa" w:w="80"/>
              <w:right w:type="dxa" w:w="100"/>
            </w:tcMar>
            <w:vAlign w:val="center"/>
          </w:tcPr>
          <w:p>
            <w:pPr>
              <w:jc w:val="center"/>
            </w:pPr>
            <w:r>
              <w:rPr>
                <w:b w:val="false"/>
                <w:bCs w:val="false"/>
                <w:sz w:val="20"/>
                <w:szCs w:val="20"/>
              </w:rPr>
              <w:t xml:space="preserve">CWE-287</w:t>
            </w:r>
          </w:p>
        </w:tc>
        <w:tc>
          <w:tcPr>
            <w:tcW w:type="dxa" w:w="2000"/>
            <w:shd w:fill="FFFFFF" w:val="clear"/>
            <w:tcMar>
              <w:top w:type="dxa" w:w="80"/>
              <w:left w:type="dxa" w:w="100"/>
              <w:bottom w:type="dxa" w:w="80"/>
              <w:right w:type="dxa" w:w="100"/>
            </w:tcMar>
            <w:vAlign w:val="center"/>
          </w:tcPr>
          <w:p>
            <w:pPr>
              <w:jc w:val="center"/>
            </w:pPr>
            <w:r>
              <w:rPr>
                <w:b/>
                <w:bCs/>
                <w:color w:val="E36C09"/>
                <w:sz w:val="20"/>
                <w:szCs w:val="20"/>
              </w:rPr>
              <w:t xml:space="preserve">Alto</w:t>
            </w:r>
          </w:p>
        </w:tc>
      </w:tr>
      <w:tr>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1099</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Java RMI – GNU Classpath grmiregistry</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Il registro RMI privo di restrizioni consente il caricamento di classi da remoto ed esecuzione di codice arbitrario.</w:t>
            </w:r>
          </w:p>
        </w:tc>
        <w:tc>
          <w:tcPr>
            <w:tcW w:type="dxa" w:w="1200"/>
            <w:shd w:fill="F2F2F2" w:val="clear"/>
            <w:tcMar>
              <w:top w:type="dxa" w:w="80"/>
              <w:left w:type="dxa" w:w="100"/>
              <w:bottom w:type="dxa" w:w="80"/>
              <w:right w:type="dxa" w:w="100"/>
            </w:tcMar>
            <w:vAlign w:val="center"/>
          </w:tcPr>
          <w:p>
            <w:pPr>
              <w:jc w:val="center"/>
            </w:pPr>
            <w:r>
              <w:rPr>
                <w:b w:val="false"/>
                <w:bCs w:val="false"/>
                <w:sz w:val="20"/>
                <w:szCs w:val="20"/>
              </w:rPr>
              <w:t xml:space="preserve">CVE-2011-3556</w:t>
            </w:r>
          </w:p>
        </w:tc>
        <w:tc>
          <w:tcPr>
            <w:tcW w:type="dxa" w:w="2000"/>
            <w:shd w:fill="F2F2F2" w:val="clear"/>
            <w:tcMar>
              <w:top w:type="dxa" w:w="80"/>
              <w:left w:type="dxa" w:w="100"/>
              <w:bottom w:type="dxa" w:w="80"/>
              <w:right w:type="dxa" w:w="100"/>
            </w:tcMar>
            <w:vAlign w:val="center"/>
          </w:tcPr>
          <w:p>
            <w:pPr>
              <w:jc w:val="center"/>
            </w:pPr>
            <w:r>
              <w:rPr>
                <w:b/>
                <w:bCs/>
                <w:color w:val="E36C09"/>
                <w:sz w:val="20"/>
                <w:szCs w:val="20"/>
              </w:rPr>
              <w:t xml:space="preserve">Alto</w:t>
            </w:r>
          </w:p>
        </w:tc>
      </w:tr>
      <w:tr>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1524</w:t>
            </w:r>
          </w:p>
        </w:tc>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Bindshell – Metasploitable root shell</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Shell di root residua lasciata aperta da un precedente exploit (ingres/distccd): accesso diretto senza autenticazione.</w:t>
            </w:r>
          </w:p>
        </w:tc>
        <w:tc>
          <w:tcPr>
            <w:tcW w:type="dxa" w:w="1200"/>
            <w:shd w:fill="FFFFFF" w:val="clear"/>
            <w:tcMar>
              <w:top w:type="dxa" w:w="80"/>
              <w:left w:type="dxa" w:w="100"/>
              <w:bottom w:type="dxa" w:w="80"/>
              <w:right w:type="dxa" w:w="100"/>
            </w:tcMar>
            <w:vAlign w:val="center"/>
          </w:tcPr>
          <w:p>
            <w:pPr>
              <w:jc w:val="center"/>
            </w:pPr>
            <w:r>
              <w:rPr>
                <w:b w:val="false"/>
                <w:bCs w:val="false"/>
                <w:sz w:val="20"/>
                <w:szCs w:val="20"/>
              </w:rPr>
              <w:t xml:space="preserve">N/D (backdoor)</w:t>
            </w:r>
          </w:p>
        </w:tc>
        <w:tc>
          <w:tcPr>
            <w:tcW w:type="dxa" w:w="2000"/>
            <w:shd w:fill="FFFFFF" w:val="clear"/>
            <w:tcMar>
              <w:top w:type="dxa" w:w="80"/>
              <w:left w:type="dxa" w:w="100"/>
              <w:bottom w:type="dxa" w:w="80"/>
              <w:right w:type="dxa" w:w="100"/>
            </w:tcMar>
            <w:vAlign w:val="center"/>
          </w:tcPr>
          <w:p>
            <w:pPr>
              <w:jc w:val="center"/>
            </w:pPr>
            <w:r>
              <w:rPr>
                <w:b/>
                <w:bCs/>
                <w:color w:val="C00000"/>
                <w:sz w:val="20"/>
                <w:szCs w:val="20"/>
              </w:rPr>
              <w:t xml:space="preserve">Critico</w:t>
            </w:r>
          </w:p>
        </w:tc>
      </w:tr>
      <w:tr>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2049</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NFS</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Condivisioni NFS esportate con permessi eccessivi (no_root_squash), possibile lettura/scrittura non autorizzata.</w:t>
            </w:r>
          </w:p>
        </w:tc>
        <w:tc>
          <w:tcPr>
            <w:tcW w:type="dxa" w:w="1200"/>
            <w:shd w:fill="F2F2F2" w:val="clear"/>
            <w:tcMar>
              <w:top w:type="dxa" w:w="80"/>
              <w:left w:type="dxa" w:w="100"/>
              <w:bottom w:type="dxa" w:w="80"/>
              <w:right w:type="dxa" w:w="100"/>
            </w:tcMar>
            <w:vAlign w:val="center"/>
          </w:tcPr>
          <w:p>
            <w:pPr>
              <w:jc w:val="center"/>
            </w:pPr>
            <w:r>
              <w:rPr>
                <w:b w:val="false"/>
                <w:bCs w:val="false"/>
                <w:sz w:val="20"/>
                <w:szCs w:val="20"/>
              </w:rPr>
              <w:t xml:space="preserve">CWE-732</w:t>
            </w:r>
          </w:p>
        </w:tc>
        <w:tc>
          <w:tcPr>
            <w:tcW w:type="dxa" w:w="2000"/>
            <w:shd w:fill="F2F2F2" w:val="clear"/>
            <w:tcMar>
              <w:top w:type="dxa" w:w="80"/>
              <w:left w:type="dxa" w:w="100"/>
              <w:bottom w:type="dxa" w:w="80"/>
              <w:right w:type="dxa" w:w="100"/>
            </w:tcMar>
            <w:vAlign w:val="center"/>
          </w:tcPr>
          <w:p>
            <w:pPr>
              <w:jc w:val="center"/>
            </w:pPr>
            <w:r>
              <w:rPr>
                <w:b/>
                <w:bCs/>
                <w:color w:val="BF9000"/>
                <w:sz w:val="20"/>
                <w:szCs w:val="20"/>
              </w:rPr>
              <w:t xml:space="preserve">Medio</w:t>
            </w:r>
          </w:p>
        </w:tc>
      </w:tr>
      <w:tr>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2121</w:t>
            </w:r>
          </w:p>
        </w:tc>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FTP – ProFTPD 1.3.1</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Versione del pacchetto distribuita con un backdoor nel codice sorgente che consente RCE.</w:t>
            </w:r>
          </w:p>
        </w:tc>
        <w:tc>
          <w:tcPr>
            <w:tcW w:type="dxa" w:w="1200"/>
            <w:shd w:fill="FFFFFF" w:val="clear"/>
            <w:tcMar>
              <w:top w:type="dxa" w:w="80"/>
              <w:left w:type="dxa" w:w="100"/>
              <w:bottom w:type="dxa" w:w="80"/>
              <w:right w:type="dxa" w:w="100"/>
            </w:tcMar>
            <w:vAlign w:val="center"/>
          </w:tcPr>
          <w:p>
            <w:pPr>
              <w:jc w:val="center"/>
            </w:pPr>
            <w:r>
              <w:rPr>
                <w:b w:val="false"/>
                <w:bCs w:val="false"/>
                <w:sz w:val="20"/>
                <w:szCs w:val="20"/>
              </w:rPr>
              <w:t xml:space="preserve">CVE-2010-4221</w:t>
            </w:r>
          </w:p>
        </w:tc>
        <w:tc>
          <w:tcPr>
            <w:tcW w:type="dxa" w:w="2000"/>
            <w:shd w:fill="FFFFFF" w:val="clear"/>
            <w:tcMar>
              <w:top w:type="dxa" w:w="80"/>
              <w:left w:type="dxa" w:w="100"/>
              <w:bottom w:type="dxa" w:w="80"/>
              <w:right w:type="dxa" w:w="100"/>
            </w:tcMar>
            <w:vAlign w:val="center"/>
          </w:tcPr>
          <w:p>
            <w:pPr>
              <w:jc w:val="center"/>
            </w:pPr>
            <w:r>
              <w:rPr>
                <w:b/>
                <w:bCs/>
                <w:color w:val="C00000"/>
                <w:sz w:val="20"/>
                <w:szCs w:val="20"/>
              </w:rPr>
              <w:t xml:space="preserve">Critico</w:t>
            </w:r>
          </w:p>
        </w:tc>
      </w:tr>
      <w:tr>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3306</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MySQL 5.0.51a-3ubuntu5</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Account root privo di password e versione obsolescente con diverse vulnerabilità note.</w:t>
            </w:r>
          </w:p>
        </w:tc>
        <w:tc>
          <w:tcPr>
            <w:tcW w:type="dxa" w:w="1200"/>
            <w:shd w:fill="F2F2F2" w:val="clear"/>
            <w:tcMar>
              <w:top w:type="dxa" w:w="80"/>
              <w:left w:type="dxa" w:w="100"/>
              <w:bottom w:type="dxa" w:w="80"/>
              <w:right w:type="dxa" w:w="100"/>
            </w:tcMar>
            <w:vAlign w:val="center"/>
          </w:tcPr>
          <w:p>
            <w:pPr>
              <w:jc w:val="center"/>
            </w:pPr>
            <w:r>
              <w:rPr>
                <w:b w:val="false"/>
                <w:bCs w:val="false"/>
                <w:sz w:val="20"/>
                <w:szCs w:val="20"/>
              </w:rPr>
              <w:t xml:space="preserve">CVE-2009-2446</w:t>
            </w:r>
          </w:p>
        </w:tc>
        <w:tc>
          <w:tcPr>
            <w:tcW w:type="dxa" w:w="2000"/>
            <w:shd w:fill="F2F2F2" w:val="clear"/>
            <w:tcMar>
              <w:top w:type="dxa" w:w="80"/>
              <w:left w:type="dxa" w:w="100"/>
              <w:bottom w:type="dxa" w:w="80"/>
              <w:right w:type="dxa" w:w="100"/>
            </w:tcMar>
            <w:vAlign w:val="center"/>
          </w:tcPr>
          <w:p>
            <w:pPr>
              <w:jc w:val="center"/>
            </w:pPr>
            <w:r>
              <w:rPr>
                <w:b/>
                <w:bCs/>
                <w:color w:val="E36C09"/>
                <w:sz w:val="20"/>
                <w:szCs w:val="20"/>
              </w:rPr>
              <w:t xml:space="preserve">Alto</w:t>
            </w:r>
          </w:p>
        </w:tc>
      </w:tr>
      <w:tr>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5432</w:t>
            </w:r>
          </w:p>
        </w:tc>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PostgreSQL 8.3.0 - 8.3.7</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Autenticazione debole/credenziali di default; versione soggetta a privilege escalation.</w:t>
            </w:r>
          </w:p>
        </w:tc>
        <w:tc>
          <w:tcPr>
            <w:tcW w:type="dxa" w:w="1200"/>
            <w:shd w:fill="FFFFFF" w:val="clear"/>
            <w:tcMar>
              <w:top w:type="dxa" w:w="80"/>
              <w:left w:type="dxa" w:w="100"/>
              <w:bottom w:type="dxa" w:w="80"/>
              <w:right w:type="dxa" w:w="100"/>
            </w:tcMar>
            <w:vAlign w:val="center"/>
          </w:tcPr>
          <w:p>
            <w:pPr>
              <w:jc w:val="center"/>
            </w:pPr>
            <w:r>
              <w:rPr>
                <w:b w:val="false"/>
                <w:bCs w:val="false"/>
                <w:sz w:val="20"/>
                <w:szCs w:val="20"/>
              </w:rPr>
              <w:t xml:space="preserve">CVE-2013-1899</w:t>
            </w:r>
          </w:p>
        </w:tc>
        <w:tc>
          <w:tcPr>
            <w:tcW w:type="dxa" w:w="2000"/>
            <w:shd w:fill="FFFFFF" w:val="clear"/>
            <w:tcMar>
              <w:top w:type="dxa" w:w="80"/>
              <w:left w:type="dxa" w:w="100"/>
              <w:bottom w:type="dxa" w:w="80"/>
              <w:right w:type="dxa" w:w="100"/>
            </w:tcMar>
            <w:vAlign w:val="center"/>
          </w:tcPr>
          <w:p>
            <w:pPr>
              <w:jc w:val="center"/>
            </w:pPr>
            <w:r>
              <w:rPr>
                <w:b/>
                <w:bCs/>
                <w:color w:val="BF9000"/>
                <w:sz w:val="20"/>
                <w:szCs w:val="20"/>
              </w:rPr>
              <w:t xml:space="preserve">Medio</w:t>
            </w:r>
          </w:p>
        </w:tc>
      </w:tr>
      <w:tr>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5900</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VNC (protocollo 3.3)</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Protocollo legacy con autenticazione debole (password a 8 caratteri, DES) e traffico non cifrato.</w:t>
            </w:r>
          </w:p>
        </w:tc>
        <w:tc>
          <w:tcPr>
            <w:tcW w:type="dxa" w:w="1200"/>
            <w:shd w:fill="F2F2F2" w:val="clear"/>
            <w:tcMar>
              <w:top w:type="dxa" w:w="80"/>
              <w:left w:type="dxa" w:w="100"/>
              <w:bottom w:type="dxa" w:w="80"/>
              <w:right w:type="dxa" w:w="100"/>
            </w:tcMar>
            <w:vAlign w:val="center"/>
          </w:tcPr>
          <w:p>
            <w:pPr>
              <w:jc w:val="center"/>
            </w:pPr>
            <w:r>
              <w:rPr>
                <w:b w:val="false"/>
                <w:bCs w:val="false"/>
                <w:sz w:val="20"/>
                <w:szCs w:val="20"/>
              </w:rPr>
              <w:t xml:space="preserve">CWE-326</w:t>
            </w:r>
          </w:p>
        </w:tc>
        <w:tc>
          <w:tcPr>
            <w:tcW w:type="dxa" w:w="2000"/>
            <w:shd w:fill="F2F2F2" w:val="clear"/>
            <w:tcMar>
              <w:top w:type="dxa" w:w="80"/>
              <w:left w:type="dxa" w:w="100"/>
              <w:bottom w:type="dxa" w:w="80"/>
              <w:right w:type="dxa" w:w="100"/>
            </w:tcMar>
            <w:vAlign w:val="center"/>
          </w:tcPr>
          <w:p>
            <w:pPr>
              <w:jc w:val="center"/>
            </w:pPr>
            <w:r>
              <w:rPr>
                <w:b/>
                <w:bCs/>
                <w:color w:val="E36C09"/>
                <w:sz w:val="20"/>
                <w:szCs w:val="20"/>
              </w:rPr>
              <w:t xml:space="preserve">Alto</w:t>
            </w:r>
          </w:p>
        </w:tc>
      </w:tr>
      <w:tr>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6000</w:t>
            </w:r>
          </w:p>
        </w:tc>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X11</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Accesso negato in fase di scansione, ma il servizio X11 esposto rappresenta comunque una superficie di attacco potenziale.</w:t>
            </w:r>
          </w:p>
        </w:tc>
        <w:tc>
          <w:tcPr>
            <w:tcW w:type="dxa" w:w="1200"/>
            <w:shd w:fill="FFFFFF" w:val="clear"/>
            <w:tcMar>
              <w:top w:type="dxa" w:w="80"/>
              <w:left w:type="dxa" w:w="100"/>
              <w:bottom w:type="dxa" w:w="80"/>
              <w:right w:type="dxa" w:w="100"/>
            </w:tcMar>
            <w:vAlign w:val="center"/>
          </w:tcPr>
          <w:p>
            <w:pPr>
              <w:jc w:val="center"/>
            </w:pPr>
            <w:r>
              <w:rPr>
                <w:b w:val="false"/>
                <w:bCs w:val="false"/>
                <w:sz w:val="20"/>
                <w:szCs w:val="20"/>
              </w:rPr>
              <w:t xml:space="preserve">CWE-200</w:t>
            </w:r>
          </w:p>
        </w:tc>
        <w:tc>
          <w:tcPr>
            <w:tcW w:type="dxa" w:w="2000"/>
            <w:shd w:fill="FFFFFF" w:val="clear"/>
            <w:tcMar>
              <w:top w:type="dxa" w:w="80"/>
              <w:left w:type="dxa" w:w="100"/>
              <w:bottom w:type="dxa" w:w="80"/>
              <w:right w:type="dxa" w:w="100"/>
            </w:tcMar>
            <w:vAlign w:val="center"/>
          </w:tcPr>
          <w:p>
            <w:pPr>
              <w:jc w:val="center"/>
            </w:pPr>
            <w:r>
              <w:rPr>
                <w:b/>
                <w:bCs/>
                <w:color w:val="548235"/>
                <w:sz w:val="20"/>
                <w:szCs w:val="20"/>
              </w:rPr>
              <w:t xml:space="preserve">Basso</w:t>
            </w:r>
          </w:p>
        </w:tc>
      </w:tr>
      <w:tr>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6667</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IRC – UnrealIRCd</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Versione del binario compromessa con backdoor: una stringa specifica nel comando consente RCE.</w:t>
            </w:r>
          </w:p>
        </w:tc>
        <w:tc>
          <w:tcPr>
            <w:tcW w:type="dxa" w:w="1200"/>
            <w:shd w:fill="F2F2F2" w:val="clear"/>
            <w:tcMar>
              <w:top w:type="dxa" w:w="80"/>
              <w:left w:type="dxa" w:w="100"/>
              <w:bottom w:type="dxa" w:w="80"/>
              <w:right w:type="dxa" w:w="100"/>
            </w:tcMar>
            <w:vAlign w:val="center"/>
          </w:tcPr>
          <w:p>
            <w:pPr>
              <w:jc w:val="center"/>
            </w:pPr>
            <w:r>
              <w:rPr>
                <w:b w:val="false"/>
                <w:bCs w:val="false"/>
                <w:sz w:val="20"/>
                <w:szCs w:val="20"/>
              </w:rPr>
              <w:t xml:space="preserve">CVE-2010-2075</w:t>
            </w:r>
          </w:p>
        </w:tc>
        <w:tc>
          <w:tcPr>
            <w:tcW w:type="dxa" w:w="2000"/>
            <w:shd w:fill="F2F2F2" w:val="clear"/>
            <w:tcMar>
              <w:top w:type="dxa" w:w="80"/>
              <w:left w:type="dxa" w:w="100"/>
              <w:bottom w:type="dxa" w:w="80"/>
              <w:right w:type="dxa" w:w="100"/>
            </w:tcMar>
            <w:vAlign w:val="center"/>
          </w:tcPr>
          <w:p>
            <w:pPr>
              <w:jc w:val="center"/>
            </w:pPr>
            <w:r>
              <w:rPr>
                <w:b/>
                <w:bCs/>
                <w:color w:val="C00000"/>
                <w:sz w:val="20"/>
                <w:szCs w:val="20"/>
              </w:rPr>
              <w:t xml:space="preserve">Critico</w:t>
            </w:r>
          </w:p>
        </w:tc>
      </w:tr>
      <w:tr>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8009</w:t>
            </w:r>
          </w:p>
        </w:tc>
        <w:tc>
          <w:tcPr>
            <w:tcW w:type="dxa" w:w="1000"/>
            <w:shd w:fill="FFFFFF"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AJP – Apache JServ Protocol v1.3</w:t>
            </w:r>
          </w:p>
        </w:tc>
        <w:tc>
          <w:tcPr>
            <w:tcW w:type="dxa" w:w="2100"/>
            <w:shd w:fill="FFFFFF" w:val="clear"/>
            <w:tcMar>
              <w:top w:type="dxa" w:w="80"/>
              <w:left w:type="dxa" w:w="100"/>
              <w:bottom w:type="dxa" w:w="80"/>
              <w:right w:type="dxa" w:w="100"/>
            </w:tcMar>
            <w:vAlign w:val="center"/>
          </w:tcPr>
          <w:p>
            <w:pPr>
              <w:jc w:val="left"/>
            </w:pPr>
            <w:r>
              <w:rPr>
                <w:b w:val="false"/>
                <w:bCs w:val="false"/>
                <w:sz w:val="20"/>
                <w:szCs w:val="20"/>
              </w:rPr>
              <w:t xml:space="preserve">Protocollo AJP esposto, vettore per attacchi di tipo "Ghostcat" (lettura file arbitraria / file inclusion).</w:t>
            </w:r>
          </w:p>
        </w:tc>
        <w:tc>
          <w:tcPr>
            <w:tcW w:type="dxa" w:w="1200"/>
            <w:shd w:fill="FFFFFF" w:val="clear"/>
            <w:tcMar>
              <w:top w:type="dxa" w:w="80"/>
              <w:left w:type="dxa" w:w="100"/>
              <w:bottom w:type="dxa" w:w="80"/>
              <w:right w:type="dxa" w:w="100"/>
            </w:tcMar>
            <w:vAlign w:val="center"/>
          </w:tcPr>
          <w:p>
            <w:pPr>
              <w:jc w:val="center"/>
            </w:pPr>
            <w:r>
              <w:rPr>
                <w:b w:val="false"/>
                <w:bCs w:val="false"/>
                <w:sz w:val="20"/>
                <w:szCs w:val="20"/>
              </w:rPr>
              <w:t xml:space="preserve">CVE-2020-1938</w:t>
            </w:r>
          </w:p>
        </w:tc>
        <w:tc>
          <w:tcPr>
            <w:tcW w:type="dxa" w:w="2000"/>
            <w:shd w:fill="FFFFFF" w:val="clear"/>
            <w:tcMar>
              <w:top w:type="dxa" w:w="80"/>
              <w:left w:type="dxa" w:w="100"/>
              <w:bottom w:type="dxa" w:w="80"/>
              <w:right w:type="dxa" w:w="100"/>
            </w:tcMar>
            <w:vAlign w:val="center"/>
          </w:tcPr>
          <w:p>
            <w:pPr>
              <w:jc w:val="center"/>
            </w:pPr>
            <w:r>
              <w:rPr>
                <w:b/>
                <w:bCs/>
                <w:color w:val="E36C09"/>
                <w:sz w:val="20"/>
                <w:szCs w:val="20"/>
              </w:rPr>
              <w:t xml:space="preserve">Alto</w:t>
            </w:r>
          </w:p>
        </w:tc>
      </w:tr>
      <w:tr>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8180</w:t>
            </w:r>
          </w:p>
        </w:tc>
        <w:tc>
          <w:tcPr>
            <w:tcW w:type="dxa" w:w="1000"/>
            <w:shd w:fill="F2F2F2" w:val="clear"/>
            <w:tcMar>
              <w:top w:type="dxa" w:w="80"/>
              <w:left w:type="dxa" w:w="100"/>
              <w:bottom w:type="dxa" w:w="80"/>
              <w:right w:type="dxa" w:w="100"/>
            </w:tcMar>
            <w:vAlign w:val="center"/>
          </w:tcPr>
          <w:p>
            <w:pPr>
              <w:jc w:val="center"/>
            </w:pPr>
            <w:r>
              <w:rPr>
                <w:b w:val="false"/>
                <w:bCs w:val="false"/>
                <w:sz w:val="20"/>
                <w:szCs w:val="20"/>
              </w:rPr>
              <w:t xml:space="preserve">tcp</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HTTP – Apache Tomcat/Coyote 1.1</w:t>
            </w:r>
          </w:p>
        </w:tc>
        <w:tc>
          <w:tcPr>
            <w:tcW w:type="dxa" w:w="2100"/>
            <w:shd w:fill="F2F2F2" w:val="clear"/>
            <w:tcMar>
              <w:top w:type="dxa" w:w="80"/>
              <w:left w:type="dxa" w:w="100"/>
              <w:bottom w:type="dxa" w:w="80"/>
              <w:right w:type="dxa" w:w="100"/>
            </w:tcMar>
            <w:vAlign w:val="center"/>
          </w:tcPr>
          <w:p>
            <w:pPr>
              <w:jc w:val="left"/>
            </w:pPr>
            <w:r>
              <w:rPr>
                <w:b w:val="false"/>
                <w:bCs w:val="false"/>
                <w:sz w:val="20"/>
                <w:szCs w:val="20"/>
              </w:rPr>
              <w:t xml:space="preserve">Manager Application con credenziali di default che consente il deploy di WAR malevoli e RCE.</w:t>
            </w:r>
          </w:p>
        </w:tc>
        <w:tc>
          <w:tcPr>
            <w:tcW w:type="dxa" w:w="1200"/>
            <w:shd w:fill="F2F2F2" w:val="clear"/>
            <w:tcMar>
              <w:top w:type="dxa" w:w="80"/>
              <w:left w:type="dxa" w:w="100"/>
              <w:bottom w:type="dxa" w:w="80"/>
              <w:right w:type="dxa" w:w="100"/>
            </w:tcMar>
            <w:vAlign w:val="center"/>
          </w:tcPr>
          <w:p>
            <w:pPr>
              <w:jc w:val="center"/>
            </w:pPr>
            <w:r>
              <w:rPr>
                <w:b w:val="false"/>
                <w:bCs w:val="false"/>
                <w:sz w:val="20"/>
                <w:szCs w:val="20"/>
              </w:rPr>
              <w:t xml:space="preserve">CVE-2009-3843</w:t>
            </w:r>
          </w:p>
        </w:tc>
        <w:tc>
          <w:tcPr>
            <w:tcW w:type="dxa" w:w="2000"/>
            <w:shd w:fill="F2F2F2" w:val="clear"/>
            <w:tcMar>
              <w:top w:type="dxa" w:w="80"/>
              <w:left w:type="dxa" w:w="100"/>
              <w:bottom w:type="dxa" w:w="80"/>
              <w:right w:type="dxa" w:w="100"/>
            </w:tcMar>
            <w:vAlign w:val="center"/>
          </w:tcPr>
          <w:p>
            <w:pPr>
              <w:jc w:val="center"/>
            </w:pPr>
            <w:r>
              <w:rPr>
                <w:b/>
                <w:bCs/>
                <w:color w:val="E36C09"/>
                <w:sz w:val="20"/>
                <w:szCs w:val="20"/>
              </w:rPr>
              <w:t xml:space="preserve">Alto</w:t>
            </w:r>
          </w:p>
        </w:tc>
      </w:tr>
    </w:tbl>
    <w:p>
      <w:r>
        <w:br w:type="page"/>
      </w:r>
    </w:p>
    <w:p>
      <w:pPr>
        <w:pStyle w:val="Heading1"/>
        <w:spacing w:after="200" w:before="360"/>
      </w:pPr>
      <w:r>
        <w:t xml:space="preserve">4. Analisi delle Vulnerabilità Identificate</w:t>
      </w:r>
    </w:p>
    <w:p>
      <w:pPr>
        <w:spacing w:after="160" w:line="276"/>
      </w:pPr>
      <w:r>
        <w:t xml:space="preserve">Di seguito si riportano le vulnerabilità più rilevanti individuate, raggruppate per criticità, con relativa motivazione tecnica.</w:t>
      </w:r>
    </w:p>
    <w:p>
      <w:pPr>
        <w:pStyle w:val="Heading2"/>
        <w:spacing w:after="160" w:before="280"/>
      </w:pPr>
      <w:r>
        <w:t xml:space="preserve">4.1 Vulnerabilità Critiche</w:t>
      </w:r>
    </w:p>
    <w:p>
      <w:pPr>
        <w:pStyle w:val="ListParagraph"/>
        <w:numPr>
          <w:ilvl w:val="0"/>
          <w:numId w:val="2"/>
        </w:numPr>
        <w:spacing w:after="80"/>
      </w:pPr>
      <w:r>
        <w:t xml:space="preserve">vsftpd 2.3.4 (porta 21): la versione del pacchetto in uso è stata compromessa nel codice sorgente e contiene una backdoor attivabile inserendo la sequenza ":)" nel campo username, che apre una shell di comando sulla porta 6200/tcp (CVE-2011-2523).</w:t>
      </w:r>
    </w:p>
    <w:p>
      <w:pPr>
        <w:pStyle w:val="ListParagraph"/>
        <w:numPr>
          <w:ilvl w:val="0"/>
          <w:numId w:val="2"/>
        </w:numPr>
        <w:spacing w:after="80"/>
      </w:pPr>
      <w:r>
        <w:t xml:space="preserve">Samba 3.X (porte 139/445): affetto dalla vulnerabilità "username map script", che consente l'esecuzione di comandi arbitrari senza autenticazione (CVE-2007-2447).</w:t>
      </w:r>
    </w:p>
    <w:p>
      <w:pPr>
        <w:pStyle w:val="ListParagraph"/>
        <w:numPr>
          <w:ilvl w:val="0"/>
          <w:numId w:val="2"/>
        </w:numPr>
        <w:spacing w:after="80"/>
      </w:pPr>
      <w:r>
        <w:t xml:space="preserve">Bindshell su porta 1524: shell di root residua, raggiungibile senza alcuna autenticazione — rappresenta il rischio più immediato per la compromissione totale del sistema.</w:t>
      </w:r>
    </w:p>
    <w:p>
      <w:pPr>
        <w:pStyle w:val="ListParagraph"/>
        <w:numPr>
          <w:ilvl w:val="0"/>
          <w:numId w:val="2"/>
        </w:numPr>
        <w:spacing w:after="80"/>
      </w:pPr>
      <w:r>
        <w:t xml:space="preserve">ProFTPD 1.3.1 (porta 2121): pacchetto distribuito con backdoor che consente l'esecuzione di comandi remoti (CVE-2010-4221).</w:t>
      </w:r>
    </w:p>
    <w:p>
      <w:pPr>
        <w:pStyle w:val="ListParagraph"/>
        <w:numPr>
          <w:ilvl w:val="0"/>
          <w:numId w:val="2"/>
        </w:numPr>
        <w:spacing w:after="80"/>
      </w:pPr>
      <w:r>
        <w:t xml:space="preserve">UnrealIRCd (porta 6667): binario compromesso con backdoor attivabile da remoto (CVE-2010-2075).</w:t>
      </w:r>
    </w:p>
    <w:p>
      <w:pPr>
        <w:pStyle w:val="Heading2"/>
        <w:spacing w:after="160" w:before="280"/>
      </w:pPr>
      <w:r>
        <w:t xml:space="preserve">4.2 Vulnerabilità di Rischio Alto</w:t>
      </w:r>
    </w:p>
    <w:p>
      <w:pPr>
        <w:pStyle w:val="ListParagraph"/>
        <w:numPr>
          <w:ilvl w:val="0"/>
          <w:numId w:val="2"/>
        </w:numPr>
        <w:spacing w:after="80"/>
      </w:pPr>
      <w:r>
        <w:t xml:space="preserve">Servizi "r" (rexec, rlogin, rsh — porte 512-514): basati su autenticazione debole (fiducia per IP/hostname) e trasmissione in chiaro delle credenziali.</w:t>
      </w:r>
    </w:p>
    <w:p>
      <w:pPr>
        <w:pStyle w:val="ListParagraph"/>
        <w:numPr>
          <w:ilvl w:val="0"/>
          <w:numId w:val="2"/>
        </w:numPr>
        <w:spacing w:after="80"/>
      </w:pPr>
      <w:r>
        <w:t xml:space="preserve">Java RMI Registry (porta 1099): privo di restrizioni sul caricamento di classi remote, sfruttabile per esecuzione di codice arbitrario (CVE-2011-3556).</w:t>
      </w:r>
    </w:p>
    <w:p>
      <w:pPr>
        <w:pStyle w:val="ListParagraph"/>
        <w:numPr>
          <w:ilvl w:val="0"/>
          <w:numId w:val="2"/>
        </w:numPr>
        <w:spacing w:after="80"/>
      </w:pPr>
      <w:r>
        <w:t xml:space="preserve">MySQL 5.0.51a (porta 3306): account amministrativo (root) privo di password.</w:t>
      </w:r>
    </w:p>
    <w:p>
      <w:pPr>
        <w:pStyle w:val="ListParagraph"/>
        <w:numPr>
          <w:ilvl w:val="0"/>
          <w:numId w:val="2"/>
        </w:numPr>
        <w:spacing w:after="80"/>
      </w:pPr>
      <w:r>
        <w:t xml:space="preserve">VNC protocollo 3.3 (porta 5900): meccanismo di autenticazione debole e traffico non cifrato.</w:t>
      </w:r>
    </w:p>
    <w:p>
      <w:pPr>
        <w:pStyle w:val="ListParagraph"/>
        <w:numPr>
          <w:ilvl w:val="0"/>
          <w:numId w:val="2"/>
        </w:numPr>
        <w:spacing w:after="80"/>
      </w:pPr>
      <w:r>
        <w:t xml:space="preserve">Apache Tomcat 8180: applicazione Manager con credenziali di default che consente il deploy di WAR malevoli (CVE-2009-3843).</w:t>
      </w:r>
    </w:p>
    <w:p>
      <w:pPr>
        <w:pStyle w:val="ListParagraph"/>
        <w:numPr>
          <w:ilvl w:val="0"/>
          <w:numId w:val="2"/>
        </w:numPr>
        <w:spacing w:after="80"/>
      </w:pPr>
      <w:r>
        <w:t xml:space="preserve">AJP Connector (porta 8009): esposto e vulnerabile alla tecnica "Ghostcat" per la lettura di file arbitrari (CVE-2020-1938).</w:t>
      </w:r>
    </w:p>
    <w:p>
      <w:pPr>
        <w:pStyle w:val="Heading2"/>
        <w:spacing w:after="160" w:before="280"/>
      </w:pPr>
      <w:r>
        <w:t xml:space="preserve">4.3 Vulnerabilità di Rischio Medio e Basso</w:t>
      </w:r>
    </w:p>
    <w:p>
      <w:pPr>
        <w:spacing w:after="160" w:line="276"/>
      </w:pPr>
      <w:r>
        <w:t xml:space="preserve">Servizi come Telnet, SMTP (Postfix), DNS (BIND 9.4.2), NFS e PostgreSQL presentano versioni obsolete e configurazioni permissive che, pur non offrendo un accesso diretto immediato, ampliano la superficie di attacco e possono essere sfruttati come vettori secondari in una catena di compromissione (lateral movement). I servizi rpcbind e X11 espongono informazioni utili in fase di ricognizione (information disclosure) ma con impatto diretto limitato.</w:t>
      </w:r>
    </w:p>
    <w:p>
      <w:pPr>
        <w:pStyle w:val="Heading1"/>
        <w:spacing w:after="200" w:before="360"/>
      </w:pPr>
      <w:r>
        <w:t xml:space="preserve">5. Valutazione dei Rischi</w:t>
      </w:r>
    </w:p>
    <w:p>
      <w:pPr>
        <w:spacing w:after="160" w:line="276"/>
      </w:pPr>
      <w:r>
        <w:t xml:space="preserve">Applicando una matrice di rischio basata su probabilità di sfruttamento e impatto potenziale, i 22 servizi identificati si distribuiscono come segue: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rPr>
          <w:tblHeader/>
        </w:trPr>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Livello di Rischio</w:t>
            </w:r>
          </w:p>
        </w:tc>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N. Servizi Coinvolti</w:t>
            </w:r>
          </w:p>
        </w:tc>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 sul Totale</w:t>
            </w:r>
          </w:p>
        </w:tc>
      </w:tr>
      <w:tr>
        <w:tc>
          <w:tcPr>
            <w:tcW w:type="dxa" w:w="3000"/>
            <w:shd w:fill="FFFFFF" w:val="clear"/>
            <w:tcMar>
              <w:top w:type="dxa" w:w="80"/>
              <w:left w:type="dxa" w:w="100"/>
              <w:bottom w:type="dxa" w:w="80"/>
              <w:right w:type="dxa" w:w="100"/>
            </w:tcMar>
            <w:vAlign w:val="center"/>
          </w:tcPr>
          <w:p>
            <w:pPr>
              <w:jc w:val="left"/>
            </w:pPr>
            <w:r>
              <w:rPr>
                <w:b/>
                <w:bCs/>
                <w:color w:val="C00000"/>
                <w:sz w:val="20"/>
                <w:szCs w:val="20"/>
              </w:rPr>
              <w:t xml:space="preserve">Critico</w:t>
            </w:r>
          </w:p>
        </w:tc>
        <w:tc>
          <w:tcPr>
            <w:tcW w:type="dxa" w:w="2500"/>
            <w:shd w:fill="FFFFFF" w:val="clear"/>
            <w:tcMar>
              <w:top w:type="dxa" w:w="80"/>
              <w:left w:type="dxa" w:w="100"/>
              <w:bottom w:type="dxa" w:w="80"/>
              <w:right w:type="dxa" w:w="100"/>
            </w:tcMar>
            <w:vAlign w:val="center"/>
          </w:tcPr>
          <w:p>
            <w:pPr>
              <w:jc w:val="center"/>
            </w:pPr>
            <w:r>
              <w:rPr>
                <w:b w:val="false"/>
                <w:bCs w:val="false"/>
                <w:sz w:val="20"/>
                <w:szCs w:val="20"/>
              </w:rPr>
              <w:t xml:space="preserve">5</w:t>
            </w:r>
          </w:p>
        </w:tc>
        <w:tc>
          <w:tcPr>
            <w:tcW w:type="dxa" w:w="2500"/>
            <w:shd w:fill="FFFFFF" w:val="clear"/>
            <w:tcMar>
              <w:top w:type="dxa" w:w="80"/>
              <w:left w:type="dxa" w:w="100"/>
              <w:bottom w:type="dxa" w:w="80"/>
              <w:right w:type="dxa" w:w="100"/>
            </w:tcMar>
            <w:vAlign w:val="center"/>
          </w:tcPr>
          <w:p>
            <w:pPr>
              <w:jc w:val="center"/>
            </w:pPr>
            <w:r>
              <w:rPr>
                <w:b w:val="false"/>
                <w:bCs w:val="false"/>
                <w:sz w:val="20"/>
                <w:szCs w:val="20"/>
              </w:rPr>
              <w:t xml:space="preserve">23%</w:t>
            </w:r>
          </w:p>
        </w:tc>
      </w:tr>
      <w:tr>
        <w:tc>
          <w:tcPr>
            <w:tcW w:type="dxa" w:w="3000"/>
            <w:shd w:fill="F2F2F2" w:val="clear"/>
            <w:tcMar>
              <w:top w:type="dxa" w:w="80"/>
              <w:left w:type="dxa" w:w="100"/>
              <w:bottom w:type="dxa" w:w="80"/>
              <w:right w:type="dxa" w:w="100"/>
            </w:tcMar>
            <w:vAlign w:val="center"/>
          </w:tcPr>
          <w:p>
            <w:pPr>
              <w:jc w:val="left"/>
            </w:pPr>
            <w:r>
              <w:rPr>
                <w:b/>
                <w:bCs/>
                <w:color w:val="E36C09"/>
                <w:sz w:val="20"/>
                <w:szCs w:val="20"/>
              </w:rPr>
              <w:t xml:space="preserve">Alto</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10</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45%</w:t>
            </w:r>
          </w:p>
        </w:tc>
      </w:tr>
      <w:tr>
        <w:tc>
          <w:tcPr>
            <w:tcW w:type="dxa" w:w="3000"/>
            <w:shd w:fill="FFFFFF" w:val="clear"/>
            <w:tcMar>
              <w:top w:type="dxa" w:w="80"/>
              <w:left w:type="dxa" w:w="100"/>
              <w:bottom w:type="dxa" w:w="80"/>
              <w:right w:type="dxa" w:w="100"/>
            </w:tcMar>
            <w:vAlign w:val="center"/>
          </w:tcPr>
          <w:p>
            <w:pPr>
              <w:jc w:val="left"/>
            </w:pPr>
            <w:r>
              <w:rPr>
                <w:b/>
                <w:bCs/>
                <w:color w:val="BF9000"/>
                <w:sz w:val="20"/>
                <w:szCs w:val="20"/>
              </w:rPr>
              <w:t xml:space="preserve">Medio</w:t>
            </w:r>
          </w:p>
        </w:tc>
        <w:tc>
          <w:tcPr>
            <w:tcW w:type="dxa" w:w="2500"/>
            <w:shd w:fill="FFFFFF" w:val="clear"/>
            <w:tcMar>
              <w:top w:type="dxa" w:w="80"/>
              <w:left w:type="dxa" w:w="100"/>
              <w:bottom w:type="dxa" w:w="80"/>
              <w:right w:type="dxa" w:w="100"/>
            </w:tcMar>
            <w:vAlign w:val="center"/>
          </w:tcPr>
          <w:p>
            <w:pPr>
              <w:jc w:val="center"/>
            </w:pPr>
            <w:r>
              <w:rPr>
                <w:b w:val="false"/>
                <w:bCs w:val="false"/>
                <w:sz w:val="20"/>
                <w:szCs w:val="20"/>
              </w:rPr>
              <w:t xml:space="preserve">5</w:t>
            </w:r>
          </w:p>
        </w:tc>
        <w:tc>
          <w:tcPr>
            <w:tcW w:type="dxa" w:w="2500"/>
            <w:shd w:fill="FFFFFF" w:val="clear"/>
            <w:tcMar>
              <w:top w:type="dxa" w:w="80"/>
              <w:left w:type="dxa" w:w="100"/>
              <w:bottom w:type="dxa" w:w="80"/>
              <w:right w:type="dxa" w:w="100"/>
            </w:tcMar>
            <w:vAlign w:val="center"/>
          </w:tcPr>
          <w:p>
            <w:pPr>
              <w:jc w:val="center"/>
            </w:pPr>
            <w:r>
              <w:rPr>
                <w:b w:val="false"/>
                <w:bCs w:val="false"/>
                <w:sz w:val="20"/>
                <w:szCs w:val="20"/>
              </w:rPr>
              <w:t xml:space="preserve">23%</w:t>
            </w:r>
          </w:p>
        </w:tc>
      </w:tr>
      <w:tr>
        <w:tc>
          <w:tcPr>
            <w:tcW w:type="dxa" w:w="3000"/>
            <w:shd w:fill="F2F2F2" w:val="clear"/>
            <w:tcMar>
              <w:top w:type="dxa" w:w="80"/>
              <w:left w:type="dxa" w:w="100"/>
              <w:bottom w:type="dxa" w:w="80"/>
              <w:right w:type="dxa" w:w="100"/>
            </w:tcMar>
            <w:vAlign w:val="center"/>
          </w:tcPr>
          <w:p>
            <w:pPr>
              <w:jc w:val="left"/>
            </w:pPr>
            <w:r>
              <w:rPr>
                <w:b/>
                <w:bCs/>
                <w:color w:val="548235"/>
                <w:sz w:val="20"/>
                <w:szCs w:val="20"/>
              </w:rPr>
              <w:t xml:space="preserve">Basso</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9%</w:t>
            </w:r>
          </w:p>
        </w:tc>
      </w:tr>
    </w:tbl>
    <w:p>
      <w:pPr>
        <w:spacing w:before="200"/>
      </w:pPr>
    </w:p>
    <w:p>
      <w:pPr>
        <w:spacing w:after="160" w:line="276"/>
      </w:pPr>
      <w:r>
        <w:t xml:space="preserve">Il dato più significativo è che oltre il 60% dei servizi esposti presenta un livello di rischio Alto o Critico, a conferma della natura volutamente vulnerabile dell'ambiente Metasploitable. In un contesto reale, una simile esposizione comporterebbe un rischio concreto di compromissione totale del sistema (full system compromise) in tempi molto brevi, anche da parte di un attaccante con competenze limitate, data la disponibilità pubblica di exploit per la maggior parte delle vulnerabilità elencate.</w:t>
      </w:r>
    </w:p>
    <w:p>
      <w:pPr>
        <w:pStyle w:val="Heading1"/>
        <w:spacing w:after="200" w:before="360"/>
      </w:pPr>
      <w:r>
        <w:t xml:space="preserve">6. Raccomandazioni di Mitigazione</w:t>
      </w:r>
    </w:p>
    <w:p>
      <w:pPr>
        <w:pStyle w:val="Heading2"/>
        <w:spacing w:after="160" w:before="280"/>
      </w:pPr>
      <w:r>
        <w:t xml:space="preserve">6.1 Azioni Immediate</w:t>
      </w:r>
    </w:p>
    <w:p>
      <w:pPr>
        <w:pStyle w:val="ListParagraph"/>
        <w:numPr>
          <w:ilvl w:val="0"/>
          <w:numId w:val="2"/>
        </w:numPr>
        <w:spacing w:after="80"/>
      </w:pPr>
      <w:r>
        <w:t xml:space="preserve">Disattivare o rimuovere i servizi non necessari (rexec, rlogin, rsh, bindshell su 1524, X11 remoto).</w:t>
      </w:r>
    </w:p>
    <w:p>
      <w:pPr>
        <w:pStyle w:val="ListParagraph"/>
        <w:numPr>
          <w:ilvl w:val="0"/>
          <w:numId w:val="2"/>
        </w:numPr>
        <w:spacing w:after="80"/>
      </w:pPr>
      <w:r>
        <w:t xml:space="preserve">Aggiornare tutti i pacchetti a versioni supportate e patchate, in particolare vsftpd, ProFTPD, Samba, UnrealIRCd, BIND e Apache/Tomcat.</w:t>
      </w:r>
    </w:p>
    <w:p>
      <w:pPr>
        <w:pStyle w:val="ListParagraph"/>
        <w:numPr>
          <w:ilvl w:val="0"/>
          <w:numId w:val="2"/>
        </w:numPr>
        <w:spacing w:after="80"/>
      </w:pPr>
      <w:r>
        <w:t xml:space="preserve">Sostituire Telnet con SSH e disabilitare l'autenticazione con password in favore di chiavi crittografiche.</w:t>
      </w:r>
    </w:p>
    <w:p>
      <w:pPr>
        <w:pStyle w:val="ListParagraph"/>
        <w:numPr>
          <w:ilvl w:val="0"/>
          <w:numId w:val="2"/>
        </w:numPr>
        <w:spacing w:after="80"/>
      </w:pPr>
      <w:r>
        <w:t xml:space="preserve">Impostare password complesse per tutti gli account di database (MySQL, PostgreSQL) ed eliminare gli account privi di credenziali.</w:t>
      </w:r>
    </w:p>
    <w:p>
      <w:pPr>
        <w:pStyle w:val="Heading2"/>
        <w:spacing w:after="160" w:before="280"/>
      </w:pPr>
      <w:r>
        <w:t xml:space="preserve">6.2 Misure Strutturali</w:t>
      </w:r>
    </w:p>
    <w:p>
      <w:pPr>
        <w:pStyle w:val="ListParagraph"/>
        <w:numPr>
          <w:ilvl w:val="0"/>
          <w:numId w:val="2"/>
        </w:numPr>
        <w:spacing w:after="80"/>
      </w:pPr>
      <w:r>
        <w:t xml:space="preserve">Applicare il principio del privilegio minimo e segmentare la rete per limitare la superficie esposta ai soli servizi strettamente necessari.</w:t>
      </w:r>
    </w:p>
    <w:p>
      <w:pPr>
        <w:pStyle w:val="ListParagraph"/>
        <w:numPr>
          <w:ilvl w:val="0"/>
          <w:numId w:val="2"/>
        </w:numPr>
        <w:spacing w:after="80"/>
      </w:pPr>
      <w:r>
        <w:t xml:space="preserve">Implementare un'architettura Zero Trust, autenticando e ispezionando ogni richiesta indipendentemente dalla provenienza.</w:t>
      </w:r>
    </w:p>
    <w:p>
      <w:pPr>
        <w:pStyle w:val="ListParagraph"/>
        <w:numPr>
          <w:ilvl w:val="0"/>
          <w:numId w:val="2"/>
        </w:numPr>
        <w:spacing w:after="80"/>
      </w:pPr>
      <w:r>
        <w:t xml:space="preserve">Adottare l'autenticazione multi-fattore (MFA) resistente al phishing per l'accesso ai servizi amministrativi.</w:t>
      </w:r>
    </w:p>
    <w:p>
      <w:pPr>
        <w:pStyle w:val="ListParagraph"/>
        <w:numPr>
          <w:ilvl w:val="0"/>
          <w:numId w:val="2"/>
        </w:numPr>
        <w:spacing w:after="80"/>
      </w:pPr>
      <w:r>
        <w:t xml:space="preserve">Pianificare scansioni di vulnerabilità periodiche (es. tramite Nessus) e definire un processo strutturato di patch management.</w:t>
      </w:r>
    </w:p>
    <w:p>
      <w:pPr>
        <w:pStyle w:val="Heading1"/>
        <w:spacing w:after="200" w:before="360"/>
      </w:pPr>
      <w:r>
        <w:t xml:space="preserve">7. Conclusioni</w:t>
      </w:r>
    </w:p>
    <w:p>
      <w:pPr>
        <w:spacing w:after="160" w:line="276"/>
      </w:pPr>
      <w:r>
        <w:t xml:space="preserve">La scansione condotta con Nmap ha fornito una mappatura completa dei servizi esposti dall'host target, evidenziando un numero elevato di vulnerabilità critiche coerenti con la natura didattica dell'ambiente Metasploitable. I risultati ottenuti costituiscono la base per la successiva fase di vulnerability assessment automatizzato tramite Nessus, che consentirà di confermare e approfondire ulteriormente le criticità identificate, corredandole di uno scoring di rischio standardizzato (CVSS).</w:t>
      </w:r>
    </w:p>
    <w:p>
      <w:pPr>
        <w:spacing w:after="160" w:line="276"/>
      </w:pPr>
      <w:r>
        <w:rPr>
          <w:i/>
          <w:iCs/>
        </w:rPr>
        <w:t xml:space="preserve">La cyber security non è un prodotto, ma un processo continuo: la remediation delle vulnerabilità individuate deve essere accompagnata da un piano di monitoraggio costante e da una revisione periodica della postura di sicurezza dell'infrastruttura.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2026-07-09T14:38:06.824Z</dcterms:created>
  <dcterms:modified xsi:type="dcterms:W3CDTF">2026-07-09T14:38:06.849Z</dcterms:modified>
</cp:coreProperties>
</file>

<file path=docProps/custom.xml><?xml version="1.0" encoding="utf-8"?>
<Properties xmlns="http://schemas.openxmlformats.org/officeDocument/2006/custom-properties" xmlns:vt="http://schemas.openxmlformats.org/officeDocument/2006/docPropsVTypes"/>
</file>