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 de Datos y Diccionario de Base de Datos - Alkiman (v1.0)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contiene la especificación técnica de las tablas de la base de datos para </w:t>
      </w:r>
      <w:r w:rsidDel="00000000" w:rsidR="00000000" w:rsidRPr="00000000">
        <w:rPr>
          <w:b w:val="1"/>
          <w:bCs w:val="1"/>
          <w:rtl w:val="0"/>
        </w:rPr>
        <w:t xml:space="preserve">Alkiman</w:t>
      </w:r>
      <w:r w:rsidDel="00000000" w:rsidR="00000000" w:rsidRPr="00000000">
        <w:rPr>
          <w:rtl w:val="0"/>
        </w:rPr>
        <w:t xml:space="preserve">, optimizada para Microsoft SQL Server y Entity Framework Core. Todas las tablas incluyen campos de auditoría obligatorios y siguen una nomenclatura estandarizada por módulos.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MÓDULO: CONFIGURACIÓN (CFG_)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CFG_Landlords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Almacena los datos de los propietarios que administran sus negocios en la plataforma.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 (GUID unívoco).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Auth0UserId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de usuario devuelto por Auth0 para mapear la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BusinessName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NVARCHAR(150)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comercial del negocio de rentas.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Correo electrónico principal de contacto.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creó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modificó el registro.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Tabla: CFG_Categories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Agrupa los activos para su correcta organización (ej. Departamentos, Herramientas, Autos).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 autoincremental.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LandlordId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CFG_Landlords.Id.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de la categoría (ej. 'Inmuebles').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creó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modificó el registro.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MÓDULO: INVENTARIO (INV_)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INV_Assets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tabla híbrida central. Modela tanto inmuebles a largo plazo como objetos a corto plazo.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 (GUID).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LandlordId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CFG_Landlords.Id.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CFG_Categories.Id.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NVARCHAR(150)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comercial del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NVARCHAR(MAX)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detallada de las condiciones o características.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ImageUrl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NVARCHAR(500)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URL del archivo multimedia en Azure Blob Storage.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actual (Available, Rented, Maintenance).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RentalType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maestro de negocio (LongTerm o ShortTerm).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BasePrice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DECIMAL(18,2)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base de alquiler (por día o por mes).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Cantidad de unidades físicas disponibles (por defecto 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creó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modificó el registro.</w:t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MÓDULO: CLIENTES (CRM_)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CRM_Customers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Almacena el directorio de inquilinos y clientes que rentan los activos.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LandlordId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CFG_Landlords.Id.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NVARCHAR(150)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y apellido completo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IdentityNumber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legal de identidad (DNI, Pasaporte,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de contacto para alertas o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Correo electrónico para el envío de contratos.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creó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modificó el registro.</w:t>
            </w:r>
          </w:p>
        </w:tc>
      </w:tr>
    </w:tbl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MÓDULO: TRANSACCIONES (TRX_)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TRX_Rentals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Une a un cliente con un activo específico durante un lapso de tiempo pactado.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INV_Assets.Id.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CRM_Customers.Id.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inicio de la renta o contrato.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estimada de devolución o renovación.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ContractPdfUrl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NVARCHAR(500)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Enlace al contrato PDF firmado digitalmente en Azure Storage.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DECIMAL(18,2)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Monto económico total acordado para el ciclo actual.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transaccional (Active, Completed, Overdue).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creó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modificó el registro.</w:t>
            </w:r>
          </w:p>
        </w:tc>
      </w:tr>
    </w:tbl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Tabla: TRX_Payments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Libro diario contable de ingresos (rentas) y egresos (gastos operativos).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RentalId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TRX_Rentals.Id (Opcional si es un gasto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LandlordId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UNIQUEIDENTIFIER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foránea -&gt; CFG_Landlords.Id.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DECIMAL(18,2)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Importe monetario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Sentido del flujo de dinero (Income / Expense).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PaymentDate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efectiva del pago o gasto.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StripeTransactionId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Token de auditoría emitido por la pasarela de Stripe.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creó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modificó el registro.</w:t>
            </w:r>
          </w:p>
        </w:tc>
      </w:tr>
    </w:tbl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MÓDULO: AUDITORÍA (AUD_)</w:t>
      </w:r>
    </w:p>
    <w:p w:rsidR="00000000" w:rsidDel="00000000" w:rsidP="00000000" w:rsidRDefault="00000000" w:rsidRPr="00000000" w14:paraId="000001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AUD_AuditLogs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Bitácora de eventos globales en el sistema. Registra inserciones, mutaciones y eliminaciones en JSON.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Nombre de Columna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Nullable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Llave primaria autoincremental para alta volumetría.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de Auth0 de la persona que realizó la 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 de mutación realizada (Create, Update, Delete).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TableName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físico de la tabla afectada (ej. INV_Assets).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PrimaryKey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afectado.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OldValues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NVARCHAR(MAX)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Estructura JSON con los valores anteriores (Nulo en altas).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NewValues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NVARCHAR(MAX)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Estructura JSON con los valores posteriores (Nulo en bajas).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Sello de tiempo exacto del servidor.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