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0E4E3" w14:textId="41303520" w:rsidR="003334D3" w:rsidRPr="0063319D" w:rsidRDefault="00BF1991" w:rsidP="0063319D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2.9 </w:t>
      </w:r>
      <w:r w:rsidR="0010174C" w:rsidRPr="0063319D">
        <w:rPr>
          <w:b/>
          <w:bCs/>
          <w:color w:val="0D0D0D" w:themeColor="text1" w:themeTint="F2"/>
          <w:sz w:val="32"/>
          <w:szCs w:val="32"/>
          <w:u w:val="single"/>
        </w:rPr>
        <w:t>Sostegni orientati</w:t>
      </w:r>
    </w:p>
    <w:p w14:paraId="27AD3CEB" w14:textId="7497FB10" w:rsidR="0010174C" w:rsidRPr="0010174C" w:rsidRDefault="0010174C" w:rsidP="00A95EBE">
      <w:pPr>
        <w:jc w:val="both"/>
        <w:rPr>
          <w:sz w:val="28"/>
        </w:rPr>
      </w:pPr>
      <w:r w:rsidRPr="0010174C">
        <w:rPr>
          <w:sz w:val="28"/>
        </w:rPr>
        <w:t xml:space="preserve">Una curva semplice e regolare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</w:t>
      </w:r>
      <w:r w:rsidRPr="0010174C">
        <w:rPr>
          <w:sz w:val="28"/>
        </w:rPr>
        <w:t xml:space="preserve">induce un verso di percorrenza sul proprio sostegno </w:t>
      </w:r>
      <m:oMath>
        <m:r>
          <m:rPr>
            <m:sty m:val="p"/>
          </m:rPr>
          <w:rPr>
            <w:rFonts w:ascii="Cambria Math" w:hAnsi="Cambria Math"/>
            <w:sz w:val="28"/>
          </w:rPr>
          <m:t>Γ</m:t>
        </m:r>
      </m:oMath>
      <w:r w:rsidRPr="0010174C">
        <w:rPr>
          <w:sz w:val="28"/>
        </w:rPr>
        <w:t xml:space="preserve">. Se consideriamo un’altra parametrizzazione 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γ</m:t>
            </m:r>
          </m:e>
        </m:acc>
      </m:oMath>
      <w:r>
        <w:rPr>
          <w:sz w:val="28"/>
        </w:rPr>
        <w:t xml:space="preserve"> </w:t>
      </w:r>
      <w:r w:rsidRPr="0010174C">
        <w:rPr>
          <w:sz w:val="28"/>
        </w:rPr>
        <w:t>d</w:t>
      </w:r>
      <w:r w:rsidR="00C51DD2">
        <w:rPr>
          <w:sz w:val="28"/>
        </w:rPr>
        <w:t>i</w:t>
      </w:r>
      <w:r w:rsidRPr="0010174C">
        <w:rPr>
          <w:sz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</w:rPr>
          <m:t>Γ</m:t>
        </m:r>
      </m:oMath>
      <w:r w:rsidRPr="0010174C">
        <w:rPr>
          <w:sz w:val="28"/>
        </w:rPr>
        <w:t xml:space="preserve"> che differisce da </w:t>
      </w:r>
      <m:oMath>
        <m:r>
          <w:rPr>
            <w:rFonts w:ascii="Cambria Math" w:hAnsi="Cambria Math"/>
            <w:sz w:val="28"/>
          </w:rPr>
          <m:t>γ</m:t>
        </m:r>
      </m:oMath>
      <w:r w:rsidRPr="0010174C">
        <w:rPr>
          <w:sz w:val="28"/>
        </w:rPr>
        <w:t xml:space="preserve"> per un cambio di parametrizzazione</w:t>
      </w:r>
      <w:r w:rsidR="00C51DD2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φ</m:t>
        </m:r>
      </m:oMath>
      <w:r w:rsidRPr="0010174C">
        <w:rPr>
          <w:sz w:val="28"/>
        </w:rPr>
        <w:t xml:space="preserve">, sono possibili solo due casi: o </w:t>
      </w:r>
      <m:oMath>
        <m:r>
          <w:rPr>
            <w:rFonts w:ascii="Cambria Math" w:hAnsi="Cambria Math"/>
            <w:sz w:val="28"/>
          </w:rPr>
          <m:t>φ</m:t>
        </m:r>
      </m:oMath>
      <w:r w:rsidR="00C51DD2">
        <w:rPr>
          <w:rFonts w:eastAsiaTheme="minorEastAsia"/>
          <w:sz w:val="28"/>
        </w:rPr>
        <w:t xml:space="preserve"> </w:t>
      </w:r>
      <w:r>
        <w:rPr>
          <w:sz w:val="28"/>
        </w:rPr>
        <w:t xml:space="preserve">è </w:t>
      </w:r>
      <w:r w:rsidRPr="0010174C">
        <w:rPr>
          <w:sz w:val="28"/>
        </w:rPr>
        <w:t xml:space="preserve">una funzione crescente, e in tal caso 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γ</m:t>
            </m:r>
          </m:e>
        </m:acc>
      </m:oMath>
      <w:r>
        <w:rPr>
          <w:sz w:val="28"/>
        </w:rPr>
        <w:t xml:space="preserve"> </w:t>
      </w:r>
      <w:r w:rsidRPr="0010174C">
        <w:rPr>
          <w:sz w:val="28"/>
        </w:rPr>
        <w:t xml:space="preserve">induce su </w:t>
      </w:r>
      <m:oMath>
        <m:r>
          <m:rPr>
            <m:sty m:val="p"/>
          </m:rPr>
          <w:rPr>
            <w:rFonts w:ascii="Cambria Math" w:hAnsi="Cambria Math"/>
            <w:sz w:val="28"/>
          </w:rPr>
          <m:t>Γ</m:t>
        </m:r>
      </m:oMath>
      <w:r w:rsidRPr="0010174C">
        <w:rPr>
          <w:sz w:val="28"/>
        </w:rPr>
        <w:t xml:space="preserve"> lo stesso verso di percorrenza di </w:t>
      </w:r>
      <m:oMath>
        <m:r>
          <w:rPr>
            <w:rFonts w:ascii="Cambria Math" w:hAnsi="Cambria Math"/>
            <w:sz w:val="28"/>
          </w:rPr>
          <m:t>γ</m:t>
        </m:r>
      </m:oMath>
      <w:r w:rsidRPr="0010174C">
        <w:rPr>
          <w:sz w:val="28"/>
        </w:rPr>
        <w:t xml:space="preserve">. Oppure </w:t>
      </w:r>
      <m:oMath>
        <m:r>
          <w:rPr>
            <w:rFonts w:ascii="Cambria Math" w:hAnsi="Cambria Math"/>
            <w:sz w:val="28"/>
          </w:rPr>
          <m:t>φ</m:t>
        </m:r>
      </m:oMath>
      <w:r w:rsidR="00C51DD2">
        <w:rPr>
          <w:rFonts w:eastAsiaTheme="minorEastAsia"/>
          <w:sz w:val="28"/>
        </w:rPr>
        <w:t xml:space="preserve"> </w:t>
      </w:r>
      <w:r>
        <w:rPr>
          <w:sz w:val="28"/>
        </w:rPr>
        <w:t>è</w:t>
      </w:r>
      <w:r w:rsidRPr="0010174C">
        <w:rPr>
          <w:sz w:val="28"/>
        </w:rPr>
        <w:t xml:space="preserve"> una funzione decrescente, e in tal caso 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γ</m:t>
            </m:r>
          </m:e>
        </m:acc>
        <m:r>
          <w:rPr>
            <w:rFonts w:ascii="Cambria Math" w:hAnsi="Cambria Math"/>
            <w:sz w:val="28"/>
          </w:rPr>
          <m:t xml:space="preserve"> </m:t>
        </m:r>
      </m:oMath>
      <w:r w:rsidRPr="0010174C">
        <w:rPr>
          <w:sz w:val="28"/>
        </w:rPr>
        <w:t xml:space="preserve">induce su </w:t>
      </w:r>
      <m:oMath>
        <m:r>
          <m:rPr>
            <m:sty m:val="p"/>
          </m:rPr>
          <w:rPr>
            <w:rFonts w:ascii="Cambria Math" w:hAnsi="Cambria Math"/>
            <w:sz w:val="28"/>
          </w:rPr>
          <m:t>Γ</m:t>
        </m:r>
      </m:oMath>
      <w:r w:rsidRPr="0010174C">
        <w:rPr>
          <w:sz w:val="28"/>
        </w:rPr>
        <w:t xml:space="preserve"> il verso di percorrenza opposto a quello di </w:t>
      </w:r>
      <m:oMath>
        <m:r>
          <w:rPr>
            <w:rFonts w:ascii="Cambria Math" w:hAnsi="Cambria Math"/>
            <w:sz w:val="28"/>
          </w:rPr>
          <m:t>γ</m:t>
        </m:r>
      </m:oMath>
      <w:r w:rsidRPr="0010174C">
        <w:rPr>
          <w:sz w:val="28"/>
        </w:rPr>
        <w:t>.</w:t>
      </w:r>
    </w:p>
    <w:p w14:paraId="39E9F531" w14:textId="5F7029CC" w:rsidR="0010174C" w:rsidRPr="0063319D" w:rsidRDefault="0010174C">
      <w:pPr>
        <w:rPr>
          <w:b/>
          <w:bCs/>
          <w:sz w:val="28"/>
        </w:rPr>
      </w:pPr>
      <w:r w:rsidRPr="0063319D">
        <w:rPr>
          <w:b/>
          <w:bCs/>
          <w:sz w:val="28"/>
        </w:rPr>
        <w:t>Definizione:</w:t>
      </w:r>
    </w:p>
    <w:p w14:paraId="4D08E969" w14:textId="77777777" w:rsidR="00DB07BE" w:rsidRDefault="0010174C" w:rsidP="00A95EBE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Il sostegno </w:t>
      </w:r>
      <m:oMath>
        <m:r>
          <m:rPr>
            <m:sty m:val="p"/>
          </m:rPr>
          <w:rPr>
            <w:rFonts w:ascii="Cambria Math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di una curva</w:t>
      </w:r>
      <w:r w:rsidR="00DB07BE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semplice e regolare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si dice orientato se si fissa s</w:t>
      </w:r>
      <w:r w:rsidR="00DB07BE">
        <w:rPr>
          <w:rFonts w:eastAsiaTheme="minorEastAsia"/>
          <w:sz w:val="28"/>
        </w:rPr>
        <w:t>u</w:t>
      </w:r>
      <w:r>
        <w:rPr>
          <w:rFonts w:eastAsiaTheme="minorEastAsia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un verso di percorrenza, definito da una certa parametrizzazione di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>.</w:t>
      </w:r>
      <w:r w:rsidR="00DB07BE">
        <w:rPr>
          <w:rFonts w:eastAsiaTheme="minorEastAsia"/>
          <w:sz w:val="28"/>
        </w:rPr>
        <w:t xml:space="preserve"> </w:t>
      </w:r>
    </w:p>
    <w:p w14:paraId="1B7CD2CA" w14:textId="76C30593" w:rsidR="00DB07BE" w:rsidRPr="0063319D" w:rsidRDefault="00DB07BE">
      <w:pPr>
        <w:rPr>
          <w:rFonts w:eastAsiaTheme="minorEastAsia"/>
          <w:b/>
          <w:bCs/>
          <w:sz w:val="28"/>
        </w:rPr>
      </w:pPr>
      <w:r w:rsidRPr="0063319D">
        <w:rPr>
          <w:rFonts w:eastAsiaTheme="minorEastAsia"/>
          <w:b/>
          <w:bCs/>
          <w:sz w:val="28"/>
        </w:rPr>
        <w:t>Definizione:</w:t>
      </w:r>
    </w:p>
    <w:p w14:paraId="094BCD32" w14:textId="2428420C" w:rsidR="00DB07BE" w:rsidRDefault="00DB07B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m:rPr>
            <m:sty m:val="p"/>
          </m:rPr>
          <w:rPr>
            <w:rFonts w:ascii="Cambria Math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un sostegno orientato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e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F</m:t>
            </m:r>
          </m:e>
        </m:acc>
        <m:r>
          <w:rPr>
            <w:rFonts w:ascii="Cambria Math" w:hAnsi="Cambria Math"/>
            <w:sz w:val="28"/>
          </w:rPr>
          <m:t xml:space="preserve"> :</m:t>
        </m:r>
        <m:r>
          <m:rPr>
            <m:sty m:val="p"/>
          </m:rPr>
          <w:rPr>
            <w:rFonts w:ascii="Cambria Math" w:hAnsi="Cambria Math"/>
            <w:sz w:val="28"/>
          </w:rPr>
          <m:t>Γ</m:t>
        </m:r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è un campo vettoriale, si pone</w:t>
      </w:r>
    </w:p>
    <w:p w14:paraId="6423DDD4" w14:textId="17828644" w:rsidR="00DB07BE" w:rsidRPr="00DB07BE" w:rsidRDefault="00000000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  <w:sz w:val="28"/>
            </w:rPr>
            <m:t>≔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acc>
            </m:e>
          </m:nary>
        </m:oMath>
      </m:oMathPara>
    </w:p>
    <w:p w14:paraId="136967A4" w14:textId="06C390DB" w:rsidR="00DB07BE" w:rsidRDefault="00DB07BE" w:rsidP="00A95EB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una curva </w:t>
      </w:r>
      <w:r w:rsidR="00EA1C94">
        <w:rPr>
          <w:rFonts w:eastAsiaTheme="minorEastAsia"/>
          <w:sz w:val="28"/>
        </w:rPr>
        <w:t xml:space="preserve">semplice e regolare </w:t>
      </w:r>
      <w:r>
        <w:rPr>
          <w:rFonts w:eastAsiaTheme="minorEastAsia"/>
          <w:sz w:val="28"/>
        </w:rPr>
        <w:t xml:space="preserve">che parametrizza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secondo il verso di percorrenza assegnato su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>.</w:t>
      </w:r>
    </w:p>
    <w:p w14:paraId="5302E4F5" w14:textId="5DFF1570" w:rsidR="00B62AB5" w:rsidRPr="0063319D" w:rsidRDefault="00B62AB5">
      <w:pPr>
        <w:rPr>
          <w:rFonts w:eastAsiaTheme="minorEastAsia"/>
          <w:sz w:val="28"/>
          <w:u w:val="single"/>
        </w:rPr>
      </w:pPr>
      <w:r w:rsidRPr="0063319D">
        <w:rPr>
          <w:rFonts w:eastAsiaTheme="minorEastAsia"/>
          <w:sz w:val="28"/>
          <w:u w:val="single"/>
        </w:rPr>
        <w:t>Osservazione:</w:t>
      </w:r>
    </w:p>
    <w:p w14:paraId="0B321FDD" w14:textId="002E2AB0" w:rsidR="00DB07BE" w:rsidRDefault="00B62AB5" w:rsidP="00A95EBE">
      <w:pPr>
        <w:jc w:val="both"/>
        <w:rPr>
          <w:sz w:val="28"/>
        </w:rPr>
      </w:pPr>
      <w:r w:rsidRPr="00B62AB5">
        <w:rPr>
          <w:sz w:val="28"/>
        </w:rPr>
        <w:t>La proprietà fondamentale degli integrali di linea di campi vettoriali garantisce che la definizione è ben posta, cioè non dipende dalla scelta della parametrizzazione, perché l’integrale di linea di seconda specie non cambia rispetto a cambi di parametrizzazione che preservano l’orientazione</w:t>
      </w:r>
    </w:p>
    <w:p w14:paraId="6C0556A5" w14:textId="0F8A2D6E" w:rsidR="00201AC0" w:rsidRPr="0063319D" w:rsidRDefault="00201AC0">
      <w:pPr>
        <w:rPr>
          <w:sz w:val="28"/>
          <w:u w:val="single"/>
        </w:rPr>
      </w:pPr>
      <w:r w:rsidRPr="0063319D">
        <w:rPr>
          <w:sz w:val="28"/>
          <w:u w:val="single"/>
        </w:rPr>
        <w:t>Esempio n°1:</w:t>
      </w:r>
    </w:p>
    <w:p w14:paraId="4236948B" w14:textId="462AC5E4" w:rsidR="0010174C" w:rsidRPr="00665277" w:rsidRDefault="006C4441" w:rsidP="006C4441">
      <w:pPr>
        <w:jc w:val="center"/>
        <w:rPr>
          <w:sz w:val="28"/>
        </w:rPr>
      </w:pPr>
      <w:r w:rsidRPr="006C4441">
        <w:rPr>
          <w:noProof/>
          <w:sz w:val="28"/>
        </w:rPr>
        <w:drawing>
          <wp:inline distT="0" distB="0" distL="0" distR="0" wp14:anchorId="71F6A2B4" wp14:editId="31294613">
            <wp:extent cx="5448300" cy="2630879"/>
            <wp:effectExtent l="0" t="0" r="0" b="0"/>
            <wp:docPr id="701851080" name="Immagine 1" descr="Immagine che contiene testo, diagramma, linea, cer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51080" name="Immagine 1" descr="Immagine che contiene testo, diagramma, linea, cerchi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743" cy="26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74C" w:rsidRPr="00665277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7E1D1" w14:textId="77777777" w:rsidR="00D56586" w:rsidRDefault="00D56586" w:rsidP="00FE38CA">
      <w:pPr>
        <w:spacing w:after="0" w:line="240" w:lineRule="auto"/>
      </w:pPr>
      <w:r>
        <w:separator/>
      </w:r>
    </w:p>
  </w:endnote>
  <w:endnote w:type="continuationSeparator" w:id="0">
    <w:p w14:paraId="436204D4" w14:textId="77777777" w:rsidR="00D56586" w:rsidRDefault="00D56586" w:rsidP="00FE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3088585"/>
      <w:docPartObj>
        <w:docPartGallery w:val="Page Numbers (Bottom of Page)"/>
        <w:docPartUnique/>
      </w:docPartObj>
    </w:sdtPr>
    <w:sdtContent>
      <w:p w14:paraId="15478200" w14:textId="504D68E7" w:rsidR="00FE38CA" w:rsidRDefault="00FE38CA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2E285E" w14:textId="77777777" w:rsidR="00FE38CA" w:rsidRDefault="00FE38C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1DAA9" w14:textId="77777777" w:rsidR="00D56586" w:rsidRDefault="00D56586" w:rsidP="00FE38CA">
      <w:pPr>
        <w:spacing w:after="0" w:line="240" w:lineRule="auto"/>
      </w:pPr>
      <w:r>
        <w:separator/>
      </w:r>
    </w:p>
  </w:footnote>
  <w:footnote w:type="continuationSeparator" w:id="0">
    <w:p w14:paraId="0B589F17" w14:textId="77777777" w:rsidR="00D56586" w:rsidRDefault="00D56586" w:rsidP="00FE38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77"/>
    <w:rsid w:val="0010174C"/>
    <w:rsid w:val="001C61EB"/>
    <w:rsid w:val="00201AC0"/>
    <w:rsid w:val="003334D3"/>
    <w:rsid w:val="005A6C16"/>
    <w:rsid w:val="0063319D"/>
    <w:rsid w:val="00665277"/>
    <w:rsid w:val="006C4441"/>
    <w:rsid w:val="00A95EBE"/>
    <w:rsid w:val="00B62AB5"/>
    <w:rsid w:val="00BF1991"/>
    <w:rsid w:val="00C51DD2"/>
    <w:rsid w:val="00C9333F"/>
    <w:rsid w:val="00CA267F"/>
    <w:rsid w:val="00D56586"/>
    <w:rsid w:val="00DB07BE"/>
    <w:rsid w:val="00EA1C94"/>
    <w:rsid w:val="00EA2C38"/>
    <w:rsid w:val="00EB5553"/>
    <w:rsid w:val="00FE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903CA"/>
  <w15:chartTrackingRefBased/>
  <w15:docId w15:val="{85F16668-F4B8-4233-A489-EB92400B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10174C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FE38C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E38CA"/>
  </w:style>
  <w:style w:type="paragraph" w:styleId="Pidipagina">
    <w:name w:val="footer"/>
    <w:basedOn w:val="Normale"/>
    <w:link w:val="PidipaginaCarattere"/>
    <w:uiPriority w:val="99"/>
    <w:unhideWhenUsed/>
    <w:rsid w:val="00FE38C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E3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11</cp:revision>
  <dcterms:created xsi:type="dcterms:W3CDTF">2023-10-19T16:30:00Z</dcterms:created>
  <dcterms:modified xsi:type="dcterms:W3CDTF">2024-01-16T09:36:00Z</dcterms:modified>
</cp:coreProperties>
</file>