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3F77" w14:textId="4AB5595A" w:rsidR="007B152C" w:rsidRPr="007B152C" w:rsidRDefault="00BF154C" w:rsidP="007B15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10 </w:t>
      </w:r>
      <w:r w:rsidR="007B152C" w:rsidRPr="007B152C">
        <w:rPr>
          <w:b/>
          <w:bCs/>
          <w:sz w:val="32"/>
          <w:szCs w:val="32"/>
          <w:u w:val="single"/>
        </w:rPr>
        <w:t>Legge di Ampère-Maxwell</w:t>
      </w:r>
    </w:p>
    <w:p w14:paraId="490C2301" w14:textId="6636A9F1" w:rsidR="007B152C" w:rsidRPr="007B152C" w:rsidRDefault="00367DFA" w:rsidP="007B152C">
      <w:pPr>
        <w:rPr>
          <w:b/>
          <w:bCs/>
          <w:sz w:val="28"/>
          <w:u w:val="single"/>
        </w:rPr>
      </w:pPr>
      <w:r w:rsidRPr="00E722C4">
        <w:rPr>
          <w:rFonts w:eastAsiaTheme="minorEastAsia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0AC9F2D" wp14:editId="624891D1">
            <wp:simplePos x="0" y="0"/>
            <wp:positionH relativeFrom="column">
              <wp:posOffset>4253865</wp:posOffset>
            </wp:positionH>
            <wp:positionV relativeFrom="paragraph">
              <wp:posOffset>266065</wp:posOffset>
            </wp:positionV>
            <wp:extent cx="1907540" cy="1630045"/>
            <wp:effectExtent l="0" t="0" r="0" b="8255"/>
            <wp:wrapSquare wrapText="bothSides"/>
            <wp:docPr id="701260254" name="Immagine 1" descr="Immagine che contiene schermata, cerchio, diagramma,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0254" name="Immagine 1" descr="Immagine che contiene schermata, cerchio, diagramma, testo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0"/>
                    <a:stretch/>
                  </pic:blipFill>
                  <pic:spPr bwMode="auto">
                    <a:xfrm>
                      <a:off x="0" y="0"/>
                      <a:ext cx="1907540" cy="1630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C20">
        <w:rPr>
          <w:b/>
          <w:bCs/>
          <w:sz w:val="28"/>
          <w:u w:val="single"/>
        </w:rPr>
        <w:t xml:space="preserve">Problema di validità </w:t>
      </w:r>
      <w:r w:rsidR="007B152C" w:rsidRPr="007B152C">
        <w:rPr>
          <w:b/>
          <w:bCs/>
          <w:sz w:val="28"/>
          <w:u w:val="single"/>
        </w:rPr>
        <w:t>della legge di Ampère:</w:t>
      </w:r>
    </w:p>
    <w:p w14:paraId="30F66A59" w14:textId="66EECAD0" w:rsidR="007B152C" w:rsidRPr="00E722C4" w:rsidRDefault="007B152C" w:rsidP="007E1C20">
      <w:pPr>
        <w:jc w:val="both"/>
        <w:rPr>
          <w:rFonts w:eastAsiaTheme="minorEastAsia"/>
          <w:sz w:val="24"/>
        </w:rPr>
      </w:pPr>
      <w:r w:rsidRPr="00E722C4">
        <w:rPr>
          <w:sz w:val="24"/>
        </w:rPr>
        <w:t xml:space="preserve">La legge di Ampère non è sempre valida. Infatti, in condizioni non stazionarie non è assicurato che </w:t>
      </w:r>
      <m:oMath>
        <m:r>
          <m:rPr>
            <m:sty m:val="p"/>
          </m:rPr>
          <w:rPr>
            <w:rFonts w:ascii="Cambria Math" w:hAnsi="Cambria Math"/>
            <w:sz w:val="24"/>
          </w:rPr>
          <m:t>∇</m:t>
        </m:r>
        <m:r>
          <w:rPr>
            <w:rFonts w:ascii="Cambria Math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j</m:t>
            </m:r>
          </m:e>
        </m:acc>
        <m:r>
          <w:rPr>
            <w:rFonts w:ascii="Cambria Math" w:hAnsi="Cambria Math"/>
            <w:sz w:val="24"/>
          </w:rPr>
          <m:t>=0</m:t>
        </m:r>
      </m:oMath>
      <w:r w:rsidRPr="00E722C4">
        <w:rPr>
          <w:rFonts w:eastAsiaTheme="minorEastAsia"/>
          <w:sz w:val="24"/>
        </w:rPr>
        <w:t>, bensì</w:t>
      </w:r>
      <w:r w:rsidR="0074185C">
        <w:rPr>
          <w:rFonts w:eastAsiaTheme="minorEastAsia"/>
          <w:sz w:val="24"/>
        </w:rPr>
        <w:t xml:space="preserve"> in generale si ha che</w:t>
      </w:r>
      <w:r w:rsidRPr="00E722C4">
        <w:rPr>
          <w:rFonts w:eastAsiaTheme="minor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∇</m:t>
        </m:r>
        <m:r>
          <w:rPr>
            <w:rFonts w:ascii="Cambria Math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j</m:t>
            </m:r>
          </m:e>
        </m:acc>
        <m:r>
          <w:rPr>
            <w:rFonts w:ascii="Cambria Math" w:hAnsi="Cambria Math"/>
            <w:sz w:val="24"/>
          </w:rPr>
          <m:t>=-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∂ρ</m:t>
            </m:r>
          </m:num>
          <m:den>
            <m:r>
              <w:rPr>
                <w:rFonts w:ascii="Cambria Math" w:hAnsi="Cambria Math"/>
                <w:sz w:val="24"/>
              </w:rPr>
              <m:t>∂t</m:t>
            </m:r>
          </m:den>
        </m:f>
      </m:oMath>
      <w:r w:rsidRPr="00E722C4">
        <w:rPr>
          <w:rFonts w:eastAsiaTheme="minorEastAsia"/>
          <w:sz w:val="24"/>
        </w:rPr>
        <w:t>. L</w:t>
      </w:r>
      <w:r w:rsidR="003D1EAF">
        <w:rPr>
          <w:rFonts w:eastAsiaTheme="minorEastAsia"/>
          <w:sz w:val="24"/>
        </w:rPr>
        <w:t xml:space="preserve">’invalidità </w:t>
      </w:r>
      <w:r w:rsidRPr="00E722C4">
        <w:rPr>
          <w:rFonts w:eastAsiaTheme="minorEastAsia"/>
          <w:sz w:val="24"/>
        </w:rPr>
        <w:t>della legge si può osservare direttamente dal processo di carica di un condensatore.</w:t>
      </w:r>
    </w:p>
    <w:p w14:paraId="2513ED3C" w14:textId="2C496E62" w:rsidR="007B152C" w:rsidRPr="00E722C4" w:rsidRDefault="007B152C" w:rsidP="007E1C20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Se si calcola la circuitazione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E722C4">
        <w:rPr>
          <w:rFonts w:eastAsiaTheme="minorEastAsia"/>
          <w:sz w:val="24"/>
        </w:rPr>
        <w:t xml:space="preserve"> lungo un percorso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Γ</m:t>
        </m:r>
      </m:oMath>
      <w:r w:rsidRPr="00E722C4">
        <w:rPr>
          <w:rFonts w:eastAsiaTheme="minorEastAsia"/>
          <w:sz w:val="24"/>
        </w:rPr>
        <w:t xml:space="preserve"> arbitrario</w:t>
      </w:r>
      <w:r w:rsidR="002A6FFE" w:rsidRPr="00E722C4">
        <w:rPr>
          <w:rFonts w:eastAsiaTheme="minorEastAsia"/>
          <w:sz w:val="24"/>
        </w:rPr>
        <w:t xml:space="preserve">, che non è nulla secondo la legge di Ampère, dovrebbe essere uguale al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</m:oMath>
      <w:r w:rsidR="002A6FFE" w:rsidRPr="00E722C4">
        <w:rPr>
          <w:rFonts w:eastAsiaTheme="minorEastAsia"/>
          <w:sz w:val="24"/>
        </w:rPr>
        <w:t xml:space="preserve"> attraverso qualsiasi superficie avente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Γ</m:t>
        </m:r>
      </m:oMath>
      <w:r w:rsidR="002A6FFE" w:rsidRPr="00E722C4">
        <w:rPr>
          <w:rFonts w:eastAsiaTheme="minorEastAsia"/>
          <w:sz w:val="24"/>
        </w:rPr>
        <w:t xml:space="preserve"> come contorno. Tuttavia,</w:t>
      </w:r>
      <w:r w:rsidR="006A119A">
        <w:rPr>
          <w:rFonts w:eastAsiaTheme="minorEastAsia"/>
          <w:sz w:val="24"/>
        </w:rPr>
        <w:t xml:space="preserve"> si trova che</w:t>
      </w:r>
    </w:p>
    <w:p w14:paraId="7C65AC08" w14:textId="14C86C77" w:rsidR="002A6FFE" w:rsidRPr="00E722C4" w:rsidRDefault="00000000" w:rsidP="007B152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=0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0FB6E9C1" w14:textId="2FEC58FD" w:rsidR="002A6FFE" w:rsidRPr="00E722C4" w:rsidRDefault="006A119A" w:rsidP="006A119A">
      <w:pPr>
        <w:jc w:val="both"/>
        <w:rPr>
          <w:sz w:val="24"/>
        </w:rPr>
      </w:pPr>
      <w:r>
        <w:rPr>
          <w:rFonts w:eastAsiaTheme="minorEastAsia"/>
          <w:sz w:val="24"/>
        </w:rPr>
        <w:t>L’integrale di circuitazione del campo magnetico assume due valori differenti</w:t>
      </w:r>
      <w:r w:rsidR="00012B32">
        <w:rPr>
          <w:rFonts w:eastAsiaTheme="minorEastAsia"/>
          <w:sz w:val="24"/>
        </w:rPr>
        <w:t>.</w:t>
      </w:r>
    </w:p>
    <w:p w14:paraId="434EC9E2" w14:textId="785AA0A2" w:rsidR="007B152C" w:rsidRPr="007B152C" w:rsidRDefault="007B152C">
      <w:pPr>
        <w:rPr>
          <w:b/>
          <w:bCs/>
          <w:sz w:val="28"/>
          <w:u w:val="single"/>
        </w:rPr>
      </w:pPr>
      <w:r w:rsidRPr="007B152C">
        <w:rPr>
          <w:b/>
          <w:bCs/>
          <w:sz w:val="28"/>
          <w:u w:val="single"/>
        </w:rPr>
        <w:t>Corrente di spostamento:</w:t>
      </w:r>
    </w:p>
    <w:p w14:paraId="2D7B68C3" w14:textId="4BC18D24" w:rsidR="00FF3441" w:rsidRPr="00E722C4" w:rsidRDefault="007018AE">
      <w:pPr>
        <w:rPr>
          <w:sz w:val="24"/>
        </w:rPr>
      </w:pPr>
      <w:r>
        <w:rPr>
          <w:sz w:val="24"/>
        </w:rPr>
        <w:t>Partendo dalla</w:t>
      </w:r>
      <w:r w:rsidR="00FF3441" w:rsidRPr="00E722C4">
        <w:rPr>
          <w:sz w:val="24"/>
        </w:rPr>
        <w:t xml:space="preserve"> prima equazione di Maxwell e dall’equazione di continuità</w:t>
      </w:r>
      <w:r>
        <w:rPr>
          <w:sz w:val="24"/>
        </w:rPr>
        <w:t xml:space="preserve"> si trovano le relazioni</w:t>
      </w:r>
    </w:p>
    <w:p w14:paraId="404EE4AE" w14:textId="32BF311B" w:rsidR="00FF3441" w:rsidRPr="00E722C4" w:rsidRDefault="00000000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∂ρ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∇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⇒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∂ρ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∂ρ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∂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∂t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∇</m:t>
                  </m:r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TOT</m:t>
                          </m:r>
                        </m:sub>
                      </m:sSub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B744BF5" w14:textId="716100B9" w:rsidR="00FF3441" w:rsidRPr="00E722C4" w:rsidRDefault="00817C67" w:rsidP="00367DFA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>Il vettore</w:t>
      </w:r>
      <w:r w:rsidR="00FF3441" w:rsidRPr="00E722C4">
        <w:rPr>
          <w:rFonts w:eastAsiaTheme="minorEastAsia"/>
          <w:sz w:val="24"/>
        </w:rPr>
        <w:t xml:space="preserve"> di densità di corrente totale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TOT</m:t>
                </m:r>
              </m:sub>
            </m:sSub>
          </m:e>
        </m:acc>
      </m:oMath>
      <w:r w:rsidRPr="00E722C4">
        <w:rPr>
          <w:rFonts w:eastAsiaTheme="minorEastAsia"/>
          <w:sz w:val="24"/>
        </w:rPr>
        <w:t xml:space="preserve"> è</w:t>
      </w:r>
      <w:r w:rsidR="00FF3441" w:rsidRPr="00E722C4">
        <w:rPr>
          <w:rFonts w:eastAsiaTheme="minorEastAsia"/>
          <w:sz w:val="24"/>
        </w:rPr>
        <w:t xml:space="preserve"> un vettore solenoidale.</w:t>
      </w:r>
      <w:r w:rsidRPr="00E722C4">
        <w:rPr>
          <w:rFonts w:eastAsiaTheme="minorEastAsia"/>
          <w:sz w:val="24"/>
        </w:rPr>
        <w:t xml:space="preserve"> Quindi, si può </w:t>
      </w:r>
      <w:r w:rsidR="00270F29">
        <w:rPr>
          <w:rFonts w:eastAsiaTheme="minorEastAsia"/>
          <w:sz w:val="24"/>
        </w:rPr>
        <w:t>modificare</w:t>
      </w:r>
      <w:r w:rsidRPr="00E722C4">
        <w:rPr>
          <w:rFonts w:eastAsiaTheme="minorEastAsia"/>
          <w:sz w:val="24"/>
        </w:rPr>
        <w:t xml:space="preserve"> la legge di Ampère sostituendo il vettore 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TOT</m:t>
                </m:r>
              </m:sub>
            </m:sSub>
          </m:e>
        </m:acc>
      </m:oMath>
      <w:r w:rsidR="00375762">
        <w:rPr>
          <w:rFonts w:eastAsiaTheme="minorEastAsia"/>
          <w:sz w:val="24"/>
        </w:rPr>
        <w:t xml:space="preserve"> ottenendo</w:t>
      </w:r>
      <w:r w:rsidR="00286F66">
        <w:rPr>
          <w:rFonts w:eastAsiaTheme="minorEastAsia"/>
          <w:sz w:val="24"/>
        </w:rPr>
        <w:t xml:space="preserve"> la legge di Ampère-Maxwell</w:t>
      </w:r>
    </w:p>
    <w:p w14:paraId="675D502B" w14:textId="4E7700C2" w:rsidR="00817C67" w:rsidRPr="00E722C4" w:rsidRDefault="00000000" w:rsidP="00FF3441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TOT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∂t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11A0916F" w14:textId="3F28660C" w:rsidR="00F1027C" w:rsidRPr="00E722C4" w:rsidRDefault="00270F29" w:rsidP="007E1C20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Tramite </w:t>
      </w:r>
      <w:r w:rsidR="00F1027C" w:rsidRPr="00E722C4">
        <w:rPr>
          <w:rFonts w:eastAsiaTheme="minorEastAsia"/>
          <w:sz w:val="24"/>
        </w:rPr>
        <w:t xml:space="preserve">il teorema di Stokes </w:t>
      </w:r>
      <w:r>
        <w:rPr>
          <w:rFonts w:eastAsiaTheme="minorEastAsia"/>
          <w:sz w:val="24"/>
        </w:rPr>
        <w:t xml:space="preserve">si può </w:t>
      </w:r>
      <w:r w:rsidR="00F1027C" w:rsidRPr="00E722C4">
        <w:rPr>
          <w:rFonts w:eastAsiaTheme="minorEastAsia"/>
          <w:sz w:val="24"/>
        </w:rPr>
        <w:t>scrivere la legge di Ampère-Maxwell in forma locale</w:t>
      </w:r>
    </w:p>
    <w:p w14:paraId="7A64C2EB" w14:textId="4614BB0B" w:rsidR="00F1027C" w:rsidRPr="00E722C4" w:rsidRDefault="00000000" w:rsidP="00FF3441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s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j</m:t>
              </m:r>
            </m:e>
          </m:acc>
          <m:r>
            <w:rPr>
              <w:rFonts w:ascii="Cambria Math" w:hAnsi="Cambria Math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0507880" w14:textId="6DBCCF93" w:rsidR="000233B3" w:rsidRPr="00E722C4" w:rsidRDefault="00202213" w:rsidP="00FF3441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>La densità di corrente di spostamento e la corrente di spostamento nel vuoto sono rispettivamente</w:t>
      </w:r>
    </w:p>
    <w:p w14:paraId="1BED3988" w14:textId="5C81DF9E" w:rsidR="00202213" w:rsidRPr="00286F66" w:rsidRDefault="00000000" w:rsidP="00FF3441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hAnsi="Cambria Math"/>
                  <w:sz w:val="24"/>
                </w:rPr>
                <m:t>∂t</m:t>
              </m:r>
            </m:den>
          </m:f>
          <m:r>
            <w:rPr>
              <w:rFonts w:ascii="Cambria Math" w:hAnsi="Cambria Math"/>
              <w:sz w:val="24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</w:rPr>
                    <m:t>∂t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Σ</m:t>
              </m:r>
            </m:e>
          </m:nary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</m:oMath>
      </m:oMathPara>
    </w:p>
    <w:p w14:paraId="210AEEF3" w14:textId="77777777" w:rsidR="00286F66" w:rsidRDefault="00286F66" w:rsidP="00FF3441">
      <w:pPr>
        <w:jc w:val="both"/>
        <w:rPr>
          <w:rFonts w:eastAsiaTheme="minorEastAsia"/>
          <w:sz w:val="24"/>
        </w:rPr>
      </w:pPr>
    </w:p>
    <w:p w14:paraId="5F4BDA3C" w14:textId="77777777" w:rsidR="00286F66" w:rsidRPr="00E722C4" w:rsidRDefault="00286F66" w:rsidP="00FF3441">
      <w:pPr>
        <w:jc w:val="both"/>
        <w:rPr>
          <w:rFonts w:eastAsiaTheme="minorEastAsia"/>
          <w:sz w:val="24"/>
        </w:rPr>
      </w:pPr>
    </w:p>
    <w:p w14:paraId="5DA6317C" w14:textId="5E367A1E" w:rsidR="00B7062D" w:rsidRPr="007E1C20" w:rsidRDefault="007E1C20" w:rsidP="00FF3441">
      <w:pPr>
        <w:jc w:val="both"/>
        <w:rPr>
          <w:rFonts w:eastAsiaTheme="minorEastAsia"/>
          <w:b/>
          <w:bCs/>
          <w:sz w:val="28"/>
          <w:u w:val="single"/>
        </w:rPr>
      </w:pPr>
      <w:r w:rsidRPr="007E1C20">
        <w:rPr>
          <w:rFonts w:eastAsiaTheme="minorEastAsia"/>
          <w:b/>
          <w:bCs/>
          <w:sz w:val="28"/>
          <w:u w:val="single"/>
        </w:rPr>
        <w:lastRenderedPageBreak/>
        <w:t>Soluzione al problema di validità della legge di Ampère:</w:t>
      </w:r>
    </w:p>
    <w:p w14:paraId="0F1049E9" w14:textId="6AF7B6A6" w:rsidR="007E1C20" w:rsidRPr="00E722C4" w:rsidRDefault="008D4886" w:rsidP="007E1C20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3B4B04B" wp14:editId="09DA5FA4">
            <wp:simplePos x="0" y="0"/>
            <wp:positionH relativeFrom="column">
              <wp:posOffset>4264983</wp:posOffset>
            </wp:positionH>
            <wp:positionV relativeFrom="paragraph">
              <wp:posOffset>23495</wp:posOffset>
            </wp:positionV>
            <wp:extent cx="1870710" cy="1414145"/>
            <wp:effectExtent l="0" t="0" r="0" b="0"/>
            <wp:wrapSquare wrapText="bothSides"/>
            <wp:docPr id="878136484" name="Immagine 1" descr="Immagine che contiene schermata, disegno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6484" name="Immagine 1" descr="Immagine che contiene schermata, disegno, cerchio, diagramma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C20" w:rsidRPr="00E722C4">
        <w:rPr>
          <w:rFonts w:eastAsiaTheme="minorEastAsia"/>
          <w:sz w:val="24"/>
        </w:rPr>
        <w:t xml:space="preserve">Applichiamo la legge di Ampère-Maxwell. Ora 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7E1C20" w:rsidRPr="00E722C4">
        <w:rPr>
          <w:rFonts w:eastAsiaTheme="minorEastAsia"/>
          <w:sz w:val="24"/>
        </w:rPr>
        <w:t xml:space="preserve"> è uguale al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TOT</m:t>
                </m:r>
              </m:sub>
            </m:sSub>
          </m:e>
        </m:acc>
      </m:oMath>
      <w:r w:rsidR="007E1C20" w:rsidRPr="00E722C4">
        <w:rPr>
          <w:rFonts w:eastAsiaTheme="minorEastAsia"/>
          <w:sz w:val="24"/>
        </w:rPr>
        <w:t xml:space="preserve"> attraverso qualsiasi superficie avente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Γ</m:t>
        </m:r>
      </m:oMath>
      <w:r w:rsidR="007E1C20" w:rsidRPr="00E722C4">
        <w:rPr>
          <w:rFonts w:eastAsiaTheme="minorEastAsia"/>
          <w:sz w:val="24"/>
        </w:rPr>
        <w:t xml:space="preserve"> come contorno. Infatti,</w:t>
      </w:r>
    </w:p>
    <w:p w14:paraId="33B349EE" w14:textId="44489528" w:rsidR="007E1C20" w:rsidRPr="00E722C4" w:rsidRDefault="00000000" w:rsidP="007E1C20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TOT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TOT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nary>
                    <m:naryPr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∂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</m:acc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∂t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e>
              </m:eqArr>
            </m:e>
          </m:d>
        </m:oMath>
      </m:oMathPara>
    </w:p>
    <w:p w14:paraId="0B45AFA2" w14:textId="64DC9293" w:rsidR="001E235C" w:rsidRPr="00E722C4" w:rsidRDefault="001E235C" w:rsidP="007E1C20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TOT</m:t>
                </m:r>
              </m:sub>
            </m:sSub>
          </m:e>
        </m:acc>
      </m:oMath>
      <w:r w:rsidRPr="00E722C4">
        <w:rPr>
          <w:rFonts w:eastAsiaTheme="minorEastAsia"/>
          <w:sz w:val="24"/>
        </w:rPr>
        <w:t xml:space="preserve"> è solenoidale e </w:t>
      </w:r>
      <m:oMath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E722C4">
        <w:rPr>
          <w:rFonts w:eastAsiaTheme="minorEastAsia"/>
          <w:sz w:val="24"/>
        </w:rPr>
        <w:t xml:space="preserve"> è superficie chiusa, i due flussi sono uguali in valore assoluto e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</m:t>
            </m:r>
          </m:sub>
        </m:sSub>
      </m:oMath>
      <w:r w:rsidRPr="00E722C4">
        <w:rPr>
          <w:rFonts w:eastAsiaTheme="minorEastAsia"/>
          <w:sz w:val="24"/>
        </w:rPr>
        <w:t>.</w:t>
      </w:r>
      <w:r w:rsidR="00942382" w:rsidRPr="00E722C4">
        <w:rPr>
          <w:noProof/>
          <w:sz w:val="24"/>
        </w:rPr>
        <w:t xml:space="preserve"> </w:t>
      </w:r>
    </w:p>
    <w:p w14:paraId="1D07F5EA" w14:textId="2400E67C" w:rsidR="00FF3441" w:rsidRDefault="00983ACB" w:rsidP="00FF3441">
      <w:pPr>
        <w:jc w:val="both"/>
        <w:rPr>
          <w:rFonts w:eastAsiaTheme="minorEastAsia"/>
          <w:b/>
          <w:bCs/>
          <w:sz w:val="28"/>
          <w:u w:val="single"/>
        </w:rPr>
      </w:pPr>
      <w:r w:rsidRPr="00983ACB">
        <w:rPr>
          <w:rFonts w:eastAsiaTheme="minorEastAsia"/>
          <w:b/>
          <w:bCs/>
          <w:sz w:val="28"/>
          <w:u w:val="single"/>
        </w:rPr>
        <w:t>Campi magnetici generati da campi elettrici variabili:</w:t>
      </w:r>
    </w:p>
    <w:p w14:paraId="002813CD" w14:textId="15D4F1FE" w:rsidR="00983ACB" w:rsidRPr="00E722C4" w:rsidRDefault="00272C38" w:rsidP="00FF3441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noProof/>
          <w:sz w:val="24"/>
        </w:rPr>
        <w:drawing>
          <wp:anchor distT="0" distB="0" distL="114300" distR="114300" simplePos="0" relativeHeight="251661312" behindDoc="0" locked="0" layoutInCell="1" allowOverlap="1" wp14:anchorId="06043736" wp14:editId="4D505437">
            <wp:simplePos x="0" y="0"/>
            <wp:positionH relativeFrom="column">
              <wp:posOffset>4835321</wp:posOffset>
            </wp:positionH>
            <wp:positionV relativeFrom="paragraph">
              <wp:posOffset>1518477</wp:posOffset>
            </wp:positionV>
            <wp:extent cx="1300480" cy="1759585"/>
            <wp:effectExtent l="0" t="0" r="0" b="0"/>
            <wp:wrapSquare wrapText="bothSides"/>
            <wp:docPr id="1646533305" name="Immagine 1" descr="Immagine che contiene cerchio, diagramma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1677" name="Immagine 1" descr="Immagine che contiene cerchio, diagramma, disegno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76" r="1284"/>
                    <a:stretch/>
                  </pic:blipFill>
                  <pic:spPr bwMode="auto">
                    <a:xfrm>
                      <a:off x="0" y="0"/>
                      <a:ext cx="1300480" cy="175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1E9">
        <w:rPr>
          <w:rFonts w:eastAsiaTheme="minorEastAsia"/>
          <w:noProof/>
          <w:sz w:val="28"/>
        </w:rPr>
        <w:drawing>
          <wp:anchor distT="0" distB="0" distL="114300" distR="114300" simplePos="0" relativeHeight="251660288" behindDoc="0" locked="0" layoutInCell="1" allowOverlap="1" wp14:anchorId="7FAE7B9A" wp14:editId="3BD4C386">
            <wp:simplePos x="0" y="0"/>
            <wp:positionH relativeFrom="column">
              <wp:posOffset>4818068</wp:posOffset>
            </wp:positionH>
            <wp:positionV relativeFrom="paragraph">
              <wp:posOffset>-258565</wp:posOffset>
            </wp:positionV>
            <wp:extent cx="1313815" cy="1776730"/>
            <wp:effectExtent l="0" t="0" r="635" b="0"/>
            <wp:wrapSquare wrapText="bothSides"/>
            <wp:docPr id="1042421677" name="Immagine 1" descr="Immagine che contiene cerchio, diagramma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21677" name="Immagine 1" descr="Immagine che contiene cerchio, diagramma, disegno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0" r="61982"/>
                    <a:stretch/>
                  </pic:blipFill>
                  <pic:spPr bwMode="auto">
                    <a:xfrm>
                      <a:off x="0" y="0"/>
                      <a:ext cx="1313815" cy="177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0E0" w:rsidRPr="00E722C4">
        <w:rPr>
          <w:rFonts w:eastAsiaTheme="minorEastAsia"/>
          <w:sz w:val="24"/>
        </w:rPr>
        <w:t>Se in una regione di spazio le correnti di conduzione sono assenti, ma ci sono campo elettrici variabili nel tempo, allora esiste un campo magnetico dato da</w:t>
      </w:r>
    </w:p>
    <w:p w14:paraId="6F123989" w14:textId="402ED6E9" w:rsidR="001A50E0" w:rsidRPr="00E722C4" w:rsidRDefault="00000000" w:rsidP="00FF3441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9FBB519" w14:textId="6B5E2597" w:rsidR="00B7062D" w:rsidRPr="00E722C4" w:rsidRDefault="00B7062D" w:rsidP="00FF3441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La legge di Ampère-Maxwell stabilisce una simmetria con </w:t>
      </w:r>
      <w:r w:rsidR="00C12CAA" w:rsidRPr="00E722C4">
        <w:rPr>
          <w:rFonts w:eastAsiaTheme="minorEastAsia"/>
          <w:sz w:val="24"/>
        </w:rPr>
        <w:t>quanto previsto dalla legge di Faraday secondo la quale esiste un campo elettrico dove è presente una variazione di campo magnetico</w:t>
      </w:r>
    </w:p>
    <w:p w14:paraId="07599DE5" w14:textId="6180EBCB" w:rsidR="00942382" w:rsidRPr="00E722C4" w:rsidRDefault="00000000" w:rsidP="00942382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2AE23C1" w14:textId="4D724E6D" w:rsidR="00FE5303" w:rsidRPr="00272C38" w:rsidRDefault="008E12A4" w:rsidP="00AB0666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La presenza del fattore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Pr="00E722C4">
        <w:rPr>
          <w:rFonts w:eastAsiaTheme="minorEastAsia"/>
          <w:sz w:val="24"/>
        </w:rPr>
        <w:t xml:space="preserve"> a denominatore</w:t>
      </w:r>
      <w:r w:rsidR="00AB0666" w:rsidRPr="00E722C4">
        <w:rPr>
          <w:rFonts w:eastAsiaTheme="minorEastAsia"/>
          <w:sz w:val="24"/>
        </w:rPr>
        <w:t xml:space="preserve"> delle espressioni per il campo magnetico e per la </w:t>
      </w:r>
      <m:oMath>
        <m:r>
          <w:rPr>
            <w:rFonts w:ascii="Cambria Math" w:eastAsiaTheme="minorEastAsia" w:hAnsi="Cambria Math"/>
            <w:sz w:val="24"/>
          </w:rPr>
          <m:t>fem</m:t>
        </m:r>
      </m:oMath>
      <w:r w:rsidR="00AB0666" w:rsidRPr="00E722C4">
        <w:rPr>
          <w:rFonts w:eastAsiaTheme="minorEastAsia"/>
          <w:sz w:val="24"/>
        </w:rPr>
        <w:t xml:space="preserve"> indotta fa sì che queste diventino apprezzabili ad alta frequenza.</w:t>
      </w:r>
    </w:p>
    <w:p w14:paraId="2C3BD39D" w14:textId="7753BE08" w:rsidR="00AB0666" w:rsidRPr="00FE5303" w:rsidRDefault="00D020B2" w:rsidP="00AB0666">
      <w:pPr>
        <w:jc w:val="both"/>
        <w:rPr>
          <w:rFonts w:eastAsiaTheme="minorEastAsia"/>
          <w:b/>
          <w:bCs/>
          <w:sz w:val="28"/>
          <w:u w:val="single"/>
        </w:rPr>
      </w:pPr>
      <w:r w:rsidRPr="00FE5303">
        <w:rPr>
          <w:rFonts w:eastAsiaTheme="minorEastAsia"/>
          <w:b/>
          <w:bCs/>
          <w:sz w:val="28"/>
          <w:u w:val="single"/>
        </w:rPr>
        <w:t>Legge di Ampère-Maxwell nei materiali:</w:t>
      </w:r>
    </w:p>
    <w:p w14:paraId="27610226" w14:textId="477434B0" w:rsidR="00D020B2" w:rsidRPr="00E722C4" w:rsidRDefault="00D020B2" w:rsidP="00AB0666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Nei materiali vale che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=ρ</m:t>
        </m:r>
      </m:oMath>
      <w:r w:rsidRPr="00E722C4">
        <w:rPr>
          <w:rFonts w:eastAsiaTheme="minorEastAsia"/>
          <w:sz w:val="24"/>
        </w:rPr>
        <w:t xml:space="preserve">, dove </w:t>
      </w:r>
      <m:oMath>
        <m:r>
          <w:rPr>
            <w:rFonts w:ascii="Cambria Math" w:eastAsiaTheme="minorEastAsia" w:hAnsi="Cambria Math"/>
            <w:sz w:val="24"/>
          </w:rPr>
          <m:t>ρ</m:t>
        </m:r>
      </m:oMath>
      <w:r w:rsidRPr="00E722C4">
        <w:rPr>
          <w:rFonts w:eastAsiaTheme="minorEastAsia"/>
          <w:sz w:val="24"/>
        </w:rPr>
        <w:t xml:space="preserve"> è la densità di cariche libere</w:t>
      </w:r>
      <w:r w:rsidR="00312747">
        <w:rPr>
          <w:rFonts w:eastAsiaTheme="minorEastAsia"/>
          <w:sz w:val="24"/>
        </w:rPr>
        <w:t>, da cui si ha</w:t>
      </w:r>
    </w:p>
    <w:p w14:paraId="5A9727BD" w14:textId="501610D0" w:rsidR="00F377C9" w:rsidRPr="00E722C4" w:rsidRDefault="00F377C9" w:rsidP="00AB0666">
      <w:pPr>
        <w:jc w:val="both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4"/>
            </w:rPr>
            <m:t>=ρ⇒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6682A57" w14:textId="1EEB3B28" w:rsidR="00F377C9" w:rsidRPr="00E722C4" w:rsidRDefault="00F377C9" w:rsidP="00AB0666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 xml:space="preserve">Combinando </w:t>
      </w:r>
      <w:r w:rsidR="00312747">
        <w:rPr>
          <w:rFonts w:eastAsiaTheme="minorEastAsia"/>
          <w:sz w:val="24"/>
        </w:rPr>
        <w:t>questa</w:t>
      </w:r>
      <w:r w:rsidRPr="00E722C4">
        <w:rPr>
          <w:rFonts w:eastAsiaTheme="minorEastAsia"/>
          <w:sz w:val="24"/>
        </w:rPr>
        <w:t xml:space="preserve"> relazione con l’equazione di </w:t>
      </w:r>
      <w:r w:rsidR="00312747">
        <w:rPr>
          <w:rFonts w:eastAsiaTheme="minorEastAsia"/>
          <w:sz w:val="24"/>
        </w:rPr>
        <w:t>conservazione della carica</w:t>
      </w:r>
      <w:r w:rsidRPr="00E722C4">
        <w:rPr>
          <w:rFonts w:eastAsiaTheme="minorEastAsia"/>
          <w:sz w:val="24"/>
        </w:rPr>
        <w:t xml:space="preserve"> si ottiene</w:t>
      </w:r>
      <w:r w:rsidR="00312747">
        <w:rPr>
          <w:rFonts w:eastAsiaTheme="minorEastAsia"/>
          <w:sz w:val="24"/>
        </w:rPr>
        <w:t xml:space="preserve"> che</w:t>
      </w:r>
    </w:p>
    <w:p w14:paraId="38EC3BC4" w14:textId="41493563" w:rsidR="00F377C9" w:rsidRPr="00E722C4" w:rsidRDefault="00A01D3A" w:rsidP="00AB0666">
      <w:pPr>
        <w:jc w:val="both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=0⇒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∂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∂t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4"/>
            </w:rPr>
            <m:t>=0⇒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0A11FDE8" w14:textId="77777777" w:rsidR="00D8194A" w:rsidRDefault="00943E1F" w:rsidP="00C772E1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t>Nel vuoto questa definizione coincide con quella precedente</w:t>
      </w:r>
      <w:r w:rsidR="00D8194A">
        <w:rPr>
          <w:rFonts w:eastAsiaTheme="minorEastAsia"/>
          <w:sz w:val="24"/>
        </w:rPr>
        <w:t xml:space="preserve"> in quanto</w:t>
      </w:r>
    </w:p>
    <w:p w14:paraId="06D2DC2C" w14:textId="0F2BCA5C" w:rsidR="00C772E1" w:rsidRPr="00D8194A" w:rsidRDefault="00000000" w:rsidP="00C772E1">
      <w:pPr>
        <w:jc w:val="both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73A3ECB" w14:textId="77777777" w:rsidR="00D8194A" w:rsidRDefault="00D8194A" w:rsidP="00D8194A">
      <w:pPr>
        <w:jc w:val="both"/>
        <w:rPr>
          <w:rFonts w:eastAsiaTheme="minorEastAsia"/>
          <w:sz w:val="24"/>
        </w:rPr>
      </w:pPr>
    </w:p>
    <w:p w14:paraId="28DBFA76" w14:textId="53949F44" w:rsidR="00D8194A" w:rsidRPr="00E722C4" w:rsidRDefault="00D8194A" w:rsidP="00D8194A">
      <w:pPr>
        <w:jc w:val="both"/>
        <w:rPr>
          <w:rFonts w:eastAsiaTheme="minorEastAsia"/>
          <w:sz w:val="24"/>
        </w:rPr>
      </w:pPr>
      <w:r w:rsidRPr="00E722C4">
        <w:rPr>
          <w:rFonts w:eastAsiaTheme="minorEastAsia"/>
          <w:sz w:val="24"/>
        </w:rPr>
        <w:lastRenderedPageBreak/>
        <w:t xml:space="preserve">Anche nei materiali si può sostituire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TOT</m:t>
                </m:r>
              </m:sub>
            </m:sSub>
          </m:e>
        </m:acc>
      </m:oMath>
      <w:r w:rsidRPr="00E722C4">
        <w:rPr>
          <w:rFonts w:eastAsiaTheme="minorEastAsia"/>
          <w:sz w:val="24"/>
        </w:rPr>
        <w:t xml:space="preserve"> a</w:t>
      </w:r>
      <w:r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</m:acc>
      </m:oMath>
      <w:r>
        <w:rPr>
          <w:rFonts w:eastAsiaTheme="minorEastAsia"/>
          <w:sz w:val="24"/>
        </w:rPr>
        <w:t xml:space="preserve"> nell’espressione della</w:t>
      </w:r>
      <w:r w:rsidRPr="00E722C4">
        <w:rPr>
          <w:rFonts w:eastAsiaTheme="minorEastAsia"/>
          <w:sz w:val="24"/>
        </w:rPr>
        <w:t xml:space="preserve"> legge di Ampère</w:t>
      </w:r>
      <w:r w:rsidR="005C2653">
        <w:rPr>
          <w:rFonts w:eastAsiaTheme="minorEastAsia"/>
          <w:sz w:val="24"/>
        </w:rPr>
        <w:t xml:space="preserve"> ottenendo</w:t>
      </w:r>
    </w:p>
    <w:p w14:paraId="1A24402F" w14:textId="2108B8DB" w:rsidR="00D8194A" w:rsidRPr="00E722C4" w:rsidRDefault="00000000" w:rsidP="00D8194A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TOT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D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BBF1134" w14:textId="721367C3" w:rsidR="00D8194A" w:rsidRPr="00E722C4" w:rsidRDefault="005C2653" w:rsidP="00D8194A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che in </w:t>
      </w:r>
      <w:r w:rsidR="00D8194A" w:rsidRPr="00E722C4">
        <w:rPr>
          <w:rFonts w:eastAsiaTheme="minorEastAsia"/>
          <w:sz w:val="24"/>
        </w:rPr>
        <w:t xml:space="preserve">forma integrale </w:t>
      </w:r>
      <w:r>
        <w:rPr>
          <w:rFonts w:eastAsiaTheme="minorEastAsia"/>
          <w:sz w:val="24"/>
        </w:rPr>
        <w:t>è</w:t>
      </w:r>
    </w:p>
    <w:p w14:paraId="6C03F8B1" w14:textId="62E2EC23" w:rsidR="00D8194A" w:rsidRPr="00E722C4" w:rsidRDefault="00000000" w:rsidP="00D8194A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7FEE676" w14:textId="77777777" w:rsidR="00D8194A" w:rsidRPr="00D8194A" w:rsidRDefault="00D8194A" w:rsidP="00C772E1">
      <w:pPr>
        <w:jc w:val="both"/>
        <w:rPr>
          <w:rFonts w:eastAsiaTheme="minorEastAsia"/>
          <w:sz w:val="24"/>
        </w:rPr>
      </w:pPr>
    </w:p>
    <w:p w14:paraId="667A5F04" w14:textId="04ECADC4" w:rsidR="00C772E1" w:rsidRPr="00720E6F" w:rsidRDefault="00C772E1" w:rsidP="00C772E1">
      <w:pPr>
        <w:jc w:val="both"/>
        <w:rPr>
          <w:rFonts w:eastAsiaTheme="minorEastAsia"/>
          <w:sz w:val="28"/>
          <w:u w:val="single"/>
        </w:rPr>
      </w:pPr>
      <w:r w:rsidRPr="00720E6F">
        <w:rPr>
          <w:rFonts w:eastAsiaTheme="minorEastAsia"/>
          <w:sz w:val="28"/>
          <w:u w:val="single"/>
        </w:rPr>
        <w:t>Dimostrazione:</w:t>
      </w:r>
    </w:p>
    <w:p w14:paraId="7F9BFA09" w14:textId="09ADB6AE" w:rsidR="00C772E1" w:rsidRPr="00E722C4" w:rsidRDefault="005C2653" w:rsidP="00C772E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Si vuole verificare </w:t>
      </w:r>
      <w:r w:rsidRPr="005C2653">
        <w:rPr>
          <w:rFonts w:eastAsiaTheme="minorEastAsia"/>
          <w:sz w:val="24"/>
        </w:rPr>
        <w:t>che la legge di Ampère-Maxwell nei materiali, se applicata al vuoto, coincide con la formulazione ricavata nel vuoto</w:t>
      </w:r>
      <w:r>
        <w:rPr>
          <w:rFonts w:eastAsiaTheme="minorEastAsia"/>
          <w:sz w:val="24"/>
        </w:rPr>
        <w:t xml:space="preserve">. Nel </w:t>
      </w:r>
      <w:r w:rsidR="00C772E1" w:rsidRPr="00E722C4">
        <w:rPr>
          <w:rFonts w:eastAsiaTheme="minorEastAsia"/>
          <w:sz w:val="24"/>
        </w:rPr>
        <w:t>vuoto</w:t>
      </w:r>
      <w:r>
        <w:rPr>
          <w:rFonts w:eastAsiaTheme="minorEastAsia"/>
          <w:sz w:val="24"/>
        </w:rPr>
        <w:t xml:space="preserve"> si ha che</w:t>
      </w:r>
      <w:r w:rsidR="00C772E1" w:rsidRPr="00E722C4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C772E1" w:rsidRPr="00E722C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="00C772E1" w:rsidRPr="00E722C4">
        <w:rPr>
          <w:rFonts w:eastAsiaTheme="minorEastAsia"/>
          <w:sz w:val="24"/>
        </w:rPr>
        <w:t>. S</w:t>
      </w:r>
      <w:r>
        <w:rPr>
          <w:rFonts w:eastAsiaTheme="minorEastAsia"/>
          <w:sz w:val="24"/>
        </w:rPr>
        <w:t xml:space="preserve">ostituendo </w:t>
      </w:r>
      <w:r w:rsidR="00C772E1" w:rsidRPr="00E722C4">
        <w:rPr>
          <w:rFonts w:eastAsiaTheme="minorEastAsia"/>
          <w:sz w:val="24"/>
        </w:rPr>
        <w:t xml:space="preserve">queste </w:t>
      </w:r>
      <w:r>
        <w:rPr>
          <w:rFonts w:eastAsiaTheme="minorEastAsia"/>
          <w:sz w:val="24"/>
        </w:rPr>
        <w:t>relazioni</w:t>
      </w:r>
      <w:r w:rsidR="00C772E1" w:rsidRPr="00E722C4">
        <w:rPr>
          <w:rFonts w:eastAsiaTheme="minorEastAsia"/>
          <w:sz w:val="24"/>
        </w:rPr>
        <w:t xml:space="preserve"> nella legge di Ampère-Maxwell per i materiali di ottiene</w:t>
      </w:r>
    </w:p>
    <w:p w14:paraId="1DD42674" w14:textId="7C8EDE10" w:rsidR="00C772E1" w:rsidRPr="00E722C4" w:rsidRDefault="00000000" w:rsidP="00C772E1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⇒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ED3FB4B" w14:textId="19D78826" w:rsidR="00C772E1" w:rsidRPr="00E722C4" w:rsidRDefault="005C2653" w:rsidP="00C772E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che in forma locale è</w:t>
      </w:r>
    </w:p>
    <w:p w14:paraId="555C4D34" w14:textId="0FE9F7DD" w:rsidR="00C772E1" w:rsidRPr="00E722C4" w:rsidRDefault="00C772E1" w:rsidP="00C772E1">
      <w:pPr>
        <w:jc w:val="both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</m:t>
          </m:r>
          <m:r>
            <w:rPr>
              <w:rFonts w:ascii="Cambria Math" w:eastAsiaTheme="minorEastAsia" w:hAnsi="Cambria Math"/>
              <w:sz w:val="24"/>
            </w:rPr>
            <m:t>×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E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∂t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10A9F87" w14:textId="629EDFBC" w:rsidR="00C772E1" w:rsidRPr="00E722C4" w:rsidRDefault="005C2653" w:rsidP="00C772E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Come previsto, l</w:t>
      </w:r>
      <w:r w:rsidR="00C772E1" w:rsidRPr="00E722C4">
        <w:rPr>
          <w:rFonts w:eastAsiaTheme="minorEastAsia"/>
          <w:sz w:val="24"/>
        </w:rPr>
        <w:t>a legge di Ampère-Maxwell nei materiali ha come caso particolare l’espressione della legge nel vuoto.</w:t>
      </w:r>
    </w:p>
    <w:p w14:paraId="57627A4D" w14:textId="23098B6A" w:rsidR="00C772E1" w:rsidRPr="00E722C4" w:rsidRDefault="00F177BE" w:rsidP="00AB0666">
      <w:pPr>
        <w:jc w:val="both"/>
        <w:rPr>
          <w:rFonts w:eastAsiaTheme="minorEastAsia"/>
          <w:sz w:val="24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4"/>
            </w:rPr>
            <m:t>∎</m:t>
          </m:r>
        </m:oMath>
      </m:oMathPara>
    </w:p>
    <w:p w14:paraId="5BE2448E" w14:textId="23B68161" w:rsidR="00F4684F" w:rsidRDefault="00F4684F" w:rsidP="00AB0666">
      <w:pPr>
        <w:jc w:val="both"/>
        <w:rPr>
          <w:rFonts w:eastAsiaTheme="minorEastAsia"/>
          <w:b/>
          <w:bCs/>
          <w:sz w:val="28"/>
          <w:u w:val="single"/>
        </w:rPr>
      </w:pPr>
      <w:r w:rsidRPr="003061E2">
        <w:rPr>
          <w:rFonts w:eastAsiaTheme="minorEastAsia"/>
          <w:b/>
          <w:bCs/>
          <w:sz w:val="28"/>
          <w:u w:val="single"/>
        </w:rPr>
        <w:t>Equazioni di Maxwell:</w:t>
      </w:r>
    </w:p>
    <w:p w14:paraId="1F4CAF81" w14:textId="39367647" w:rsidR="002155D5" w:rsidRPr="002155D5" w:rsidRDefault="002155D5" w:rsidP="00B90907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nel vuoto: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 xml:space="preserve">,  nei materiali: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=ρ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∂t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A4A2575" w14:textId="31A7CB5D" w:rsidR="002155D5" w:rsidRPr="002155D5" w:rsidRDefault="002155D5" w:rsidP="00B90907">
      <w:pPr>
        <w:jc w:val="both"/>
        <w:rPr>
          <w:rFonts w:eastAsiaTheme="minorEastAsia"/>
          <w:sz w:val="28"/>
          <w:u w:val="single"/>
        </w:rPr>
      </w:pPr>
      <w:r w:rsidRPr="002155D5">
        <w:rPr>
          <w:rFonts w:eastAsiaTheme="minorEastAsia"/>
          <w:sz w:val="28"/>
          <w:u w:val="single"/>
        </w:rPr>
        <w:t>Osservazione:</w:t>
      </w:r>
    </w:p>
    <w:p w14:paraId="44449AA4" w14:textId="068FB98D" w:rsidR="002155D5" w:rsidRPr="002155D5" w:rsidRDefault="002155D5" w:rsidP="00B9090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Nel vuoto valgono le seguenti relazioni tra il campo magnetico e magnetizzante e tra campo elettrico e di induzione elettrica</w:t>
      </w:r>
    </w:p>
    <w:p w14:paraId="2D4532F0" w14:textId="6F39B073" w:rsidR="000D3BBC" w:rsidRPr="00E722C4" w:rsidRDefault="00000000" w:rsidP="00B90907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den>
                  </m:f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=ε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sectPr w:rsidR="000D3BBC" w:rsidRPr="00E722C4" w:rsidSect="00A437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134" w:bottom="1134" w:left="1134" w:header="708" w:footer="708" w:gutter="0"/>
      <w:pgNumType w:start="12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9C512" w14:textId="77777777" w:rsidR="000F1056" w:rsidRDefault="000F1056" w:rsidP="00B90907">
      <w:pPr>
        <w:spacing w:after="0" w:line="240" w:lineRule="auto"/>
      </w:pPr>
      <w:r>
        <w:separator/>
      </w:r>
    </w:p>
  </w:endnote>
  <w:endnote w:type="continuationSeparator" w:id="0">
    <w:p w14:paraId="6C6F060D" w14:textId="77777777" w:rsidR="000F1056" w:rsidRDefault="000F1056" w:rsidP="00B90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DA6A" w14:textId="77777777" w:rsidR="00A437CB" w:rsidRDefault="00A437C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5890729"/>
      <w:docPartObj>
        <w:docPartGallery w:val="Page Numbers (Bottom of Page)"/>
        <w:docPartUnique/>
      </w:docPartObj>
    </w:sdtPr>
    <w:sdtContent>
      <w:p w14:paraId="6BBA07D4" w14:textId="385798C4" w:rsidR="00B90907" w:rsidRDefault="00B9090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13C3A1" w14:textId="77777777" w:rsidR="00B90907" w:rsidRDefault="00B9090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D484" w14:textId="77777777" w:rsidR="00A437CB" w:rsidRDefault="00A437C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35C2" w14:textId="77777777" w:rsidR="000F1056" w:rsidRDefault="000F1056" w:rsidP="00B90907">
      <w:pPr>
        <w:spacing w:after="0" w:line="240" w:lineRule="auto"/>
      </w:pPr>
      <w:r>
        <w:separator/>
      </w:r>
    </w:p>
  </w:footnote>
  <w:footnote w:type="continuationSeparator" w:id="0">
    <w:p w14:paraId="5F666C4A" w14:textId="77777777" w:rsidR="000F1056" w:rsidRDefault="000F1056" w:rsidP="00B90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0A47" w14:textId="77777777" w:rsidR="00A437CB" w:rsidRDefault="00A437C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26B4" w14:textId="77777777" w:rsidR="00A437CB" w:rsidRDefault="00A437C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29CA" w14:textId="77777777" w:rsidR="00A437CB" w:rsidRDefault="00A437C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2C3"/>
    <w:multiLevelType w:val="hybridMultilevel"/>
    <w:tmpl w:val="749285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A7B34"/>
    <w:multiLevelType w:val="hybridMultilevel"/>
    <w:tmpl w:val="70E688F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A1AD6"/>
    <w:multiLevelType w:val="hybridMultilevel"/>
    <w:tmpl w:val="C414AB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828BF"/>
    <w:multiLevelType w:val="hybridMultilevel"/>
    <w:tmpl w:val="D318C3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8155C"/>
    <w:multiLevelType w:val="hybridMultilevel"/>
    <w:tmpl w:val="74928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0E1A47"/>
    <w:multiLevelType w:val="hybridMultilevel"/>
    <w:tmpl w:val="1B62FE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53131">
    <w:abstractNumId w:val="0"/>
  </w:num>
  <w:num w:numId="2" w16cid:durableId="588730619">
    <w:abstractNumId w:val="3"/>
  </w:num>
  <w:num w:numId="3" w16cid:durableId="761729709">
    <w:abstractNumId w:val="1"/>
  </w:num>
  <w:num w:numId="4" w16cid:durableId="734551112">
    <w:abstractNumId w:val="4"/>
  </w:num>
  <w:num w:numId="5" w16cid:durableId="1826388538">
    <w:abstractNumId w:val="2"/>
  </w:num>
  <w:num w:numId="6" w16cid:durableId="94642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41"/>
    <w:rsid w:val="00012B32"/>
    <w:rsid w:val="00013876"/>
    <w:rsid w:val="000233B3"/>
    <w:rsid w:val="000719A8"/>
    <w:rsid w:val="000828AC"/>
    <w:rsid w:val="000B2147"/>
    <w:rsid w:val="000D3BBC"/>
    <w:rsid w:val="000E6496"/>
    <w:rsid w:val="000F1056"/>
    <w:rsid w:val="00133B51"/>
    <w:rsid w:val="001402C5"/>
    <w:rsid w:val="0015074F"/>
    <w:rsid w:val="00184281"/>
    <w:rsid w:val="001848BB"/>
    <w:rsid w:val="001A50E0"/>
    <w:rsid w:val="001B3384"/>
    <w:rsid w:val="001D3C51"/>
    <w:rsid w:val="001E235C"/>
    <w:rsid w:val="001E2F94"/>
    <w:rsid w:val="001E2FAA"/>
    <w:rsid w:val="00202213"/>
    <w:rsid w:val="002155D5"/>
    <w:rsid w:val="002267FF"/>
    <w:rsid w:val="00251217"/>
    <w:rsid w:val="00270F29"/>
    <w:rsid w:val="00272C38"/>
    <w:rsid w:val="00286F66"/>
    <w:rsid w:val="002A6FFE"/>
    <w:rsid w:val="002B1588"/>
    <w:rsid w:val="002B5154"/>
    <w:rsid w:val="002C0D85"/>
    <w:rsid w:val="003061E2"/>
    <w:rsid w:val="00312747"/>
    <w:rsid w:val="0033753C"/>
    <w:rsid w:val="0035309A"/>
    <w:rsid w:val="003603A3"/>
    <w:rsid w:val="00367DFA"/>
    <w:rsid w:val="0037274E"/>
    <w:rsid w:val="00375762"/>
    <w:rsid w:val="00385874"/>
    <w:rsid w:val="00390EB3"/>
    <w:rsid w:val="003932B1"/>
    <w:rsid w:val="003B0072"/>
    <w:rsid w:val="003C2770"/>
    <w:rsid w:val="003D1EAF"/>
    <w:rsid w:val="00416DF7"/>
    <w:rsid w:val="004335B0"/>
    <w:rsid w:val="00483834"/>
    <w:rsid w:val="004A2F83"/>
    <w:rsid w:val="004A54FC"/>
    <w:rsid w:val="004B3276"/>
    <w:rsid w:val="004D164F"/>
    <w:rsid w:val="004E32A4"/>
    <w:rsid w:val="005139C5"/>
    <w:rsid w:val="0053200A"/>
    <w:rsid w:val="00533E22"/>
    <w:rsid w:val="00553E8E"/>
    <w:rsid w:val="0056713F"/>
    <w:rsid w:val="005C2653"/>
    <w:rsid w:val="005D5220"/>
    <w:rsid w:val="005E518B"/>
    <w:rsid w:val="005F6DCF"/>
    <w:rsid w:val="00613267"/>
    <w:rsid w:val="006326DD"/>
    <w:rsid w:val="006A119A"/>
    <w:rsid w:val="006A4EBB"/>
    <w:rsid w:val="006C2FA4"/>
    <w:rsid w:val="007018AE"/>
    <w:rsid w:val="00703886"/>
    <w:rsid w:val="007067A4"/>
    <w:rsid w:val="00710FC0"/>
    <w:rsid w:val="00720E6F"/>
    <w:rsid w:val="007257CC"/>
    <w:rsid w:val="0074185C"/>
    <w:rsid w:val="007501E9"/>
    <w:rsid w:val="00781E57"/>
    <w:rsid w:val="007B152C"/>
    <w:rsid w:val="007E1C20"/>
    <w:rsid w:val="00807E6D"/>
    <w:rsid w:val="00815F9E"/>
    <w:rsid w:val="00817C67"/>
    <w:rsid w:val="008360D6"/>
    <w:rsid w:val="0085218B"/>
    <w:rsid w:val="00864F8E"/>
    <w:rsid w:val="00884DE9"/>
    <w:rsid w:val="008A2B0F"/>
    <w:rsid w:val="008D4886"/>
    <w:rsid w:val="008E12A4"/>
    <w:rsid w:val="008E4327"/>
    <w:rsid w:val="00907B75"/>
    <w:rsid w:val="00917A4D"/>
    <w:rsid w:val="00922E11"/>
    <w:rsid w:val="00942382"/>
    <w:rsid w:val="00943E1F"/>
    <w:rsid w:val="00970D91"/>
    <w:rsid w:val="00983ACB"/>
    <w:rsid w:val="009925CD"/>
    <w:rsid w:val="00993B8F"/>
    <w:rsid w:val="009A6E83"/>
    <w:rsid w:val="009D1481"/>
    <w:rsid w:val="00A01D3A"/>
    <w:rsid w:val="00A14874"/>
    <w:rsid w:val="00A437CB"/>
    <w:rsid w:val="00A46C72"/>
    <w:rsid w:val="00A84D46"/>
    <w:rsid w:val="00A92128"/>
    <w:rsid w:val="00AB0666"/>
    <w:rsid w:val="00AF17D9"/>
    <w:rsid w:val="00B07C9F"/>
    <w:rsid w:val="00B366B2"/>
    <w:rsid w:val="00B67C6E"/>
    <w:rsid w:val="00B7062D"/>
    <w:rsid w:val="00B72489"/>
    <w:rsid w:val="00B74C76"/>
    <w:rsid w:val="00B90907"/>
    <w:rsid w:val="00BA5498"/>
    <w:rsid w:val="00BF148E"/>
    <w:rsid w:val="00BF154C"/>
    <w:rsid w:val="00BF5B11"/>
    <w:rsid w:val="00C12CAA"/>
    <w:rsid w:val="00C2551E"/>
    <w:rsid w:val="00C57BBB"/>
    <w:rsid w:val="00C60260"/>
    <w:rsid w:val="00C772E1"/>
    <w:rsid w:val="00CC545D"/>
    <w:rsid w:val="00CF4B60"/>
    <w:rsid w:val="00D020B2"/>
    <w:rsid w:val="00D10137"/>
    <w:rsid w:val="00D22CB5"/>
    <w:rsid w:val="00D37F54"/>
    <w:rsid w:val="00D55B13"/>
    <w:rsid w:val="00D670BC"/>
    <w:rsid w:val="00D8194A"/>
    <w:rsid w:val="00D83B8A"/>
    <w:rsid w:val="00DA26F5"/>
    <w:rsid w:val="00DB1002"/>
    <w:rsid w:val="00E31BFD"/>
    <w:rsid w:val="00E42094"/>
    <w:rsid w:val="00E61E7D"/>
    <w:rsid w:val="00E722C4"/>
    <w:rsid w:val="00E82449"/>
    <w:rsid w:val="00E834EE"/>
    <w:rsid w:val="00F07894"/>
    <w:rsid w:val="00F1027C"/>
    <w:rsid w:val="00F177BE"/>
    <w:rsid w:val="00F377C9"/>
    <w:rsid w:val="00F4684F"/>
    <w:rsid w:val="00F70058"/>
    <w:rsid w:val="00F85A74"/>
    <w:rsid w:val="00F931C0"/>
    <w:rsid w:val="00F94C0F"/>
    <w:rsid w:val="00FA3317"/>
    <w:rsid w:val="00FD060D"/>
    <w:rsid w:val="00FD27AD"/>
    <w:rsid w:val="00FD604E"/>
    <w:rsid w:val="00FE35BC"/>
    <w:rsid w:val="00FE5303"/>
    <w:rsid w:val="00FF3441"/>
    <w:rsid w:val="00FF3EFF"/>
    <w:rsid w:val="00FF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FD6F3"/>
  <w15:chartTrackingRefBased/>
  <w15:docId w15:val="{E4696F5E-16D1-4A75-A6E0-E9B39BE2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148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FF3441"/>
    <w:rPr>
      <w:color w:val="666666"/>
    </w:rPr>
  </w:style>
  <w:style w:type="paragraph" w:styleId="Paragrafoelenco">
    <w:name w:val="List Paragraph"/>
    <w:basedOn w:val="Normale"/>
    <w:uiPriority w:val="34"/>
    <w:qFormat/>
    <w:rsid w:val="003061E2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909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90907"/>
  </w:style>
  <w:style w:type="paragraph" w:styleId="Pidipagina">
    <w:name w:val="footer"/>
    <w:basedOn w:val="Normale"/>
    <w:link w:val="PidipaginaCarattere"/>
    <w:uiPriority w:val="99"/>
    <w:unhideWhenUsed/>
    <w:rsid w:val="00B909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90907"/>
  </w:style>
  <w:style w:type="table" w:styleId="Grigliatabella">
    <w:name w:val="Table Grid"/>
    <w:basedOn w:val="Tabellanormale"/>
    <w:uiPriority w:val="39"/>
    <w:rsid w:val="00B90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141</cp:revision>
  <dcterms:created xsi:type="dcterms:W3CDTF">2024-01-11T08:08:00Z</dcterms:created>
  <dcterms:modified xsi:type="dcterms:W3CDTF">2025-02-25T21:30:00Z</dcterms:modified>
</cp:coreProperties>
</file>