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87445" w14:textId="4B064829" w:rsidR="00E22E79" w:rsidRDefault="008C19D8" w:rsidP="00AC21A0">
      <w:pPr>
        <w:jc w:val="center"/>
        <w:rPr>
          <w:rFonts w:eastAsiaTheme="minorEastAsia"/>
          <w:b/>
          <w:bCs/>
          <w:sz w:val="32"/>
          <w:u w:val="single"/>
        </w:rPr>
      </w:pPr>
      <w:r>
        <w:rPr>
          <w:rFonts w:eastAsiaTheme="minorEastAsia"/>
          <w:b/>
          <w:bCs/>
          <w:sz w:val="32"/>
          <w:u w:val="single"/>
        </w:rPr>
        <w:t>5</w:t>
      </w:r>
      <w:r w:rsidR="00070D2D">
        <w:rPr>
          <w:rFonts w:eastAsiaTheme="minorEastAsia"/>
          <w:b/>
          <w:bCs/>
          <w:sz w:val="32"/>
          <w:u w:val="single"/>
        </w:rPr>
        <w:t xml:space="preserve"> </w:t>
      </w:r>
      <w:r w:rsidR="00AC21A0" w:rsidRPr="00AC21A0">
        <w:rPr>
          <w:rFonts w:eastAsiaTheme="minorEastAsia"/>
          <w:b/>
          <w:bCs/>
          <w:sz w:val="32"/>
          <w:u w:val="single"/>
        </w:rPr>
        <w:t>Spaziotempo</w:t>
      </w:r>
    </w:p>
    <w:p w14:paraId="2EC70748" w14:textId="5A941737" w:rsidR="00885CE6" w:rsidRDefault="00467D5E" w:rsidP="00885CE6">
      <w:pPr>
        <w:rPr>
          <w:rFonts w:eastAsiaTheme="minorEastAsia"/>
        </w:rPr>
      </w:pPr>
      <w:r>
        <w:rPr>
          <w:rFonts w:eastAsiaTheme="minorEastAsia"/>
        </w:rPr>
        <w:t>“Lo spazio in sé e il tempo in sé sono destinati a svan</w:t>
      </w:r>
      <w:r w:rsidR="00885CE6">
        <w:rPr>
          <w:rFonts w:eastAsiaTheme="minorEastAsia"/>
        </w:rPr>
        <w:t>i</w:t>
      </w:r>
      <w:r>
        <w:rPr>
          <w:rFonts w:eastAsiaTheme="minorEastAsia"/>
        </w:rPr>
        <w:t>re come pure ombre, poiché solo un genere di unione tra i due conserverà una realtà indipendente”.</w:t>
      </w:r>
    </w:p>
    <w:p w14:paraId="308C07EF" w14:textId="3313E641" w:rsidR="00885CE6" w:rsidRPr="00885CE6" w:rsidRDefault="00885CE6" w:rsidP="00885CE6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-Hermann Minkowski</m:t>
          </m:r>
        </m:oMath>
      </m:oMathPara>
    </w:p>
    <w:p w14:paraId="1EED897F" w14:textId="6CAD1620" w:rsidR="00885CE6" w:rsidRPr="00DB2DD7" w:rsidRDefault="00DB2DD7" w:rsidP="00885CE6">
      <w:pPr>
        <w:rPr>
          <w:rFonts w:eastAsiaTheme="minorEastAsia"/>
          <w:b/>
          <w:bCs/>
          <w:sz w:val="28"/>
          <w:u w:val="single"/>
        </w:rPr>
      </w:pPr>
      <w:r w:rsidRPr="00DB2DD7">
        <w:rPr>
          <w:rFonts w:eastAsiaTheme="minorEastAsia"/>
          <w:b/>
          <w:bCs/>
          <w:sz w:val="28"/>
          <w:u w:val="single"/>
        </w:rPr>
        <w:t>Rotazioni dello spazio euclideo tridimensionale:</w:t>
      </w:r>
    </w:p>
    <w:p w14:paraId="7D7F59BE" w14:textId="179881A7" w:rsidR="00E75940" w:rsidRDefault="00E75940" w:rsidP="00885CE6">
      <w:pPr>
        <w:rPr>
          <w:rFonts w:eastAsiaTheme="minorEastAsia"/>
        </w:rPr>
      </w:pPr>
      <w:r>
        <w:rPr>
          <w:rFonts w:eastAsiaTheme="minorEastAsia"/>
        </w:rPr>
        <w:t xml:space="preserve">In meccanica classica i fenomeni fisici avvengono nello spazio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e sono parametrizzati da un tempo assoluto. Ogni punto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corrisponde ad una terna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≡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</m:t>
            </m:r>
          </m:e>
        </m:d>
      </m:oMath>
      <w:r>
        <w:rPr>
          <w:rFonts w:eastAsiaTheme="minorEastAsia"/>
        </w:rPr>
        <w:t xml:space="preserve">. Sia </w:t>
      </w:r>
      <m:oMath>
        <m:r>
          <w:rPr>
            <w:rFonts w:ascii="Cambria Math" w:eastAsiaTheme="minorEastAsia" w:hAnsi="Cambria Math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</w:rPr>
        <w:t xml:space="preserve"> il vettore che unisce due punti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infinitesimamente vicini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+d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 w:rsidR="000C12A9">
        <w:rPr>
          <w:rFonts w:eastAsiaTheme="minorEastAsia"/>
        </w:rPr>
        <w:t xml:space="preserve">. </w:t>
      </w:r>
      <w:r>
        <w:rPr>
          <w:rFonts w:eastAsiaTheme="minorEastAsia"/>
        </w:rPr>
        <w:t xml:space="preserve">La distanza tra questi due punti è </w:t>
      </w:r>
    </w:p>
    <w:p w14:paraId="2D8887A3" w14:textId="720D978F" w:rsidR="00E75940" w:rsidRPr="001940D7" w:rsidRDefault="00000000" w:rsidP="00885CE6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rad>
        </m:oMath>
      </m:oMathPara>
    </w:p>
    <w:p w14:paraId="646BF81D" w14:textId="50E8C2C7" w:rsidR="001940D7" w:rsidRDefault="001940D7" w:rsidP="00885CE6">
      <w:pPr>
        <w:rPr>
          <w:rFonts w:eastAsiaTheme="minorEastAsia"/>
        </w:rPr>
      </w:pPr>
      <w:r>
        <w:rPr>
          <w:rFonts w:eastAsiaTheme="minorEastAsia"/>
        </w:rPr>
        <w:t xml:space="preserve">Introducendo la delta di Kronecker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la relazione precedente si riduce a </w:t>
      </w:r>
    </w:p>
    <w:p w14:paraId="6A9EDD53" w14:textId="3FE4B37D" w:rsidR="001940D7" w:rsidRPr="001940D7" w:rsidRDefault="00000000" w:rsidP="00885CE6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nary>
        </m:oMath>
      </m:oMathPara>
    </w:p>
    <w:p w14:paraId="008A1248" w14:textId="40928F73" w:rsidR="001940D7" w:rsidRDefault="001940D7" w:rsidP="0010340C">
      <w:pPr>
        <w:rPr>
          <w:rFonts w:eastAsiaTheme="minorEastAsia"/>
        </w:rPr>
      </w:pPr>
      <w:r>
        <w:rPr>
          <w:rFonts w:eastAsiaTheme="minorEastAsia"/>
        </w:rPr>
        <w:t xml:space="preserve">Dalla quale si deduce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è uno spazio di Riemann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come tensore metrico.</w:t>
      </w:r>
      <w:r w:rsidR="00DB368F">
        <w:rPr>
          <w:rFonts w:eastAsiaTheme="minorEastAsia"/>
        </w:rPr>
        <w:t xml:space="preserve"> Si consideri ora una trasformazione lineare delle coordinate</w:t>
      </w:r>
    </w:p>
    <w:p w14:paraId="5ECC3BE0" w14:textId="4FDDC9FC" w:rsidR="00E75940" w:rsidRPr="00DB368F" w:rsidRDefault="00000000" w:rsidP="00885CE6">
      <w:pPr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</m:oMath>
      </m:oMathPara>
    </w:p>
    <w:p w14:paraId="2262F494" w14:textId="507671A4" w:rsidR="00DB368F" w:rsidRDefault="00DB368F" w:rsidP="00885CE6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>, e imponiamo che essa preservi la distanza, ovvero tale che</w:t>
      </w:r>
    </w:p>
    <w:p w14:paraId="7729202E" w14:textId="72F0F317" w:rsidR="00DB368F" w:rsidRPr="00DB368F" w:rsidRDefault="00DB368F" w:rsidP="00885CE6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1093402" w14:textId="3200F097" w:rsidR="00DB368F" w:rsidRDefault="00DB368F" w:rsidP="0010340C">
      <w:pPr>
        <w:rPr>
          <w:rFonts w:eastAsiaTheme="minorEastAsia"/>
        </w:rPr>
      </w:pPr>
      <w:r>
        <w:rPr>
          <w:rFonts w:eastAsiaTheme="minorEastAsia"/>
        </w:rPr>
        <w:t xml:space="preserve">Questo tipo di trasformazioni lineari sono dette rotazioni. Le componenti di </w:t>
      </w:r>
      <m:oMath>
        <m:r>
          <w:rPr>
            <w:rFonts w:ascii="Cambria Math" w:eastAsiaTheme="minorEastAsia" w:hAnsi="Cambria Math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si trasformano come</w:t>
      </w:r>
    </w:p>
    <w:p w14:paraId="6B3FD5CF" w14:textId="429C2D14" w:rsidR="00DB368F" w:rsidRPr="00DB368F" w:rsidRDefault="00DB368F" w:rsidP="00DB368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</m:oMath>
      </m:oMathPara>
    </w:p>
    <w:p w14:paraId="668C3F79" w14:textId="7289DB09" w:rsidR="00DB368F" w:rsidRDefault="00DB368F" w:rsidP="00DB368F">
      <w:pPr>
        <w:rPr>
          <w:rFonts w:eastAsiaTheme="minorEastAsia"/>
        </w:rPr>
      </w:pPr>
      <w:r>
        <w:rPr>
          <w:rFonts w:eastAsiaTheme="minorEastAsia"/>
        </w:rPr>
        <w:t xml:space="preserve">Sostituendo questa relazione </w:t>
      </w:r>
      <w:r w:rsidR="00934E35">
        <w:rPr>
          <w:rFonts w:eastAsiaTheme="minorEastAsia"/>
        </w:rPr>
        <w:t>nell’equazione di conservazione della distanza di trova che</w:t>
      </w:r>
    </w:p>
    <w:p w14:paraId="263303C7" w14:textId="74EFB42C" w:rsidR="00934E35" w:rsidRPr="00934E35" w:rsidRDefault="00934E35" w:rsidP="00DB368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nary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0929C811" w14:textId="40FC2E4E" w:rsidR="00934E35" w:rsidRDefault="00934E35" w:rsidP="00DB368F">
      <w:pPr>
        <w:rPr>
          <w:rFonts w:eastAsiaTheme="minorEastAsia"/>
        </w:rPr>
      </w:pPr>
      <w:r>
        <w:rPr>
          <w:rFonts w:eastAsiaTheme="minorEastAsia"/>
        </w:rPr>
        <w:t>Che si riscrive come</w:t>
      </w:r>
    </w:p>
    <w:p w14:paraId="1DD74B5E" w14:textId="15790E4B" w:rsidR="00934E35" w:rsidRPr="00934E35" w:rsidRDefault="00934E35" w:rsidP="00DB368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0A1B316D" w14:textId="232F7BDD" w:rsidR="00934E35" w:rsidRDefault="00934E35" w:rsidP="00DB368F">
      <w:pPr>
        <w:rPr>
          <w:rFonts w:eastAsiaTheme="minorEastAsia"/>
        </w:rPr>
      </w:pPr>
      <w:r>
        <w:rPr>
          <w:rFonts w:eastAsiaTheme="minorEastAsia"/>
        </w:rPr>
        <w:t xml:space="preserve">Affinché questa quantità sia uguale a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deve essere</w:t>
      </w:r>
    </w:p>
    <w:p w14:paraId="3DB32468" w14:textId="17168727" w:rsidR="00934E35" w:rsidRPr="00934E35" w:rsidRDefault="00000000" w:rsidP="00DB368F">
      <w:pPr>
        <w:rPr>
          <w:rFonts w:eastAsiaTheme="minorEastAsia"/>
        </w:rPr>
      </w:pPr>
      <m:oMathPara>
        <m:oMathParaPr>
          <m:jc m:val="center"/>
        </m:oMathParaPr>
        <m:oMath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3DD6E8E3" w14:textId="72B989D8" w:rsidR="00934E35" w:rsidRDefault="00801C90" w:rsidP="00DB368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è la matrice </w:t>
      </w:r>
      <m:oMath>
        <m:r>
          <w:rPr>
            <w:rFonts w:ascii="Cambria Math" w:eastAsiaTheme="minorEastAsia" w:hAnsi="Cambria Math"/>
          </w:rPr>
          <m:t>3×3</m:t>
        </m:r>
      </m:oMath>
      <w:r>
        <w:rPr>
          <w:rFonts w:eastAsiaTheme="minorEastAsia"/>
        </w:rPr>
        <w:t xml:space="preserve"> i cui elementi sono 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, gli elementi della sua trasposta sono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ji</m:t>
            </m:r>
          </m:sub>
        </m:sSub>
      </m:oMath>
      <w:r>
        <w:rPr>
          <w:rFonts w:eastAsiaTheme="minorEastAsia"/>
        </w:rPr>
        <w:t>, e la condizione appena trovata diventa in forma matriciale</w:t>
      </w:r>
    </w:p>
    <w:p w14:paraId="79AF8317" w14:textId="394987C9" w:rsidR="00801C90" w:rsidRPr="00801C90" w:rsidRDefault="00000000" w:rsidP="00DB368F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R=I</m:t>
          </m:r>
        </m:oMath>
      </m:oMathPara>
    </w:p>
    <w:p w14:paraId="3277C3AE" w14:textId="6AC6DC10" w:rsidR="00801C90" w:rsidRDefault="00801C90" w:rsidP="00DB368F">
      <w:pPr>
        <w:rPr>
          <w:rFonts w:eastAsiaTheme="minorEastAsia"/>
        </w:rPr>
      </w:pPr>
      <w:r>
        <w:rPr>
          <w:rFonts w:eastAsiaTheme="minorEastAsia"/>
        </w:rPr>
        <w:t xml:space="preserve">Da cui si deduce che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è una matrice ortogonale. La condizione sulle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sono in </w:t>
      </w:r>
      <w:r w:rsidR="00047491">
        <w:rPr>
          <w:rFonts w:eastAsiaTheme="minorEastAsia"/>
        </w:rPr>
        <w:t>realtà</w:t>
      </w:r>
      <w:r>
        <w:rPr>
          <w:rFonts w:eastAsiaTheme="minorEastAsia"/>
        </w:rPr>
        <w:t xml:space="preserve"> sei condizioni, quindi </w:t>
      </w:r>
      <m:oMath>
        <m:r>
          <w:rPr>
            <w:rFonts w:ascii="Cambria Math" w:eastAsiaTheme="minorEastAsia" w:hAnsi="Cambria Math"/>
          </w:rPr>
          <m:t>R</m:t>
        </m:r>
      </m:oMath>
      <w:r w:rsidR="00047491">
        <w:rPr>
          <w:rFonts w:eastAsiaTheme="minorEastAsia"/>
        </w:rPr>
        <w:t xml:space="preserve"> ha </w:t>
      </w:r>
      <m:oMath>
        <m:r>
          <w:rPr>
            <w:rFonts w:ascii="Cambria Math" w:eastAsiaTheme="minorEastAsia" w:hAnsi="Cambria Math"/>
          </w:rPr>
          <m:t>9-6=3</m:t>
        </m:r>
      </m:oMath>
      <w:r w:rsidR="00047491">
        <w:rPr>
          <w:rFonts w:eastAsiaTheme="minorEastAsia"/>
        </w:rPr>
        <w:t xml:space="preserve"> elementi indipendenti. Dunque, ogni rotazione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047491">
        <w:rPr>
          <w:rFonts w:eastAsiaTheme="minorEastAsia"/>
        </w:rPr>
        <w:t xml:space="preserve"> è definita da tre parametri.</w:t>
      </w:r>
      <w:r w:rsidR="003F0CB4">
        <w:rPr>
          <w:rFonts w:eastAsiaTheme="minorEastAsia"/>
        </w:rPr>
        <w:t xml:space="preserve"> Una generica rotazione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</m:oMath>
      <w:r w:rsidR="003F0CB4">
        <w:rPr>
          <w:rFonts w:eastAsiaTheme="minorEastAsia"/>
        </w:rPr>
        <w:t xml:space="preserve"> è definita da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=θ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n</m:t>
            </m:r>
          </m:e>
        </m:acc>
      </m:oMath>
      <w:r w:rsidR="003F0CB4">
        <w:rPr>
          <w:rFonts w:eastAsiaTheme="minorEastAsia"/>
        </w:rPr>
        <w:t xml:space="preserve">. Il modulo </w:t>
      </w:r>
      <m:oMath>
        <m:r>
          <w:rPr>
            <w:rFonts w:ascii="Cambria Math" w:eastAsiaTheme="minorEastAsia" w:hAnsi="Cambria Math"/>
          </w:rPr>
          <m:t>θ</m:t>
        </m:r>
      </m:oMath>
      <w:r w:rsidR="003F0CB4">
        <w:rPr>
          <w:rFonts w:eastAsiaTheme="minorEastAsia"/>
        </w:rPr>
        <w:t xml:space="preserve"> è l’angolo di rotazione. Il versore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n</m:t>
            </m:r>
          </m:e>
        </m:acc>
      </m:oMath>
      <w:r w:rsidR="003F0CB4">
        <w:rPr>
          <w:rFonts w:eastAsiaTheme="minorEastAsia"/>
        </w:rPr>
        <w:t xml:space="preserve"> individua l’asse di rotazione e è parametrizzato come</w:t>
      </w:r>
    </w:p>
    <w:p w14:paraId="0102501B" w14:textId="6CD65D08" w:rsidR="003F0CB4" w:rsidRPr="003F0CB4" w:rsidRDefault="00000000" w:rsidP="00DB368F">
      <w:pPr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func>
            </m:e>
          </m:d>
        </m:oMath>
      </m:oMathPara>
    </w:p>
    <w:p w14:paraId="46F47FEA" w14:textId="582B0C62" w:rsidR="003F0CB4" w:rsidRPr="005D39CE" w:rsidRDefault="005D39CE" w:rsidP="00DB368F">
      <w:pPr>
        <w:rPr>
          <w:rFonts w:eastAsiaTheme="minorEastAsia"/>
          <w:b/>
          <w:bCs/>
          <w:sz w:val="28"/>
          <w:u w:val="single"/>
        </w:rPr>
      </w:pPr>
      <w:r w:rsidRPr="005D39CE">
        <w:rPr>
          <w:rFonts w:eastAsiaTheme="minorEastAsia"/>
          <w:b/>
          <w:bCs/>
          <w:sz w:val="28"/>
          <w:u w:val="single"/>
        </w:rPr>
        <w:t xml:space="preserve">Vettori e tensori in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u w:val="single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eastAsiaTheme="minorEastAsia" w:hAnsi="Cambria Math"/>
                <w:sz w:val="28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u w:val="single"/>
              </w:rPr>
              <m:t>3</m:t>
            </m:r>
          </m:sup>
        </m:sSup>
      </m:oMath>
      <w:r w:rsidRPr="005D39CE">
        <w:rPr>
          <w:rFonts w:eastAsiaTheme="minorEastAsia"/>
          <w:b/>
          <w:bCs/>
          <w:sz w:val="28"/>
          <w:u w:val="single"/>
        </w:rPr>
        <w:t>:</w:t>
      </w:r>
    </w:p>
    <w:p w14:paraId="783E581D" w14:textId="731247FA" w:rsidR="005D39CE" w:rsidRDefault="00AC07BC" w:rsidP="00DB368F">
      <w:pPr>
        <w:rPr>
          <w:rFonts w:eastAsiaTheme="minorEastAsia"/>
        </w:rPr>
      </w:pPr>
      <w:r>
        <w:rPr>
          <w:rFonts w:eastAsiaTheme="minorEastAsia"/>
        </w:rPr>
        <w:t xml:space="preserve">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è una terna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</w:rPr>
        <w:t xml:space="preserve"> che, in seguito ad una rotazione degli assi rappresentata dalla matrice </w:t>
      </w:r>
      <m:oMath>
        <m:r>
          <w:rPr>
            <w:rFonts w:ascii="Cambria Math" w:eastAsiaTheme="minorEastAsia" w:hAnsi="Cambria Math"/>
          </w:rPr>
          <m:t>R=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d>
      </m:oMath>
      <w:r>
        <w:rPr>
          <w:rFonts w:eastAsiaTheme="minorEastAsia"/>
        </w:rPr>
        <w:t>, si trasforma come</w:t>
      </w:r>
    </w:p>
    <w:p w14:paraId="7BB94707" w14:textId="1AE0CDE4" w:rsidR="00AC07BC" w:rsidRPr="00AC07BC" w:rsidRDefault="00000000" w:rsidP="00DB368F">
      <w:pPr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</m:oMath>
      </m:oMathPara>
    </w:p>
    <w:p w14:paraId="7648ED5B" w14:textId="37F9C961" w:rsidR="00AC07BC" w:rsidRDefault="00AC07BC" w:rsidP="00DB368F">
      <w:pPr>
        <w:rPr>
          <w:rFonts w:eastAsiaTheme="minorEastAsia"/>
        </w:rPr>
      </w:pPr>
      <w:r>
        <w:rPr>
          <w:rFonts w:eastAsiaTheme="minorEastAsia"/>
        </w:rPr>
        <w:t xml:space="preserve">Se 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son funzioni delle coordinate,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è detto campo vettoriale, e le leggi di trasformazione delle sue componenti sono </w:t>
      </w:r>
    </w:p>
    <w:p w14:paraId="469E47A0" w14:textId="5BA8017C" w:rsidR="00AC07BC" w:rsidRPr="00AC07BC" w:rsidRDefault="00000000" w:rsidP="00AC07BC">
      <w:pPr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</m:nary>
        </m:oMath>
      </m:oMathPara>
    </w:p>
    <w:p w14:paraId="3CE66285" w14:textId="52CF1165" w:rsidR="00AC07BC" w:rsidRDefault="00AC07BC" w:rsidP="00AC07BC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acc>
        <m:r>
          <w:rPr>
            <w:rFonts w:ascii="Cambria Math" w:eastAsiaTheme="minorEastAsia" w:hAnsi="Cambria Math"/>
          </w:rPr>
          <m:t>=R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acc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acc>
      </m:oMath>
      <w:r>
        <w:rPr>
          <w:rFonts w:eastAsiaTheme="minorEastAsia"/>
        </w:rPr>
        <w:t>.</w:t>
      </w:r>
    </w:p>
    <w:p w14:paraId="06837BFF" w14:textId="4A678B00" w:rsidR="002469E2" w:rsidRDefault="002469E2" w:rsidP="00AC07BC">
      <w:pPr>
        <w:rPr>
          <w:rFonts w:eastAsiaTheme="minorEastAsia"/>
        </w:rPr>
      </w:pPr>
      <w:r>
        <w:rPr>
          <w:rFonts w:eastAsiaTheme="minorEastAsia"/>
        </w:rPr>
        <w:t xml:space="preserve">Un tensore di rango n è un insieme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quantità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</m:oMath>
      <w:r w:rsidR="005A445B"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i,…,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=1,2,3</m:t>
        </m:r>
      </m:oMath>
      <w:r w:rsidR="005A445B">
        <w:rPr>
          <w:rFonts w:eastAsiaTheme="minorEastAsia"/>
        </w:rPr>
        <w:t xml:space="preserve">, che rispetto a una rotazione si trasformano come </w:t>
      </w:r>
    </w:p>
    <w:p w14:paraId="687357D4" w14:textId="478DAF4A" w:rsidR="005A445B" w:rsidRPr="00AC07BC" w:rsidRDefault="005A445B" w:rsidP="00AC07BC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⋯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⋯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</m:e>
                  </m:nary>
                </m:e>
              </m:nary>
            </m:e>
          </m:nary>
        </m:oMath>
      </m:oMathPara>
    </w:p>
    <w:p w14:paraId="5683AC98" w14:textId="78810EF6" w:rsidR="00AC07BC" w:rsidRDefault="005A445B" w:rsidP="00DB368F">
      <w:pPr>
        <w:rPr>
          <w:rFonts w:eastAsiaTheme="minorEastAsia"/>
        </w:rPr>
      </w:pPr>
      <w:r>
        <w:rPr>
          <w:rFonts w:eastAsiaTheme="minorEastAsia"/>
        </w:rPr>
        <w:t xml:space="preserve">Ad esempio, un tensore di rango </w:t>
      </w:r>
      <m:oMath>
        <m:r>
          <w:rPr>
            <w:rFonts w:ascii="Cambria Math" w:eastAsiaTheme="minorEastAsia" w:hAnsi="Cambria Math"/>
          </w:rPr>
          <m:t>2</m:t>
        </m:r>
      </m:oMath>
      <w:r>
        <w:rPr>
          <w:rFonts w:eastAsiaTheme="minorEastAsia"/>
        </w:rPr>
        <w:t xml:space="preserve"> ha nove componenti</w:t>
      </w:r>
    </w:p>
    <w:p w14:paraId="3E8F16DF" w14:textId="36C1D41A" w:rsidR="005A445B" w:rsidRPr="005A445B" w:rsidRDefault="00000000" w:rsidP="00DB368F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689B246D" w14:textId="5B6A6479" w:rsidR="005A445B" w:rsidRDefault="005A445B" w:rsidP="00DB368F">
      <w:pPr>
        <w:rPr>
          <w:rFonts w:eastAsiaTheme="minorEastAsia"/>
        </w:rPr>
      </w:pPr>
      <w:r>
        <w:rPr>
          <w:rFonts w:eastAsiaTheme="minorEastAsia"/>
        </w:rPr>
        <w:t>Che si trasformano secondo la relazione</w:t>
      </w:r>
    </w:p>
    <w:p w14:paraId="018EA2CC" w14:textId="5F1F49DC" w:rsidR="005A445B" w:rsidRPr="003F0CB4" w:rsidRDefault="00000000" w:rsidP="00DB368F">
      <w:pPr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l=1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</m:e>
              </m:nary>
            </m:e>
          </m:nary>
        </m:oMath>
      </m:oMathPara>
    </w:p>
    <w:p w14:paraId="3C502027" w14:textId="484AD279" w:rsidR="00DB368F" w:rsidRDefault="005C78B2" w:rsidP="00885CE6">
      <w:pPr>
        <w:rPr>
          <w:rFonts w:eastAsiaTheme="minorEastAsia"/>
        </w:rPr>
      </w:pPr>
      <w:r>
        <w:rPr>
          <w:rFonts w:eastAsiaTheme="minorEastAsia"/>
        </w:rPr>
        <w:t xml:space="preserve">La legge di trasformazione, rispetto alle rotazioni, di un campo tensoriale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è</w:t>
      </w:r>
    </w:p>
    <w:p w14:paraId="40D15865" w14:textId="125C9565" w:rsidR="005C78B2" w:rsidRPr="005C78B2" w:rsidRDefault="005C78B2" w:rsidP="005C78B2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⋯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⋯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</m:e>
                  </m:nary>
                </m:e>
              </m:nary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</m:nary>
        </m:oMath>
      </m:oMathPara>
    </w:p>
    <w:p w14:paraId="235CEB5B" w14:textId="77777777" w:rsidR="0010340C" w:rsidRDefault="0010340C" w:rsidP="005C78B2">
      <w:pPr>
        <w:rPr>
          <w:rFonts w:eastAsiaTheme="minorEastAsia"/>
        </w:rPr>
      </w:pPr>
    </w:p>
    <w:p w14:paraId="0F4BD60C" w14:textId="77777777" w:rsidR="0010340C" w:rsidRDefault="0010340C" w:rsidP="005C78B2">
      <w:pPr>
        <w:rPr>
          <w:rFonts w:eastAsiaTheme="minorEastAsia"/>
        </w:rPr>
      </w:pPr>
    </w:p>
    <w:p w14:paraId="3F784FAE" w14:textId="3EBDB815" w:rsidR="005C78B2" w:rsidRDefault="005C78B2" w:rsidP="005C78B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Se si introduce il PS di due vettori </w:t>
      </w:r>
    </w:p>
    <w:p w14:paraId="34776358" w14:textId="42DA52D6" w:rsidR="005C78B2" w:rsidRPr="005C78B2" w:rsidRDefault="00000000" w:rsidP="005C78B2">
      <w:pPr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494017B0" w14:textId="585F7876" w:rsidR="005C78B2" w:rsidRDefault="005C78B2" w:rsidP="005C78B2">
      <w:pPr>
        <w:rPr>
          <w:rFonts w:eastAsiaTheme="minorEastAsia"/>
        </w:rPr>
      </w:pPr>
      <w:r>
        <w:rPr>
          <w:rFonts w:eastAsiaTheme="minorEastAsia"/>
        </w:rPr>
        <w:t xml:space="preserve">E si definisce il modulo quadro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come</w:t>
      </w:r>
    </w:p>
    <w:p w14:paraId="65D9BBF5" w14:textId="39751F60" w:rsidR="005C78B2" w:rsidRPr="002410B2" w:rsidRDefault="00000000" w:rsidP="005C78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</m:oMath>
      </m:oMathPara>
    </w:p>
    <w:p w14:paraId="655952D2" w14:textId="68659E79" w:rsidR="002410B2" w:rsidRDefault="002410B2" w:rsidP="005C78B2">
      <w:pPr>
        <w:rPr>
          <w:rFonts w:eastAsiaTheme="minorEastAsia"/>
        </w:rPr>
      </w:pPr>
      <w:r>
        <w:rPr>
          <w:rFonts w:eastAsiaTheme="minorEastAsia"/>
        </w:rPr>
        <w:t xml:space="preserve">Dall’ortogonalità di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segue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sono invarianti per rotazioni. Infatti</w:t>
      </w:r>
    </w:p>
    <w:p w14:paraId="53A1A4A4" w14:textId="77777777" w:rsidR="00430E60" w:rsidRPr="00430E60" w:rsidRDefault="00000000" w:rsidP="005C78B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nary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</m:oMath>
      </m:oMathPara>
    </w:p>
    <w:p w14:paraId="4746376B" w14:textId="3E6957A9" w:rsidR="002410B2" w:rsidRPr="00430E60" w:rsidRDefault="00430E60" w:rsidP="005C78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ik</m:t>
                              </m:r>
                            </m:sub>
                          </m:sSub>
                        </m:e>
                      </m:nary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</m:oMath>
      </m:oMathPara>
    </w:p>
    <w:p w14:paraId="300BB535" w14:textId="182A33FC" w:rsidR="00430E60" w:rsidRPr="002410B2" w:rsidRDefault="00AF16CF" w:rsidP="005C78B2">
      <w:pPr>
        <w:rPr>
          <w:rFonts w:eastAsiaTheme="minorEastAsia"/>
        </w:rPr>
      </w:pPr>
      <w:r>
        <w:rPr>
          <w:rFonts w:eastAsiaTheme="minorEastAsia"/>
        </w:rPr>
        <w:t>Le quantità invarianti per rotazioni sono dette scalari.</w:t>
      </w:r>
    </w:p>
    <w:p w14:paraId="534A75C3" w14:textId="4159B3C4" w:rsidR="008F28A4" w:rsidRPr="005A24B6" w:rsidRDefault="005A24B6" w:rsidP="005C78B2">
      <w:pPr>
        <w:rPr>
          <w:rFonts w:eastAsiaTheme="minorEastAsia"/>
          <w:b/>
          <w:bCs/>
          <w:sz w:val="28"/>
          <w:u w:val="single"/>
        </w:rPr>
      </w:pPr>
      <w:r w:rsidRPr="005A24B6">
        <w:rPr>
          <w:rFonts w:eastAsiaTheme="minorEastAsia"/>
          <w:b/>
          <w:bCs/>
          <w:sz w:val="28"/>
          <w:u w:val="single"/>
        </w:rPr>
        <w:t>Lo spazio di Minkowski:</w:t>
      </w:r>
    </w:p>
    <w:p w14:paraId="3D632A2D" w14:textId="17E9E3D0" w:rsidR="005C78B2" w:rsidRDefault="00543F65" w:rsidP="00885CE6">
      <w:pPr>
        <w:rPr>
          <w:rFonts w:eastAsiaTheme="minorEastAsia"/>
        </w:rPr>
      </w:pPr>
      <w:r>
        <w:rPr>
          <w:rFonts w:eastAsiaTheme="minorEastAsia"/>
        </w:rPr>
        <w:t xml:space="preserve">Lo spazio in cui avvengono tutti i fenomeni fisici è un continuo quadridimensionale (o meglio, 3+1 dimensionale, con tre dimensioni spaziali e una temporale), detto spaziotempo, o spazio di Minkowski, indicato con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  <w:r w:rsidR="00066D7D">
        <w:rPr>
          <w:rFonts w:eastAsiaTheme="minorEastAsia"/>
        </w:rPr>
        <w:t xml:space="preserve"> Lo spazio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 w:rsidR="00066D7D">
        <w:rPr>
          <w:rFonts w:eastAsiaTheme="minorEastAsia"/>
        </w:rPr>
        <w:t xml:space="preserve"> è diverso dallo spazio euclideo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 w:rsidR="00066D7D">
        <w:rPr>
          <w:rFonts w:eastAsiaTheme="minorEastAsia"/>
        </w:rPr>
        <w:t>. Questa differenza è immediatamente chiara se si introducono i concetti di spazio di Riemann e di metrica.</w:t>
      </w:r>
    </w:p>
    <w:p w14:paraId="4C4FDAF2" w14:textId="14BA2429" w:rsidR="00066D7D" w:rsidRDefault="00066D7D" w:rsidP="00885CE6">
      <w:pPr>
        <w:rPr>
          <w:rFonts w:eastAsiaTheme="minorEastAsia"/>
        </w:rPr>
      </w:pPr>
      <w:r>
        <w:rPr>
          <w:rFonts w:eastAsiaTheme="minorEastAsia"/>
        </w:rPr>
        <w:t xml:space="preserve">Si ridefiniscano le coordinate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x,y,z,t</m:t>
            </m:r>
          </m:e>
        </m:d>
      </m:oMath>
      <w:r>
        <w:rPr>
          <w:rFonts w:eastAsiaTheme="minorEastAsia"/>
        </w:rPr>
        <w:t xml:space="preserve"> di un evento come</w:t>
      </w:r>
    </w:p>
    <w:p w14:paraId="4D55F7D2" w14:textId="3497453D" w:rsidR="00066D7D" w:rsidRPr="00066D7D" w:rsidRDefault="00000000" w:rsidP="00885CE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 xml:space="preserve">≡ct,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 xml:space="preserve">≡x,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≡y,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≡z</m:t>
          </m:r>
        </m:oMath>
      </m:oMathPara>
    </w:p>
    <w:p w14:paraId="54FF2FBB" w14:textId="6BE92BCC" w:rsidR="00066D7D" w:rsidRDefault="00110132" w:rsidP="00885CE6">
      <w:pPr>
        <w:rPr>
          <w:rFonts w:eastAsiaTheme="minorEastAsia"/>
        </w:rPr>
      </w:pPr>
      <w:r>
        <w:rPr>
          <w:rFonts w:eastAsiaTheme="minorEastAsia"/>
        </w:rPr>
        <w:t xml:space="preserve">Queste coordinate verranno indicate collettivamente come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μ=0,…,3</m:t>
        </m:r>
      </m:oMath>
      <w:r>
        <w:rPr>
          <w:rFonts w:eastAsiaTheme="minorEastAsia"/>
        </w:rPr>
        <w:t>.</w:t>
      </w:r>
      <w:r w:rsidR="001225E9">
        <w:rPr>
          <w:rFonts w:eastAsiaTheme="minorEastAsia"/>
        </w:rPr>
        <w:t xml:space="preserve"> D’ora in poi si impone la convenzione che nello spazio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 w:rsidR="001225E9">
        <w:rPr>
          <w:rFonts w:eastAsiaTheme="minorEastAsia"/>
        </w:rPr>
        <w:t xml:space="preserve"> gli indici greci assumeranno valori </w:t>
      </w:r>
      <m:oMath>
        <m:r>
          <w:rPr>
            <w:rFonts w:ascii="Cambria Math" w:eastAsiaTheme="minorEastAsia" w:hAnsi="Cambria Math"/>
          </w:rPr>
          <m:t>0,…,3</m:t>
        </m:r>
      </m:oMath>
      <w:r w:rsidR="001225E9">
        <w:rPr>
          <w:rFonts w:eastAsiaTheme="minorEastAsia"/>
        </w:rPr>
        <w:t>, mentre gli indici latini</w:t>
      </w:r>
      <w:r w:rsidR="000E797C">
        <w:rPr>
          <w:rFonts w:eastAsiaTheme="minorEastAsia"/>
        </w:rPr>
        <w:t xml:space="preserve"> assumeranno valori</w:t>
      </w:r>
      <w:r w:rsidR="001225E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1,2,3</m:t>
        </m:r>
      </m:oMath>
      <w:r w:rsidR="001225E9">
        <w:rPr>
          <w:rFonts w:eastAsiaTheme="minorEastAsia"/>
        </w:rPr>
        <w:t>.</w:t>
      </w:r>
      <w:r w:rsidR="000E797C">
        <w:rPr>
          <w:rFonts w:eastAsiaTheme="minorEastAsia"/>
        </w:rPr>
        <w:t xml:space="preserve"> Le coordinate con gli indici in alto sono dette controvarianti.</w:t>
      </w:r>
    </w:p>
    <w:p w14:paraId="6242E039" w14:textId="43B58081" w:rsidR="000E797C" w:rsidRDefault="000E797C" w:rsidP="00885CE6">
      <w:pPr>
        <w:rPr>
          <w:rFonts w:eastAsiaTheme="minorEastAsia"/>
        </w:rPr>
      </w:pPr>
      <w:r>
        <w:rPr>
          <w:rFonts w:eastAsiaTheme="minorEastAsia"/>
        </w:rPr>
        <w:t xml:space="preserve">Si introduca ora una struttura di Riemann su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. Per definizione, la metrica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è la forma quadratica differenziale</w:t>
      </w:r>
    </w:p>
    <w:p w14:paraId="01CC090F" w14:textId="26BB4362" w:rsidR="000E797C" w:rsidRPr="00ED4BB0" w:rsidRDefault="000E797C" w:rsidP="00885C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μ=0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ν=0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μν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ν</m:t>
                      </m:r>
                    </m:sup>
                  </m:sSup>
                </m:e>
              </m:nary>
            </m:e>
          </m:nary>
        </m:oMath>
      </m:oMathPara>
    </w:p>
    <w:p w14:paraId="2FE7CCC0" w14:textId="703AD036" w:rsidR="00ED4BB0" w:rsidRDefault="00ED4BB0" w:rsidP="007627A0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w:rPr>
                <w:rFonts w:ascii="Cambria Math" w:eastAsiaTheme="minorEastAsia" w:hAnsi="Cambria Math"/>
              </w:rPr>
              <m:t>,d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r>
              <w:rPr>
                <w:rFonts w:ascii="Cambria Math" w:eastAsiaTheme="minorEastAsia" w:hAnsi="Cambria Math"/>
              </w:rPr>
              <m:t>,d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,d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cdt,dx,dy,dz</m:t>
            </m:r>
          </m:e>
        </m:d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  <w:r>
        <w:rPr>
          <w:rFonts w:eastAsiaTheme="minorEastAsia"/>
        </w:rPr>
        <w:t xml:space="preserve"> è il tensore metrico, le cui componenti sono </w:t>
      </w:r>
    </w:p>
    <w:p w14:paraId="020A81F7" w14:textId="1B06A622" w:rsidR="00ED4BB0" w:rsidRPr="00E83F46" w:rsidRDefault="00000000" w:rsidP="00885CE6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=-1</m:t>
                  </m:r>
                  <m:ctrlPr>
                    <w:rPr>
                      <w:rFonts w:ascii="Cambria Math" w:eastAsia="Cambria Math" w:hAnsi="Cambria Math" w:cs="Cambria Math"/>
                      <w:i/>
                      <w:iCs w:val="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=-1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=-1</m:t>
                  </m:r>
                  <m:ctrlPr>
                    <w:rPr>
                      <w:rFonts w:ascii="Cambria Math" w:eastAsia="Cambria Math" w:hAnsi="Cambria Math" w:cs="Cambria Math"/>
                      <w:i/>
                      <w:iCs w:val="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μν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 se μ≠ν</m:t>
                  </m:r>
                </m:e>
              </m:eqArr>
            </m:e>
          </m:d>
        </m:oMath>
      </m:oMathPara>
    </w:p>
    <w:p w14:paraId="116A42AE" w14:textId="6DC7066E" w:rsidR="000E797C" w:rsidRDefault="00E83F46" w:rsidP="007627A0">
      <w:pPr>
        <w:rPr>
          <w:rFonts w:eastAsiaTheme="minorEastAsia"/>
        </w:rPr>
      </w:pPr>
      <w:r>
        <w:rPr>
          <w:rFonts w:eastAsiaTheme="minorEastAsia"/>
        </w:rPr>
        <w:t xml:space="preserve">Si deduce quindi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  <w:r>
        <w:rPr>
          <w:rFonts w:eastAsiaTheme="minorEastAsia"/>
        </w:rPr>
        <w:t xml:space="preserve"> è diagonale, simmetrico rispetto al cambio di indici </w:t>
      </w:r>
      <m:oMath>
        <m:r>
          <w:rPr>
            <w:rFonts w:ascii="Cambria Math" w:eastAsiaTheme="minorEastAsia" w:hAnsi="Cambria Math"/>
          </w:rPr>
          <m:t>μ↔ν</m:t>
        </m:r>
      </m:oMath>
      <w:r>
        <w:rPr>
          <w:rFonts w:eastAsiaTheme="minorEastAsia"/>
        </w:rPr>
        <w:t xml:space="preserve"> (in uno spazio di Riemann generico il tensore metrico gode solo della proprietà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νμ</m:t>
            </m:r>
          </m:sub>
        </m:sSub>
      </m:oMath>
      <w:r>
        <w:rPr>
          <w:rFonts w:eastAsiaTheme="minorEastAsia"/>
        </w:rPr>
        <w:t xml:space="preserve">, ma non è necessariamente diagonale). Dato che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non ha segno indefinito si parla di metrica indefinita.</w:t>
      </w:r>
    </w:p>
    <w:p w14:paraId="148CBCCD" w14:textId="0F312A8F" w:rsidR="005F4B41" w:rsidRDefault="005F4B41" w:rsidP="00885CE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In termini matriciali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  <w:r>
        <w:rPr>
          <w:rFonts w:eastAsiaTheme="minorEastAsia"/>
        </w:rPr>
        <w:t xml:space="preserve"> è rappresentato come</w:t>
      </w:r>
    </w:p>
    <w:p w14:paraId="1935A50E" w14:textId="75B9812E" w:rsidR="005F4B41" w:rsidRPr="005F4B41" w:rsidRDefault="00000000" w:rsidP="00885C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78DA4CD9" w14:textId="77777777" w:rsidR="007627A0" w:rsidRDefault="007627A0" w:rsidP="00885CE6">
      <w:pPr>
        <w:rPr>
          <w:rFonts w:eastAsiaTheme="minorEastAsia"/>
        </w:rPr>
      </w:pPr>
      <w:r>
        <w:rPr>
          <w:rFonts w:eastAsiaTheme="minorEastAsia"/>
        </w:rPr>
        <w:t xml:space="preserve">Che sinteticamente si scrive come </w:t>
      </w:r>
      <m:oMath>
        <m:r>
          <w:rPr>
            <w:rFonts w:ascii="Cambria Math" w:eastAsiaTheme="minorEastAsia" w:hAnsi="Cambria Math"/>
          </w:rPr>
          <m:t>g=diag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1,-1,-1,-1</m:t>
            </m:r>
          </m:e>
        </m:d>
      </m:oMath>
      <w:r>
        <w:rPr>
          <w:rFonts w:eastAsiaTheme="minorEastAsia"/>
        </w:rPr>
        <w:t xml:space="preserve">. Inserendo il tensore metrico nella relazione di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di trova</w:t>
      </w:r>
    </w:p>
    <w:p w14:paraId="2121477E" w14:textId="578C1410" w:rsidR="005F4B41" w:rsidRPr="000F3976" w:rsidRDefault="007627A0" w:rsidP="007627A0">
      <w:pPr>
        <w:ind w:left="708" w:hanging="708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cdt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05E33F2" w14:textId="77777777" w:rsidR="00B47487" w:rsidRDefault="000F3976" w:rsidP="00AB22D8">
      <w:pPr>
        <w:rPr>
          <w:rFonts w:eastAsiaTheme="minorEastAsia"/>
        </w:rPr>
      </w:pPr>
      <w:r>
        <w:rPr>
          <w:rFonts w:eastAsiaTheme="minorEastAsia"/>
        </w:rPr>
        <w:t>Che l’intervallo infinitesimo tra due eventi definito in precedenza.</w:t>
      </w:r>
    </w:p>
    <w:p w14:paraId="67A78066" w14:textId="61E91114" w:rsidR="00B47487" w:rsidRPr="00F45917" w:rsidRDefault="00B47487" w:rsidP="00AB22D8">
      <w:pPr>
        <w:rPr>
          <w:rFonts w:eastAsiaTheme="minorEastAsia"/>
          <w:u w:val="single"/>
        </w:rPr>
      </w:pPr>
      <w:r w:rsidRPr="00F45917">
        <w:rPr>
          <w:rFonts w:eastAsiaTheme="minorEastAsia"/>
          <w:u w:val="single"/>
        </w:rPr>
        <w:t>Osservazione:</w:t>
      </w:r>
    </w:p>
    <w:p w14:paraId="1E67A6D4" w14:textId="718133F4" w:rsidR="0036280E" w:rsidRDefault="00AB22D8" w:rsidP="00AB22D8">
      <w:pPr>
        <w:rPr>
          <w:rFonts w:eastAsiaTheme="minorEastAsia"/>
        </w:rPr>
      </w:pPr>
      <w:r>
        <w:rPr>
          <w:rFonts w:eastAsiaTheme="minorEastAsia"/>
        </w:rPr>
        <w:t>D’ora in poi si farà uso della convenzione di Einstein, la quale prevede di omettere i segni di sommatoria: due indici ripetuti (detti “muti”) nello stesso membro si inte</w:t>
      </w:r>
      <w:r w:rsidR="0036280E">
        <w:rPr>
          <w:rFonts w:eastAsiaTheme="minorEastAsia"/>
        </w:rPr>
        <w:t>n</w:t>
      </w:r>
      <w:r>
        <w:rPr>
          <w:rFonts w:eastAsiaTheme="minorEastAsia"/>
        </w:rPr>
        <w:t>deranno sommati.</w:t>
      </w:r>
      <w:r w:rsidR="0036280E">
        <w:rPr>
          <w:rFonts w:eastAsiaTheme="minorEastAsia"/>
        </w:rPr>
        <w:t xml:space="preserve"> Quindi, secondo la convenzione, si può scrivere</w:t>
      </w:r>
    </w:p>
    <w:p w14:paraId="4AFE78D7" w14:textId="484E7FE0" w:rsidR="0036280E" w:rsidRPr="0036280E" w:rsidRDefault="007112BD" w:rsidP="00AB22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095FEE17" w14:textId="62CF4C02" w:rsidR="0036280E" w:rsidRDefault="00B47487" w:rsidP="00AB22D8">
      <w:pPr>
        <w:rPr>
          <w:rFonts w:eastAsiaTheme="minorEastAsia"/>
        </w:rPr>
      </w:pPr>
      <w:r>
        <w:rPr>
          <w:rFonts w:eastAsiaTheme="minorEastAsia"/>
        </w:rPr>
        <w:t>Ad un indice muto è sempre possibile cambiare nome, purché la nuova lettera che si sceglie non compaia già nella formula.</w:t>
      </w:r>
    </w:p>
    <w:p w14:paraId="3977034D" w14:textId="702AABE4" w:rsidR="00B47487" w:rsidRDefault="00B47487" w:rsidP="00AB22D8">
      <w:pPr>
        <w:rPr>
          <w:rFonts w:eastAsiaTheme="minorEastAsia"/>
        </w:rPr>
      </w:pPr>
      <w:r>
        <w:rPr>
          <w:rFonts w:eastAsiaTheme="minorEastAsia"/>
        </w:rPr>
        <w:tab/>
        <w:t xml:space="preserve">Si introducano ora le coordinate covarianti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definite come</w:t>
      </w:r>
    </w:p>
    <w:p w14:paraId="2182EFF7" w14:textId="69E5FD00" w:rsidR="00B47487" w:rsidRPr="007A1C84" w:rsidRDefault="00000000" w:rsidP="00AB22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</m:oMath>
      </m:oMathPara>
    </w:p>
    <w:p w14:paraId="3EA38EB2" w14:textId="62FD8A2C" w:rsidR="007A1C84" w:rsidRDefault="007A1C84" w:rsidP="00AB22D8">
      <w:pPr>
        <w:rPr>
          <w:rFonts w:eastAsiaTheme="minorEastAsia"/>
        </w:rPr>
      </w:pPr>
      <w:r>
        <w:rPr>
          <w:rFonts w:eastAsiaTheme="minorEastAsia"/>
        </w:rPr>
        <w:t>Ovvero</w:t>
      </w:r>
    </w:p>
    <w:p w14:paraId="32D209C3" w14:textId="743C1171" w:rsidR="007A1C84" w:rsidRPr="007A1C84" w:rsidRDefault="00000000" w:rsidP="00AB22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09B1CAF2" w14:textId="063C95F2" w:rsidR="007A1C84" w:rsidRDefault="00CA7418" w:rsidP="00AB22D8">
      <w:pPr>
        <w:rPr>
          <w:rFonts w:eastAsiaTheme="minorEastAsia"/>
        </w:rPr>
      </w:pPr>
      <w:r>
        <w:rPr>
          <w:rFonts w:eastAsiaTheme="minorEastAsia"/>
        </w:rPr>
        <w:t xml:space="preserve">Quindi, si può scrivere </w:t>
      </w:r>
    </w:p>
    <w:p w14:paraId="2CA1B659" w14:textId="53C6922D" w:rsidR="007112BD" w:rsidRPr="007112BD" w:rsidRDefault="007112BD" w:rsidP="00AB22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64D08A53" w14:textId="12F74822" w:rsidR="00D16A1D" w:rsidRDefault="00D16A1D" w:rsidP="00D16A1D">
      <w:pPr>
        <w:rPr>
          <w:rFonts w:eastAsiaTheme="minorEastAsia"/>
        </w:rPr>
      </w:pPr>
      <w:r>
        <w:rPr>
          <w:rFonts w:eastAsiaTheme="minorEastAsia"/>
        </w:rPr>
        <w:t xml:space="preserve">Si definisca infine il tensore metrico controvariante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</m:oMath>
      <w:r>
        <w:rPr>
          <w:rFonts w:eastAsiaTheme="minorEastAsia"/>
        </w:rPr>
        <w:t xml:space="preserve">, che corrisponde alla matrice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>, ovvero</w:t>
      </w:r>
    </w:p>
    <w:p w14:paraId="42510F76" w14:textId="07A46D98" w:rsidR="00D16A1D" w:rsidRPr="00D16A1D" w:rsidRDefault="00000000" w:rsidP="00D16A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νρ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</m:oMath>
      </m:oMathPara>
    </w:p>
    <w:p w14:paraId="5B9986E3" w14:textId="293A9CE7" w:rsidR="00D16A1D" w:rsidRDefault="00D16A1D" w:rsidP="00D16A1D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</m:oMath>
      <w:r>
        <w:rPr>
          <w:rFonts w:eastAsiaTheme="minorEastAsia"/>
        </w:rPr>
        <w:t xml:space="preserve"> è la delta di Kronecker quadridimensionale</w:t>
      </w:r>
    </w:p>
    <w:p w14:paraId="0E6DFBBA" w14:textId="20E5A888" w:rsidR="00D16A1D" w:rsidRPr="00D16A1D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se μ=ν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se μ≠ν</m:t>
                  </m:r>
                </m:e>
              </m:eqArr>
            </m:e>
          </m:d>
        </m:oMath>
      </m:oMathPara>
    </w:p>
    <w:p w14:paraId="1B583B30" w14:textId="35FE3F73" w:rsidR="00D16A1D" w:rsidRDefault="00F95CB2" w:rsidP="00D16A1D">
      <w:pPr>
        <w:rPr>
          <w:rFonts w:eastAsiaTheme="minorEastAsia"/>
        </w:rPr>
      </w:pPr>
      <w:r>
        <w:rPr>
          <w:rFonts w:eastAsiaTheme="minorEastAsia"/>
        </w:rPr>
        <w:t xml:space="preserve">Dalla forma esplicita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  <w:r>
        <w:rPr>
          <w:rFonts w:eastAsiaTheme="minorEastAsia"/>
        </w:rPr>
        <w:t xml:space="preserve"> segue che le sue componenti sono uguali a quelli del tensore inverso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</m:oMath>
      <w:r>
        <w:rPr>
          <w:rFonts w:eastAsiaTheme="minorEastAsia"/>
        </w:rPr>
        <w:t xml:space="preserve"> (questo è vero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che è piatto, non nello spaziotempo curvo della relatività generale).</w:t>
      </w:r>
      <w:r w:rsidR="00FB2553">
        <w:rPr>
          <w:rFonts w:eastAsiaTheme="minorEastAsia"/>
        </w:rPr>
        <w:t xml:space="preserve"> Moltiplicando per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</m:oMath>
      <w:r w:rsidR="00FB2553">
        <w:rPr>
          <w:rFonts w:eastAsiaTheme="minorEastAsia"/>
        </w:rPr>
        <w:t xml:space="preserve"> le coordinate covarianti si ottengono le coordinate controvarianti </w:t>
      </w:r>
    </w:p>
    <w:p w14:paraId="06D11162" w14:textId="1D949A45" w:rsidR="00FB2553" w:rsidRPr="00FB2553" w:rsidRDefault="00000000" w:rsidP="00D16A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</m:sSub>
        </m:oMath>
      </m:oMathPara>
    </w:p>
    <w:p w14:paraId="0950AB6A" w14:textId="5D8422E4" w:rsidR="00BC4940" w:rsidRPr="00FB2553" w:rsidRDefault="00FB2553" w:rsidP="00D16A1D">
      <w:pPr>
        <w:rPr>
          <w:rFonts w:eastAsiaTheme="minorEastAsia"/>
        </w:rPr>
      </w:pPr>
      <w:r>
        <w:rPr>
          <w:rFonts w:eastAsiaTheme="minorEastAsia"/>
        </w:rPr>
        <w:t xml:space="preserve">Si può infine scrivere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νρ</m:t>
            </m:r>
          </m:sub>
        </m:sSub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</m:oMath>
    </w:p>
    <w:p w14:paraId="1377C18D" w14:textId="04F5F6DB" w:rsidR="00A424A3" w:rsidRPr="00A424A3" w:rsidRDefault="00A424A3" w:rsidP="00D16A1D">
      <w:pPr>
        <w:rPr>
          <w:rFonts w:eastAsiaTheme="minorEastAsia"/>
          <w:b/>
          <w:bCs/>
          <w:sz w:val="28"/>
          <w:u w:val="single"/>
        </w:rPr>
      </w:pPr>
      <w:r w:rsidRPr="00A424A3">
        <w:rPr>
          <w:rFonts w:eastAsiaTheme="minorEastAsia"/>
          <w:b/>
          <w:bCs/>
          <w:sz w:val="28"/>
          <w:u w:val="single"/>
        </w:rPr>
        <w:lastRenderedPageBreak/>
        <w:t>Le</w:t>
      </w:r>
      <w:r w:rsidR="005173C9">
        <w:rPr>
          <w:rFonts w:eastAsiaTheme="minorEastAsia"/>
          <w:b/>
          <w:bCs/>
          <w:sz w:val="28"/>
          <w:u w:val="single"/>
        </w:rPr>
        <w:t xml:space="preserve"> TDL</w:t>
      </w:r>
      <w:r w:rsidRPr="00A424A3">
        <w:rPr>
          <w:rFonts w:eastAsiaTheme="minorEastAsia"/>
          <w:b/>
          <w:bCs/>
          <w:sz w:val="28"/>
          <w:u w:val="single"/>
        </w:rPr>
        <w:t>:</w:t>
      </w:r>
    </w:p>
    <w:p w14:paraId="3B26239E" w14:textId="7A79BC43" w:rsidR="00A424A3" w:rsidRDefault="00BC4940" w:rsidP="00D16A1D">
      <w:pPr>
        <w:rPr>
          <w:rFonts w:eastAsiaTheme="minorEastAsia"/>
        </w:rPr>
      </w:pPr>
      <w:r>
        <w:rPr>
          <w:rFonts w:eastAsiaTheme="minorEastAsia"/>
        </w:rPr>
        <w:t xml:space="preserve">Avendo introdotto una struttura metrica su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è possibile ora definire in modo più generale le TDL. Una TDL omogenea (TDLO) è, per definizione, una trasformazione lineare e omogenea delle coordinate </w:t>
      </w:r>
    </w:p>
    <w:p w14:paraId="5D7EC8F7" w14:textId="7C4760E6" w:rsidR="00BC4940" w:rsidRPr="00BC4940" w:rsidRDefault="00000000" w:rsidP="00D16A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6A1FB798" w14:textId="45849263" w:rsidR="00A424A3" w:rsidRDefault="00BC4940" w:rsidP="00D16A1D">
      <w:pPr>
        <w:rPr>
          <w:rFonts w:eastAsiaTheme="minorEastAsia"/>
        </w:rPr>
      </w:pPr>
      <w:r>
        <w:rPr>
          <w:rFonts w:eastAsiaTheme="minorEastAsia"/>
        </w:rPr>
        <w:t xml:space="preserve">Che lascia invariato l’intervallo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ν</m:t>
            </m:r>
          </m:sup>
        </m:sSup>
      </m:oMath>
      <w:r>
        <w:rPr>
          <w:rFonts w:eastAsiaTheme="minorEastAsia"/>
        </w:rPr>
        <w:t xml:space="preserve">, ovvero la metrica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  <w:r w:rsidR="00F32054">
        <w:rPr>
          <w:rFonts w:eastAsiaTheme="minorEastAsia"/>
        </w:rPr>
        <w:t xml:space="preserve"> Le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</m:oMath>
      <w:r w:rsidR="00F32054">
        <w:rPr>
          <w:rFonts w:eastAsiaTheme="minorEastAsia"/>
        </w:rPr>
        <w:t xml:space="preserve"> sono 16 quantità reali costanti, ossia non dipendenti dalle coordinate. Secondo </w:t>
      </w:r>
      <w:r w:rsidR="00C5374D">
        <w:rPr>
          <w:rFonts w:eastAsiaTheme="minorEastAsia"/>
        </w:rPr>
        <w:t>questa definizione</w:t>
      </w:r>
      <w:r w:rsidR="00F32054">
        <w:rPr>
          <w:rFonts w:eastAsiaTheme="minorEastAsia"/>
        </w:rPr>
        <w:t xml:space="preserve"> sono TDL quelle per la velocità, i boost e le rotazioni.</w:t>
      </w:r>
      <w:r w:rsidR="00C5374D">
        <w:rPr>
          <w:rFonts w:eastAsiaTheme="minorEastAsia"/>
        </w:rPr>
        <w:t xml:space="preserve"> La combinazione di una rotazione e un boost è ancora una TDL. </w:t>
      </w:r>
      <w:r w:rsidR="005B40D3">
        <w:rPr>
          <w:rFonts w:eastAsiaTheme="minorEastAsia"/>
        </w:rPr>
        <w:t>Una TDL non omogenea del tipo</w:t>
      </w:r>
    </w:p>
    <w:p w14:paraId="74C6F1FA" w14:textId="71800D9E" w:rsidR="005B40D3" w:rsidRPr="005B40D3" w:rsidRDefault="00000000" w:rsidP="00D16A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=costanti</m:t>
          </m:r>
        </m:oMath>
      </m:oMathPara>
    </w:p>
    <w:p w14:paraId="41E383BB" w14:textId="61FF4259" w:rsidR="00897305" w:rsidRDefault="000C4C70" w:rsidP="00897305">
      <w:pPr>
        <w:rPr>
          <w:rFonts w:eastAsiaTheme="minorEastAsia"/>
        </w:rPr>
      </w:pPr>
      <w:r>
        <w:rPr>
          <w:rFonts w:eastAsiaTheme="minorEastAsia"/>
        </w:rPr>
        <w:t xml:space="preserve">Che lascia invariato l’intervallo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è detta trasformazione di Poincaré, che combina un TDLO e una traslazione spaziotemporale.</w:t>
      </w:r>
    </w:p>
    <w:p w14:paraId="7BFE0ACD" w14:textId="5E743D4C" w:rsidR="006C6542" w:rsidRDefault="006C6542" w:rsidP="00D16A1D">
      <w:pPr>
        <w:rPr>
          <w:rFonts w:eastAsiaTheme="minorEastAsia"/>
        </w:rPr>
      </w:pPr>
      <w:r>
        <w:rPr>
          <w:rFonts w:eastAsiaTheme="minorEastAsia"/>
        </w:rPr>
        <w:t xml:space="preserve">Per una TDL le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si </w:t>
      </w:r>
      <w:r w:rsidR="008C784E">
        <w:rPr>
          <w:rFonts w:eastAsiaTheme="minorEastAsia"/>
        </w:rPr>
        <w:t>trasformano</w:t>
      </w:r>
      <w:r>
        <w:rPr>
          <w:rFonts w:eastAsiaTheme="minorEastAsia"/>
        </w:rPr>
        <w:t xml:space="preserve"> come</w:t>
      </w:r>
    </w:p>
    <w:p w14:paraId="667F57AE" w14:textId="52D65A6F" w:rsidR="006C6542" w:rsidRPr="008C784E" w:rsidRDefault="006C6542" w:rsidP="00D16A1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48095ABF" w14:textId="2710EDBE" w:rsidR="008C784E" w:rsidRDefault="008C784E" w:rsidP="00D16A1D">
      <w:pPr>
        <w:rPr>
          <w:rFonts w:eastAsiaTheme="minorEastAsia"/>
        </w:rPr>
      </w:pPr>
      <w:r>
        <w:rPr>
          <w:rFonts w:eastAsiaTheme="minorEastAsia"/>
        </w:rPr>
        <w:t>E poiché</w:t>
      </w:r>
    </w:p>
    <w:p w14:paraId="691C1C75" w14:textId="4FB0DBED" w:rsidR="008C784E" w:rsidRPr="008C784E" w:rsidRDefault="008C784E" w:rsidP="00D16A1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ν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67E8848A" w14:textId="77259921" w:rsidR="008C784E" w:rsidRDefault="008C784E" w:rsidP="00D16A1D">
      <w:pPr>
        <w:rPr>
          <w:rFonts w:eastAsiaTheme="minorEastAsia"/>
        </w:rPr>
      </w:pPr>
      <w:r>
        <w:rPr>
          <w:rFonts w:eastAsiaTheme="minorEastAsia"/>
        </w:rPr>
        <w:t>Segue che</w:t>
      </w:r>
    </w:p>
    <w:p w14:paraId="0D41D41B" w14:textId="68B33ED5" w:rsidR="008C784E" w:rsidRPr="008C784E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ν</m:t>
                  </m:r>
                </m:sup>
              </m:sSup>
            </m:den>
          </m:f>
        </m:oMath>
      </m:oMathPara>
    </w:p>
    <w:p w14:paraId="708A964A" w14:textId="11676F45" w:rsidR="008C784E" w:rsidRDefault="007B59EA" w:rsidP="00D16A1D">
      <w:pPr>
        <w:rPr>
          <w:rFonts w:eastAsiaTheme="minorEastAsia"/>
        </w:rPr>
      </w:pPr>
      <w:r>
        <w:rPr>
          <w:rFonts w:eastAsiaTheme="minorEastAsia"/>
        </w:rPr>
        <w:t xml:space="preserve">La richiesta di invarianza di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coincide con la condizione</w:t>
      </w:r>
    </w:p>
    <w:p w14:paraId="7434A70C" w14:textId="31E68B59" w:rsidR="004B5D61" w:rsidRPr="004B5D61" w:rsidRDefault="00000000" w:rsidP="00D16A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'μ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'ν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p>
        </m:oMath>
      </m:oMathPara>
    </w:p>
    <w:p w14:paraId="0E4BF31F" w14:textId="7F250F5E" w:rsidR="004B5D61" w:rsidRDefault="004B5D61" w:rsidP="00D16A1D">
      <w:pPr>
        <w:rPr>
          <w:rFonts w:eastAsiaTheme="minorEastAsia"/>
        </w:rPr>
      </w:pPr>
      <w:r>
        <w:rPr>
          <w:rFonts w:eastAsiaTheme="minorEastAsia"/>
        </w:rPr>
        <w:t>Da cui</w:t>
      </w:r>
    </w:p>
    <w:p w14:paraId="163A91B6" w14:textId="23805BBC" w:rsidR="007B59EA" w:rsidRPr="004B5D61" w:rsidRDefault="00000000" w:rsidP="00D16A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</m:oMath>
      </m:oMathPara>
    </w:p>
    <w:p w14:paraId="3737767E" w14:textId="77777777" w:rsidR="003E1DEB" w:rsidRDefault="004B5D61" w:rsidP="003E1DEB">
      <w:pPr>
        <w:rPr>
          <w:rFonts w:eastAsiaTheme="minorEastAsia"/>
        </w:rPr>
      </w:pPr>
      <w:r>
        <w:rPr>
          <w:rFonts w:eastAsiaTheme="minorEastAsia"/>
        </w:rPr>
        <w:t xml:space="preserve">che è la condizione a cui deve obbedire una generica trasformazione di coordinate del tipo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ν</m:t>
            </m:r>
          </m:sup>
        </m:sSup>
      </m:oMath>
      <w:r>
        <w:rPr>
          <w:rFonts w:eastAsiaTheme="minorEastAsia"/>
        </w:rPr>
        <w:t>.</w:t>
      </w:r>
      <w:r w:rsidR="00005F9B">
        <w:rPr>
          <w:rFonts w:eastAsiaTheme="minorEastAsia"/>
        </w:rPr>
        <w:t xml:space="preserve"> Poiché la relazione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ρσ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</m:oMath>
      <w:r w:rsidR="00005F9B">
        <w:rPr>
          <w:rFonts w:eastAsiaTheme="minorEastAsia"/>
        </w:rPr>
        <w:t xml:space="preserve"> corrispondono a 10 vincoli indipendenti, una TDLO dipende da </w:t>
      </w:r>
      <m:oMath>
        <m:r>
          <w:rPr>
            <w:rFonts w:ascii="Cambria Math" w:eastAsiaTheme="minorEastAsia" w:hAnsi="Cambria Math"/>
          </w:rPr>
          <m:t>16-10=6</m:t>
        </m:r>
      </m:oMath>
      <w:r w:rsidR="00005F9B">
        <w:rPr>
          <w:rFonts w:eastAsiaTheme="minorEastAsia"/>
        </w:rPr>
        <w:t xml:space="preserve"> </w:t>
      </w:r>
      <w:r w:rsidR="00A20AE9">
        <w:rPr>
          <w:rFonts w:eastAsiaTheme="minorEastAsia"/>
        </w:rPr>
        <w:t xml:space="preserve">parametri reali, mentre una TDL non omogenea dipende da </w:t>
      </w:r>
      <m:oMath>
        <m:r>
          <w:rPr>
            <w:rFonts w:ascii="Cambria Math" w:eastAsiaTheme="minorEastAsia" w:hAnsi="Cambria Math"/>
          </w:rPr>
          <m:t>6+4=10</m:t>
        </m:r>
      </m:oMath>
      <w:r w:rsidR="00A20AE9">
        <w:rPr>
          <w:rFonts w:eastAsiaTheme="minorEastAsia"/>
        </w:rPr>
        <w:t xml:space="preserve"> parametri reali.</w:t>
      </w:r>
      <w:r w:rsidR="00D22313">
        <w:rPr>
          <w:rFonts w:eastAsiaTheme="minorEastAsia"/>
        </w:rPr>
        <w:t xml:space="preserve"> </w:t>
      </w:r>
      <w:r w:rsidR="009763C9">
        <w:rPr>
          <w:rFonts w:eastAsiaTheme="minorEastAsia"/>
        </w:rPr>
        <w:t xml:space="preserve">Usando il tensore metrico controvariante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</m:oMath>
      <w:r w:rsidR="009763C9">
        <w:rPr>
          <w:rFonts w:eastAsiaTheme="minorEastAsia"/>
        </w:rPr>
        <w:t>, si ottiene una condizione equivalente alla relazione precedente</w:t>
      </w:r>
      <w:r w:rsidR="003E1DEB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ρ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σ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ρσ</m:t>
            </m:r>
          </m:sup>
        </m:sSup>
      </m:oMath>
      <w:r w:rsidR="003E1DEB">
        <w:rPr>
          <w:rFonts w:eastAsiaTheme="minorEastAsia"/>
        </w:rPr>
        <w:t>.</w:t>
      </w:r>
    </w:p>
    <w:p w14:paraId="7BD03F60" w14:textId="75C59023" w:rsidR="003E1DEB" w:rsidRDefault="003E1DEB" w:rsidP="003E1DEB">
      <w:pPr>
        <w:rPr>
          <w:rFonts w:eastAsiaTheme="minorEastAsia"/>
        </w:rPr>
      </w:pPr>
      <w:r>
        <w:rPr>
          <w:rFonts w:eastAsiaTheme="minorEastAsia"/>
        </w:rPr>
        <w:t xml:space="preserve">La matrice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quadrata </w:t>
      </w:r>
      <m:oMath>
        <m:r>
          <w:rPr>
            <w:rFonts w:ascii="Cambria Math" w:eastAsiaTheme="minorEastAsia" w:hAnsi="Cambria Math"/>
          </w:rPr>
          <m:t>4×4</m:t>
        </m:r>
      </m:oMath>
      <w:r>
        <w:rPr>
          <w:rFonts w:eastAsiaTheme="minorEastAsia"/>
        </w:rPr>
        <w:t xml:space="preserve"> di elementi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</m:oMath>
      <w:r>
        <w:rPr>
          <w:rFonts w:eastAsiaTheme="minorEastAsia"/>
        </w:rPr>
        <w:t xml:space="preserve"> è</w:t>
      </w:r>
    </w:p>
    <w:p w14:paraId="2E55BD2A" w14:textId="77777777" w:rsidR="003E1DEB" w:rsidRDefault="003E1DEB" w:rsidP="003E1DE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Λ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ν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72F7914C" w14:textId="746066AC" w:rsidR="00CF232B" w:rsidRDefault="00897305" w:rsidP="00D16A1D">
      <w:pPr>
        <w:rPr>
          <w:rFonts w:eastAsiaTheme="minorEastAsia"/>
        </w:rPr>
      </w:pPr>
      <w:r>
        <w:rPr>
          <w:rFonts w:eastAsiaTheme="minorEastAsia"/>
        </w:rPr>
        <w:lastRenderedPageBreak/>
        <w:t>La moltiplicazione tra due matrici di Lorentz</w:t>
      </w:r>
      <w:r w:rsidR="00110723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  <w:r w:rsidR="00110723"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110723">
        <w:rPr>
          <w:rFonts w:eastAsiaTheme="minorEastAsia"/>
        </w:rPr>
        <w:t xml:space="preserve"> è data da </w:t>
      </w:r>
    </w:p>
    <w:p w14:paraId="5D436568" w14:textId="542D2352" w:rsidR="00110723" w:rsidRPr="00110723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  <m:ctrlPr>
                <w:rPr>
                  <w:rFonts w:ascii="Cambria Math" w:eastAsiaTheme="minorEastAsia" w:hAnsi="Cambria Math"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</m:oMath>
      </m:oMathPara>
    </w:p>
    <w:p w14:paraId="5E78DAF6" w14:textId="4B2B225F" w:rsidR="00110723" w:rsidRDefault="00110723" w:rsidP="00D16A1D">
      <w:pPr>
        <w:rPr>
          <w:rFonts w:eastAsiaTheme="minorEastAsia"/>
        </w:rPr>
      </w:pPr>
      <w:r>
        <w:rPr>
          <w:rFonts w:eastAsiaTheme="minorEastAsia"/>
        </w:rPr>
        <w:t xml:space="preserve">E la matrice trasposta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ha componenti </w:t>
      </w:r>
    </w:p>
    <w:p w14:paraId="372C7BD7" w14:textId="6B5690C3" w:rsidR="00110723" w:rsidRPr="00110723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</m:oMath>
      </m:oMathPara>
    </w:p>
    <w:p w14:paraId="2CAE6BAB" w14:textId="161EAD37" w:rsidR="00110723" w:rsidRPr="00110723" w:rsidRDefault="00110723" w:rsidP="00D16A1D">
      <w:pPr>
        <w:rPr>
          <w:rFonts w:eastAsiaTheme="minorEastAsia"/>
          <w:iCs w:val="0"/>
        </w:rPr>
      </w:pPr>
      <w:r>
        <w:rPr>
          <w:rFonts w:eastAsiaTheme="minorEastAsia"/>
        </w:rPr>
        <w:t>Quindi si può riscrivere il primo membro di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ρσ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/>
          <w:iCs w:val="0"/>
        </w:rPr>
        <w:t xml:space="preserve">come </w:t>
      </w:r>
    </w:p>
    <w:p w14:paraId="493B9EAA" w14:textId="4D6B5C90" w:rsidR="00110723" w:rsidRPr="00110723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</m:sSub>
        </m:oMath>
      </m:oMathPara>
    </w:p>
    <w:p w14:paraId="5AAD6307" w14:textId="6785E856" w:rsidR="00110723" w:rsidRDefault="0006544B" w:rsidP="00D16A1D">
      <w:pPr>
        <w:rPr>
          <w:rFonts w:eastAsiaTheme="minorEastAsia"/>
        </w:rPr>
      </w:pPr>
      <w:r>
        <w:rPr>
          <w:rFonts w:eastAsiaTheme="minorEastAsia"/>
        </w:rPr>
        <w:t>E l’equivalente matriciale di questa condizione è</w:t>
      </w:r>
    </w:p>
    <w:p w14:paraId="04A5E87E" w14:textId="08A2C584" w:rsidR="0006544B" w:rsidRPr="0006544B" w:rsidRDefault="00000000" w:rsidP="00D16A1D">
      <w:pPr>
        <w:rPr>
          <w:rFonts w:eastAsiaTheme="minorEastAsia"/>
          <w:i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g</m:t>
          </m:r>
          <m:r>
            <m:rPr>
              <m:sty m:val="p"/>
            </m:rPr>
            <w:rPr>
              <w:rFonts w:ascii="Cambria Math" w:eastAsiaTheme="minorEastAsia" w:hAnsi="Cambria Math"/>
            </w:rPr>
            <m:t>Λ=</m:t>
          </m:r>
          <m:r>
            <w:rPr>
              <w:rFonts w:ascii="Cambria Math" w:eastAsiaTheme="minorEastAsia" w:hAnsi="Cambria Math"/>
            </w:rPr>
            <m:t>g</m:t>
          </m:r>
        </m:oMath>
      </m:oMathPara>
    </w:p>
    <w:p w14:paraId="0D7BA702" w14:textId="14A8D1AD" w:rsidR="0006544B" w:rsidRDefault="00DA43E7" w:rsidP="00D16A1D">
      <w:pPr>
        <w:rPr>
          <w:rFonts w:eastAsiaTheme="minorEastAsia"/>
        </w:rPr>
      </w:pPr>
      <w:r>
        <w:rPr>
          <w:rFonts w:eastAsiaTheme="minorEastAsia"/>
        </w:rPr>
        <w:t xml:space="preserve">La TDL delle coordinate covarianti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è</w:t>
      </w:r>
    </w:p>
    <w:p w14:paraId="7DB4BB14" w14:textId="096CEC5A" w:rsidR="00DA43E7" w:rsidRPr="00DA43E7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ρσ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</m:oMath>
      </m:oMathPara>
    </w:p>
    <w:p w14:paraId="70581D78" w14:textId="71CC4191" w:rsidR="00DA43E7" w:rsidRDefault="00DA43E7" w:rsidP="00D16A1D">
      <w:pPr>
        <w:rPr>
          <w:rFonts w:eastAsiaTheme="minorEastAsia"/>
        </w:rPr>
      </w:pPr>
      <w:r>
        <w:rPr>
          <w:rFonts w:eastAsiaTheme="minorEastAsia"/>
        </w:rPr>
        <w:t xml:space="preserve">Da cui, definendo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σ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ρσ</m:t>
            </m:r>
          </m:sup>
        </m:sSup>
      </m:oMath>
      <w:r>
        <w:rPr>
          <w:rFonts w:eastAsiaTheme="minorEastAsia"/>
        </w:rPr>
        <w:t>, si trova</w:t>
      </w:r>
    </w:p>
    <w:p w14:paraId="43D81812" w14:textId="3A830903" w:rsidR="00DA43E7" w:rsidRPr="00DA43E7" w:rsidRDefault="00000000" w:rsidP="00D16A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</m:oMath>
      </m:oMathPara>
    </w:p>
    <w:p w14:paraId="3526314A" w14:textId="6938D0C4" w:rsidR="00275FBA" w:rsidRDefault="00DA43E7" w:rsidP="00275FBA">
      <w:pPr>
        <w:rPr>
          <w:rFonts w:eastAsiaTheme="minorEastAsia"/>
        </w:rPr>
      </w:pPr>
      <w:r>
        <w:rPr>
          <w:rFonts w:eastAsiaTheme="minorEastAsia"/>
        </w:rPr>
        <w:t xml:space="preserve">Per stabilire il legame tra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σ</m:t>
            </m:r>
          </m:sup>
        </m:sSubSup>
      </m:oMath>
      <w:r>
        <w:rPr>
          <w:rFonts w:eastAsiaTheme="minorEastAsia"/>
        </w:rPr>
        <w:t xml:space="preserve"> 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</m:oMath>
      <w:r w:rsidR="00275FBA">
        <w:rPr>
          <w:rFonts w:eastAsiaTheme="minorEastAsia"/>
        </w:rPr>
        <w:t xml:space="preserve">, si moltiplica membro a membro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ρσ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</m:oMath>
      <w:r w:rsidR="00275FBA">
        <w:rPr>
          <w:rFonts w:eastAsiaTheme="minorEastAsia"/>
        </w:rPr>
        <w:t xml:space="preserve"> per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στ</m:t>
            </m:r>
          </m:sup>
        </m:sSup>
      </m:oMath>
    </w:p>
    <w:p w14:paraId="22CD7822" w14:textId="57C94A93" w:rsidR="00FB2553" w:rsidRPr="00FB2553" w:rsidRDefault="00000000" w:rsidP="00FB255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στ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τ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τ</m:t>
              </m:r>
            </m:sup>
          </m:sSubSup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τ</m:t>
              </m:r>
            </m:sup>
          </m:sSubSup>
        </m:oMath>
      </m:oMathPara>
    </w:p>
    <w:p w14:paraId="4A81C218" w14:textId="0C732608" w:rsidR="00FB2553" w:rsidRDefault="00FB2553" w:rsidP="00FB2553">
      <w:pPr>
        <w:rPr>
          <w:rFonts w:eastAsiaTheme="minorEastAsia"/>
        </w:rPr>
      </w:pPr>
      <w:r>
        <w:rPr>
          <w:rFonts w:eastAsiaTheme="minorEastAsia"/>
        </w:rPr>
        <w:t>Da cui</w:t>
      </w:r>
    </w:p>
    <w:p w14:paraId="24E7EC93" w14:textId="508C97AD" w:rsidR="00FB2553" w:rsidRPr="00EB3694" w:rsidRDefault="00000000" w:rsidP="00FB255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τ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τ</m:t>
              </m:r>
            </m:sup>
          </m:sSubSup>
        </m:oMath>
      </m:oMathPara>
    </w:p>
    <w:p w14:paraId="67B8D0BE" w14:textId="7AE05B74" w:rsidR="006B47F1" w:rsidRDefault="00EB3694" w:rsidP="006B47F1">
      <w:pPr>
        <w:rPr>
          <w:rFonts w:eastAsiaTheme="minorEastAsia"/>
        </w:rPr>
      </w:pPr>
      <w:r>
        <w:rPr>
          <w:rFonts w:eastAsiaTheme="minorEastAsia"/>
        </w:rPr>
        <w:t xml:space="preserve">Le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τ</m:t>
            </m:r>
          </m:sup>
        </m:sSubSup>
      </m:oMath>
      <w:r>
        <w:rPr>
          <w:rFonts w:eastAsiaTheme="minorEastAsia"/>
        </w:rPr>
        <w:t xml:space="preserve"> sono quindi gli elementi della matrice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>.</w:t>
      </w:r>
      <w:r w:rsidR="006B47F1">
        <w:rPr>
          <w:rFonts w:eastAsiaTheme="minorEastAsia"/>
        </w:rPr>
        <w:t xml:space="preserve"> Dunque, la relazione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σ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</m:oMath>
      <w:r w:rsidR="006B47F1">
        <w:rPr>
          <w:rFonts w:eastAsiaTheme="minorEastAsia"/>
        </w:rPr>
        <w:t xml:space="preserve"> diventa</w:t>
      </w:r>
    </w:p>
    <w:p w14:paraId="7676D7C9" w14:textId="4C466842" w:rsidR="006B47F1" w:rsidRPr="006B47F1" w:rsidRDefault="00000000" w:rsidP="006B47F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</m:oMath>
      </m:oMathPara>
    </w:p>
    <w:p w14:paraId="493B9B94" w14:textId="41E5F9AE" w:rsidR="006B47F1" w:rsidRDefault="00B50E63" w:rsidP="006B47F1">
      <w:pPr>
        <w:rPr>
          <w:rFonts w:eastAsiaTheme="minorEastAsia"/>
        </w:rPr>
      </w:pPr>
      <w:r>
        <w:rPr>
          <w:rFonts w:eastAsiaTheme="minorEastAsia"/>
        </w:rPr>
        <w:t xml:space="preserve">Da cui si osserva che le coordinate covarianti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si trasformano con la matrice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. Per i differenziali </w:t>
      </w:r>
      <m:oMath>
        <m:r>
          <w:rPr>
            <w:rFonts w:ascii="Cambria Math" w:eastAsiaTheme="minorEastAsia" w:hAnsi="Cambria Math"/>
          </w:rPr>
          <m:t>d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>
        <w:rPr>
          <w:rFonts w:eastAsiaTheme="minorEastAsia"/>
        </w:rPr>
        <w:t xml:space="preserve"> si ha</w:t>
      </w:r>
    </w:p>
    <w:p w14:paraId="0A0EBDB2" w14:textId="1BEFDBF9" w:rsidR="00B50E63" w:rsidRPr="00B50E63" w:rsidRDefault="00B50E63" w:rsidP="006B47F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</m:oMath>
      </m:oMathPara>
    </w:p>
    <w:p w14:paraId="7680B2A2" w14:textId="0C68CA15" w:rsidR="00B50E63" w:rsidRDefault="00B50E63" w:rsidP="006B47F1">
      <w:pPr>
        <w:rPr>
          <w:rFonts w:eastAsiaTheme="minorEastAsia"/>
        </w:rPr>
      </w:pPr>
      <w:r>
        <w:rPr>
          <w:rFonts w:eastAsiaTheme="minorEastAsia"/>
        </w:rPr>
        <w:t>Ovvero</w:t>
      </w:r>
    </w:p>
    <w:p w14:paraId="19AE00CA" w14:textId="387E87F7" w:rsidR="00B50E63" w:rsidRPr="00522CF5" w:rsidRDefault="00B50E63" w:rsidP="006B47F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σ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</m:oMath>
      </m:oMathPara>
    </w:p>
    <w:p w14:paraId="389396D5" w14:textId="77777777" w:rsidR="007F5C52" w:rsidRPr="00030021" w:rsidRDefault="007F5C52" w:rsidP="007F5C52">
      <w:pPr>
        <w:rPr>
          <w:b/>
          <w:bCs/>
          <w:sz w:val="28"/>
          <w:u w:val="single"/>
        </w:rPr>
      </w:pPr>
      <w:r w:rsidRPr="00030021">
        <w:rPr>
          <w:b/>
          <w:bCs/>
          <w:sz w:val="28"/>
          <w:u w:val="single"/>
        </w:rPr>
        <w:t>Classificazione delle TDLO:</w:t>
      </w:r>
    </w:p>
    <w:p w14:paraId="110E4D7C" w14:textId="77777777" w:rsidR="007F5C52" w:rsidRDefault="007F5C52" w:rsidP="007F5C52">
      <w:pPr>
        <w:rPr>
          <w:rFonts w:eastAsiaTheme="minorEastAsia"/>
        </w:rPr>
      </w:pPr>
      <w:r>
        <w:t xml:space="preserve">Una prima classificazione delle TDL si ricava sulla base del determinante delle matrici corrispondenti. Applicando il determinante alla relazione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=g</m:t>
        </m:r>
      </m:oMath>
      <w:r>
        <w:rPr>
          <w:rFonts w:eastAsiaTheme="minorEastAsia"/>
        </w:rPr>
        <w:t xml:space="preserve"> si ricava</w:t>
      </w:r>
    </w:p>
    <w:p w14:paraId="6CBF5B4C" w14:textId="77777777" w:rsidR="007F5C52" w:rsidRPr="005B0D0A" w:rsidRDefault="00000000" w:rsidP="007F5C5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gΛ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func>
          <m:r>
            <w:rPr>
              <w:rFonts w:ascii="Cambria Math" w:hAnsi="Cambria Math"/>
            </w:rPr>
            <m:t>⇒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d>
            </m:e>
          </m:func>
          <m:r>
            <w:rPr>
              <w:rFonts w:ascii="Cambria Math" w:hAnsi="Cambria Math"/>
            </w:rPr>
            <m:t>=±1</m:t>
          </m:r>
        </m:oMath>
      </m:oMathPara>
    </w:p>
    <w:p w14:paraId="7FA449E5" w14:textId="77777777" w:rsidR="003E1DEB" w:rsidRDefault="007F5C52" w:rsidP="007F5C52">
      <w:pPr>
        <w:rPr>
          <w:rFonts w:eastAsiaTheme="minorEastAsia"/>
        </w:rPr>
      </w:pPr>
      <w:r>
        <w:rPr>
          <w:rFonts w:eastAsiaTheme="minorEastAsia"/>
        </w:rPr>
        <w:t>Le TL con determinante +1 sono dette proprie. Le TDL con determinante -1 sono dette improprie.</w:t>
      </w:r>
      <w:r w:rsidR="003E1DEB">
        <w:rPr>
          <w:rFonts w:eastAsiaTheme="minorEastAsia"/>
        </w:rPr>
        <w:t xml:space="preserve"> </w:t>
      </w:r>
    </w:p>
    <w:p w14:paraId="7C8A9789" w14:textId="77777777" w:rsidR="003E1DEB" w:rsidRDefault="003E1DEB" w:rsidP="007F5C52">
      <w:pPr>
        <w:rPr>
          <w:rFonts w:eastAsiaTheme="minorEastAsia"/>
        </w:rPr>
      </w:pPr>
    </w:p>
    <w:p w14:paraId="1AF737A0" w14:textId="5CB3E5FA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Un’altra caratteristica delle TDL è il segno dell’elemento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, che compare nella relazione tra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'0</m:t>
            </m:r>
          </m:sup>
        </m:sSup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191DB8B7" w14:textId="77777777" w:rsidR="007F5C52" w:rsidRPr="00BC563A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'0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</m:oMath>
      </m:oMathPara>
    </w:p>
    <w:p w14:paraId="2443F1D0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 è positivo, allora il tempo non cambia segno; se invece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 è negativo, allora il tempo cambia segno, ovvero si verifica un’inversione temporale. Ponendo </w:t>
      </w:r>
      <m:oMath>
        <m:r>
          <w:rPr>
            <w:rFonts w:ascii="Cambria Math" w:eastAsiaTheme="minorEastAsia" w:hAnsi="Cambria Math"/>
          </w:rPr>
          <m:t>ρ=σ=0</m:t>
        </m:r>
      </m:oMath>
      <w:r>
        <w:rPr>
          <w:rFonts w:eastAsiaTheme="minorEastAsia"/>
        </w:rPr>
        <w:t xml:space="preserve"> nella relazione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ρσ</m:t>
            </m:r>
          </m:sub>
        </m:sSub>
      </m:oMath>
      <w:r>
        <w:rPr>
          <w:rFonts w:eastAsiaTheme="minorEastAsia"/>
        </w:rPr>
        <w:t xml:space="preserve"> si ottiene</w:t>
      </w:r>
    </w:p>
    <w:p w14:paraId="5DA08E47" w14:textId="77777777" w:rsidR="007F5C52" w:rsidRPr="00794FC1" w:rsidRDefault="00000000" w:rsidP="007F5C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</m:sSub>
        </m:oMath>
      </m:oMathPara>
    </w:p>
    <w:p w14:paraId="737F3233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Esplicitando il primo membro </w:t>
      </w:r>
    </w:p>
    <w:p w14:paraId="71B5CAC1" w14:textId="77777777" w:rsidR="007F5C52" w:rsidRPr="00794FC1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6630549C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>Da cui</w:t>
      </w:r>
    </w:p>
    <w:p w14:paraId="672AC04F" w14:textId="77777777" w:rsidR="007F5C52" w:rsidRPr="00794FC1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6E207628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>Dunque</w:t>
      </w:r>
    </w:p>
    <w:p w14:paraId="6E61C61A" w14:textId="77777777" w:rsidR="007F5C52" w:rsidRPr="00794FC1" w:rsidRDefault="00000000" w:rsidP="007F5C52">
      <w:pPr>
        <w:rPr>
          <w:rFonts w:eastAsiaTheme="minorEastAsia"/>
          <w:i/>
          <w:iCs w:val="0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 xml:space="preserve">1,  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≤-1</m:t>
          </m:r>
        </m:oMath>
      </m:oMathPara>
    </w:p>
    <w:p w14:paraId="37F9D11A" w14:textId="4FAE2AE1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Le TDL con </w:t>
      </w:r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sono dette ortocrone; le TDL con </w:t>
      </w:r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>≤-1</m:t>
        </m:r>
      </m:oMath>
      <w:r>
        <w:rPr>
          <w:rFonts w:eastAsiaTheme="minorEastAsia"/>
        </w:rPr>
        <w:t xml:space="preserve"> sono dette anticrone. Le TDL</w:t>
      </w:r>
      <w:r w:rsidR="00817483">
        <w:rPr>
          <w:rFonts w:eastAsiaTheme="minorEastAsia"/>
        </w:rPr>
        <w:t xml:space="preserve"> che</w:t>
      </w:r>
      <w:r>
        <w:rPr>
          <w:rFonts w:eastAsiaTheme="minorEastAsia"/>
        </w:rPr>
        <w:t xml:space="preserve"> sono proprie e ortocrone sono chiamate TDL ristrette, o speciali.</w:t>
      </w:r>
    </w:p>
    <w:p w14:paraId="05D79D74" w14:textId="77777777" w:rsidR="007F5C52" w:rsidRPr="00030021" w:rsidRDefault="007F5C52" w:rsidP="007F5C52">
      <w:pPr>
        <w:rPr>
          <w:rFonts w:eastAsiaTheme="minorEastAsia"/>
          <w:b/>
          <w:bCs/>
          <w:iCs w:val="0"/>
          <w:sz w:val="28"/>
          <w:u w:val="single"/>
        </w:rPr>
      </w:pPr>
      <w:r w:rsidRPr="00030021">
        <w:rPr>
          <w:rFonts w:eastAsiaTheme="minorEastAsia"/>
          <w:b/>
          <w:bCs/>
          <w:sz w:val="28"/>
          <w:u w:val="single"/>
        </w:rPr>
        <w:t xml:space="preserve">Calcolo tensoriale in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  <w:sz w:val="28"/>
            <w:u w:val="single"/>
          </w:rPr>
          <m:t>M</m:t>
        </m:r>
      </m:oMath>
      <w:r w:rsidRPr="00030021">
        <w:rPr>
          <w:rFonts w:eastAsiaTheme="minorEastAsia"/>
          <w:b/>
          <w:bCs/>
          <w:sz w:val="28"/>
          <w:u w:val="single"/>
        </w:rPr>
        <w:t>:</w:t>
      </w:r>
    </w:p>
    <w:p w14:paraId="3BC017CC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Il calcolo tensoriale ha a che fare con la ricerca di relazioni e quantità invarianti rispetto alle trasformazioni dei sistemi di coordinate. </w:t>
      </w:r>
    </w:p>
    <w:p w14:paraId="535DD0D7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t>Definizione (vettore controvariante e covariante):</w:t>
      </w:r>
    </w:p>
    <w:p w14:paraId="512198E1" w14:textId="77777777" w:rsidR="007F5C52" w:rsidRDefault="007F5C52" w:rsidP="007F5C52">
      <w:pPr>
        <w:pStyle w:val="Paragrafoelenco"/>
        <w:numPr>
          <w:ilvl w:val="0"/>
          <w:numId w:val="2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Un insieme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funzioni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è un vettore controvariante se 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>
        <w:rPr>
          <w:rFonts w:eastAsiaTheme="minorEastAsia"/>
        </w:rPr>
        <w:t xml:space="preserve"> si trasformano come</w:t>
      </w:r>
    </w:p>
    <w:p w14:paraId="10F2C23D" w14:textId="77777777" w:rsidR="007F5C52" w:rsidRPr="00B03645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'i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j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4C12511C" w14:textId="77777777" w:rsidR="007F5C52" w:rsidRDefault="007F5C52" w:rsidP="007F5C52">
      <w:pPr>
        <w:pStyle w:val="Paragrafoelenco"/>
        <w:numPr>
          <w:ilvl w:val="0"/>
          <w:numId w:val="2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Un insieme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funzioni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è un vettore covariante se 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si trasformano come</w:t>
      </w:r>
    </w:p>
    <w:p w14:paraId="4E8CDA01" w14:textId="6BE45C4D" w:rsidR="003E1DEB" w:rsidRPr="003E1DEB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'i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2A2C179F" w14:textId="0DBAB3B5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t>Definizione (tensore controvariante e covariante):</w:t>
      </w:r>
    </w:p>
    <w:p w14:paraId="7892FA83" w14:textId="1FFD2CAD" w:rsidR="007F5C52" w:rsidRDefault="007F5C52" w:rsidP="007F5C52">
      <w:pPr>
        <w:pStyle w:val="Paragrafoelenco"/>
        <w:numPr>
          <w:ilvl w:val="0"/>
          <w:numId w:val="4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Un insieme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 funzioni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ij…k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è un tensore controvariante se 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ij…k</m:t>
            </m:r>
          </m:sup>
        </m:sSup>
      </m:oMath>
      <w:r>
        <w:rPr>
          <w:rFonts w:eastAsiaTheme="minorEastAsia"/>
        </w:rPr>
        <w:t xml:space="preserve"> si trasformano come </w:t>
      </w:r>
    </w:p>
    <w:p w14:paraId="39A165EE" w14:textId="77777777" w:rsidR="007F5C52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ij…k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'i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l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'j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⋯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lm…n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6CBBB4D7" w14:textId="4EA79A13" w:rsidR="00D83351" w:rsidRDefault="007F5C52" w:rsidP="00D83351">
      <w:pPr>
        <w:pStyle w:val="Paragrafoelenco"/>
        <w:numPr>
          <w:ilvl w:val="0"/>
          <w:numId w:val="4"/>
        </w:numPr>
        <w:spacing w:line="259" w:lineRule="auto"/>
        <w:rPr>
          <w:rFonts w:eastAsiaTheme="minorEastAsia"/>
        </w:rPr>
      </w:pPr>
      <w:r w:rsidRPr="003B2557">
        <w:rPr>
          <w:rFonts w:eastAsiaTheme="minorEastAsia"/>
        </w:rPr>
        <w:t xml:space="preserve">Un insieme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 w:rsidRPr="003B2557">
        <w:rPr>
          <w:rFonts w:eastAsiaTheme="minorEastAsia"/>
        </w:rPr>
        <w:t xml:space="preserve"> funzioni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ij…k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3B2557">
        <w:rPr>
          <w:rFonts w:eastAsiaTheme="minorEastAsia"/>
        </w:rPr>
        <w:t xml:space="preserve">è un tensore </w:t>
      </w:r>
      <w:r>
        <w:rPr>
          <w:rFonts w:eastAsiaTheme="minorEastAsia"/>
        </w:rPr>
        <w:t xml:space="preserve">covariante </w:t>
      </w:r>
      <w:r w:rsidRPr="003B2557">
        <w:rPr>
          <w:rFonts w:eastAsiaTheme="minorEastAsia"/>
        </w:rPr>
        <w:t xml:space="preserve">se 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ij…k</m:t>
            </m:r>
          </m:sup>
        </m:sSup>
      </m:oMath>
      <w:r w:rsidRPr="003B2557">
        <w:rPr>
          <w:rFonts w:eastAsiaTheme="minorEastAsia"/>
        </w:rPr>
        <w:t xml:space="preserve"> si trasformano com</w:t>
      </w:r>
      <w:r w:rsidR="00D83351">
        <w:rPr>
          <w:rFonts w:eastAsiaTheme="minorEastAsia"/>
        </w:rPr>
        <w:t>e</w:t>
      </w:r>
    </w:p>
    <w:p w14:paraId="72AD903A" w14:textId="07DE0D95" w:rsidR="007F5C52" w:rsidRPr="00D83351" w:rsidRDefault="00000000" w:rsidP="00D83351">
      <w:pPr>
        <w:spacing w:line="259" w:lineRule="auto"/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ij…k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l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'i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'j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⋯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'k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lm…n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782F4FD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lastRenderedPageBreak/>
        <w:t>Definizione (tensore misto):</w:t>
      </w:r>
    </w:p>
    <w:p w14:paraId="45FD4163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Un tensore misto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volte controvariante e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volte covariante è un oggetto del tipo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la cui legge di trasformazione è</w:t>
      </w:r>
    </w:p>
    <w:p w14:paraId="1FC244A4" w14:textId="77777777" w:rsidR="007F5C52" w:rsidRPr="00A5530C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w:rPr>
              <w:rFonts w:ascii="Cambria Math" w:eastAsiaTheme="minorEastAsia" w:hAnsi="Cambria Math"/>
            </w:rPr>
            <m:t>⋯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sup>
              </m:sSup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w:rPr>
              <w:rFonts w:ascii="Cambria Math" w:eastAsiaTheme="minorEastAsia" w:hAnsi="Cambria Math"/>
            </w:rPr>
            <m:t>⋯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sub>
                  </m:sSub>
                </m:sup>
              </m:sSup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7ACFFA9A" w14:textId="77777777" w:rsidR="007F5C52" w:rsidRPr="003E1DEB" w:rsidRDefault="007F5C52" w:rsidP="007F5C52">
      <w:pPr>
        <w:rPr>
          <w:rFonts w:eastAsiaTheme="minorEastAsia"/>
          <w:u w:val="single"/>
        </w:rPr>
      </w:pPr>
      <w:r w:rsidRPr="003E1DEB">
        <w:rPr>
          <w:rFonts w:eastAsiaTheme="minorEastAsia"/>
          <w:u w:val="single"/>
        </w:rPr>
        <w:t>Osservazione:</w:t>
      </w:r>
    </w:p>
    <w:p w14:paraId="17CDDA89" w14:textId="77777777" w:rsidR="007F5C52" w:rsidRDefault="007F5C52" w:rsidP="007F5C52">
      <w:pPr>
        <w:pStyle w:val="Paragrafoelenco"/>
        <w:numPr>
          <w:ilvl w:val="0"/>
          <w:numId w:val="6"/>
        </w:numPr>
        <w:spacing w:line="259" w:lineRule="auto"/>
        <w:rPr>
          <w:rFonts w:eastAsiaTheme="minorEastAsia"/>
        </w:rPr>
      </w:pPr>
      <w:r w:rsidRPr="00517F56">
        <w:rPr>
          <w:rFonts w:eastAsiaTheme="minorEastAsia"/>
        </w:rPr>
        <w:t xml:space="preserve">Un tensore </w:t>
      </w:r>
      <m:oMath>
        <m:r>
          <w:rPr>
            <w:rFonts w:ascii="Cambria Math" w:eastAsiaTheme="minorEastAsia" w:hAnsi="Cambria Math"/>
          </w:rPr>
          <m:t>A</m:t>
        </m:r>
      </m:oMath>
      <w:r w:rsidRPr="00517F56">
        <w:rPr>
          <w:rFonts w:eastAsiaTheme="minorEastAsia"/>
        </w:rPr>
        <w:t xml:space="preserve"> di rango 0 è detto scalare. Rispetto ad una trasformazione di coordinate rimane invariato, ovvero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517F56">
        <w:rPr>
          <w:rFonts w:eastAsiaTheme="minorEastAsia"/>
        </w:rPr>
        <w:t>.</w:t>
      </w:r>
    </w:p>
    <w:p w14:paraId="4F458585" w14:textId="77777777" w:rsidR="007F5C52" w:rsidRDefault="007F5C52" w:rsidP="007F5C52">
      <w:pPr>
        <w:pStyle w:val="Paragrafoelenco"/>
        <w:numPr>
          <w:ilvl w:val="0"/>
          <w:numId w:val="6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Se due tensori sono uguali in un certo sistema di coordinate lo saranno in tutti </w:t>
      </w:r>
    </w:p>
    <w:p w14:paraId="392031A8" w14:textId="77777777" w:rsidR="007F5C52" w:rsidRPr="00517F56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ij…k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ij…k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ij…k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ij…k</m:t>
              </m:r>
            </m:sup>
          </m:sSup>
        </m:oMath>
      </m:oMathPara>
    </w:p>
    <w:p w14:paraId="231DDAEA" w14:textId="77777777" w:rsidR="007F5C52" w:rsidRPr="003E1DEB" w:rsidRDefault="007F5C52" w:rsidP="007F5C52">
      <w:pPr>
        <w:rPr>
          <w:rFonts w:eastAsiaTheme="minorEastAsia"/>
          <w:b/>
          <w:bCs/>
          <w:sz w:val="28"/>
          <w:u w:val="single"/>
        </w:rPr>
      </w:pPr>
      <w:r w:rsidRPr="003E1DEB">
        <w:rPr>
          <w:rFonts w:eastAsiaTheme="minorEastAsia"/>
          <w:b/>
          <w:bCs/>
          <w:sz w:val="28"/>
          <w:u w:val="single"/>
        </w:rPr>
        <w:t>Quadrivettori e quadritensori:</w:t>
      </w:r>
    </w:p>
    <w:p w14:paraId="4B641787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t>Definizione (quadrivettori controvarianti):</w:t>
      </w:r>
    </w:p>
    <w:p w14:paraId="59E76BAF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Un quadrivettore controvariante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è un insieme di quattro quantità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che per una trasformazione di Lorentz ristretta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'μ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ν</m:t>
            </m:r>
          </m:sup>
        </m:sSup>
      </m:oMath>
      <w:r>
        <w:rPr>
          <w:rFonts w:eastAsiaTheme="minorEastAsia"/>
        </w:rPr>
        <w:t xml:space="preserve">, si trasformano come </w:t>
      </w:r>
    </w:p>
    <w:p w14:paraId="1E1B0A05" w14:textId="77777777" w:rsidR="007F5C52" w:rsidRPr="00F01221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0E5C1572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Se 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sono funzioni delle coordinate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allora la relazione precedente va intesa come</w:t>
      </w:r>
    </w:p>
    <w:p w14:paraId="7DAF6FA8" w14:textId="77777777" w:rsidR="007F5C52" w:rsidRPr="00D53D8E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'μ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4E5B778B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</m:d>
      </m:oMath>
      <w:r>
        <w:rPr>
          <w:rFonts w:eastAsiaTheme="minorEastAsia"/>
        </w:rPr>
        <w:t xml:space="preserve">,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</m:oMath>
      <w:r>
        <w:rPr>
          <w:rFonts w:eastAsiaTheme="minorEastAsia"/>
        </w:rPr>
        <w:t>.</w:t>
      </w:r>
    </w:p>
    <w:p w14:paraId="2605DE8C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t>Definizione (quadrivettori covarianti):</w:t>
      </w:r>
    </w:p>
    <w:p w14:paraId="4A376C89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Un quadrivettore covariante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è un insieme di quattro quantità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che per una trasformazione di Lorentz ristretta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</m:sSub>
      </m:oMath>
      <w:r>
        <w:rPr>
          <w:rFonts w:eastAsiaTheme="minorEastAsia"/>
        </w:rPr>
        <w:t>, si trasformano come</w:t>
      </w:r>
    </w:p>
    <w:p w14:paraId="4B4BAF24" w14:textId="77777777" w:rsidR="007F5C52" w:rsidRPr="0073311A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)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</m:sSub>
        </m:oMath>
      </m:oMathPara>
    </w:p>
    <w:p w14:paraId="318ADD15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Il quadrivettore covariante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si ottiene moltiplicando il corrispondente quadrivettore controvariante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con il tensore metrico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</w:p>
    <w:p w14:paraId="375042C6" w14:textId="77777777" w:rsidR="007F5C52" w:rsidRPr="004C3712" w:rsidRDefault="00000000" w:rsidP="007F5C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</m:oMath>
      </m:oMathPara>
    </w:p>
    <w:p w14:paraId="1D1E7F19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>Inversamente si ha</w:t>
      </w:r>
    </w:p>
    <w:p w14:paraId="35FE9B67" w14:textId="77777777" w:rsidR="007F5C52" w:rsidRPr="004C3712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</m:sSub>
        </m:oMath>
      </m:oMathPara>
    </w:p>
    <w:p w14:paraId="039C968A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>Dalla relazione precedente si ricava che</w:t>
      </w:r>
    </w:p>
    <w:p w14:paraId="2947D0A0" w14:textId="77777777" w:rsidR="007F5C52" w:rsidRPr="00E370B8" w:rsidRDefault="00000000" w:rsidP="007F5C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431B4F36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E quindi </w:t>
      </w:r>
    </w:p>
    <w:p w14:paraId="09BA903B" w14:textId="77777777" w:rsidR="007F5C52" w:rsidRPr="0048437A" w:rsidRDefault="00000000" w:rsidP="007F5C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</m:oMath>
      </m:oMathPara>
    </w:p>
    <w:p w14:paraId="553BD118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lastRenderedPageBreak/>
        <w:t>Definizione (quadritensore misto):</w:t>
      </w:r>
    </w:p>
    <w:p w14:paraId="72D15F41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Un quadritensore di rango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è un insieme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grandezze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(con </w:t>
      </w:r>
      <m:oMath>
        <m:r>
          <w:rPr>
            <w:rFonts w:ascii="Cambria Math" w:eastAsiaTheme="minorEastAsia" w:hAnsi="Cambria Math"/>
          </w:rPr>
          <m:t>p+q=n</m:t>
        </m:r>
      </m:oMath>
      <w:r>
        <w:rPr>
          <w:rFonts w:eastAsiaTheme="minorEastAsia"/>
        </w:rPr>
        <w:t xml:space="preserve">) che per una TDL ristretta si trasforma come </w:t>
      </w:r>
    </w:p>
    <w:p w14:paraId="65404323" w14:textId="77777777" w:rsidR="007F5C52" w:rsidRPr="00625AF6" w:rsidRDefault="00000000" w:rsidP="007F5C52">
      <w:pPr>
        <w:rPr>
          <w:rFonts w:eastAsiaTheme="minorEastAsia"/>
          <w:i/>
          <w:iCs w:val="0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  <m:ctrlPr>
                <w:rPr>
                  <w:rFonts w:ascii="Cambria Math" w:eastAsiaTheme="minorEastAsia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</m:oMath>
      </m:oMathPara>
    </w:p>
    <w:p w14:paraId="6D5C7FBC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t>Definizione (quadritensore controvariante):</w:t>
      </w:r>
    </w:p>
    <w:p w14:paraId="109D5054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Un quadritensore di rango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completamente controvariante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p>
        </m:sSup>
      </m:oMath>
      <w:r>
        <w:rPr>
          <w:rFonts w:eastAsiaTheme="minorEastAsia"/>
        </w:rPr>
        <w:t xml:space="preserve"> si trasforma come</w:t>
      </w:r>
    </w:p>
    <w:p w14:paraId="7E1F51E5" w14:textId="77777777" w:rsidR="007F5C52" w:rsidRPr="000B5361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p>
        </m:oMath>
      </m:oMathPara>
    </w:p>
    <w:p w14:paraId="1295C4EA" w14:textId="77777777" w:rsidR="007F5C52" w:rsidRPr="003E1DEB" w:rsidRDefault="007F5C52" w:rsidP="007F5C52">
      <w:pPr>
        <w:rPr>
          <w:rFonts w:eastAsiaTheme="minorEastAsia"/>
          <w:b/>
          <w:bCs/>
        </w:rPr>
      </w:pPr>
      <w:r w:rsidRPr="003E1DEB">
        <w:rPr>
          <w:rFonts w:eastAsiaTheme="minorEastAsia"/>
          <w:b/>
          <w:bCs/>
        </w:rPr>
        <w:t>Definizione (quadritensore covariante):</w:t>
      </w:r>
    </w:p>
    <w:p w14:paraId="16B00F44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Un quadritensore di rango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completamente covariante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</m:oMath>
      <w:r>
        <w:rPr>
          <w:rFonts w:eastAsiaTheme="minorEastAsia"/>
        </w:rPr>
        <w:t xml:space="preserve"> si trasforma come</w:t>
      </w:r>
    </w:p>
    <w:p w14:paraId="7B465766" w14:textId="77777777" w:rsidR="007F5C52" w:rsidRPr="00707E46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5493F0FE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ab/>
        <w:t xml:space="preserve">Se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è una funzione tensoriale delle coordinate la sua legge di trasformazione è</w:t>
      </w:r>
    </w:p>
    <w:p w14:paraId="4A9133BD" w14:textId="77777777" w:rsidR="007F5C52" w:rsidRPr="00A436B3" w:rsidRDefault="00000000" w:rsidP="007F5C52">
      <w:pPr>
        <w:rPr>
          <w:rFonts w:eastAsiaTheme="minorEastAsia"/>
          <w:iCs w:val="0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  <m:ctrlPr>
                <w:rPr>
                  <w:rFonts w:ascii="Cambria Math" w:eastAsiaTheme="minorEastAsia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3F7AAFFA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Un quadritensore di rango 1 è un quadrivettore. Un quadritensore di rango 0 è uno scalare, che è invariante per TDL.</w:t>
      </w:r>
    </w:p>
    <w:p w14:paraId="60BDED40" w14:textId="461DAFC2" w:rsidR="007F5C52" w:rsidRDefault="007F5C52" w:rsidP="003E1DEB">
      <w:pPr>
        <w:ind w:firstLine="567"/>
        <w:rPr>
          <w:rFonts w:eastAsiaTheme="minorEastAsia"/>
          <w:iCs w:val="0"/>
        </w:rPr>
      </w:pPr>
      <w:r>
        <w:rPr>
          <w:rFonts w:eastAsiaTheme="minorEastAsia"/>
        </w:rPr>
        <w:t xml:space="preserve">Moltiplicando ambo i membri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ν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ρσ</m:t>
            </m:r>
          </m:sub>
        </m:sSub>
      </m:oMath>
      <w:r>
        <w:rPr>
          <w:rFonts w:eastAsiaTheme="minorEastAsia"/>
        </w:rPr>
        <w:t xml:space="preserve"> per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ρ</m:t>
            </m:r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λ</m:t>
            </m:r>
          </m:sub>
          <m:sup>
            <m:r>
              <w:rPr>
                <w:rFonts w:ascii="Cambria Math" w:eastAsiaTheme="minorEastAsia" w:hAnsi="Cambria Math"/>
              </w:rPr>
              <m:t>σ</m:t>
            </m:r>
          </m:sup>
        </m:sSubSup>
      </m:oMath>
      <w:r>
        <w:rPr>
          <w:rFonts w:eastAsiaTheme="minorEastAsia"/>
        </w:rPr>
        <w:t xml:space="preserve"> si ottiene</w:t>
      </w:r>
    </w:p>
    <w:p w14:paraId="71438B83" w14:textId="77777777" w:rsidR="007F5C52" w:rsidRPr="000B5361" w:rsidRDefault="00000000" w:rsidP="007F5C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τλ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ρ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</m:sSub>
        </m:oMath>
      </m:oMathPara>
    </w:p>
    <w:p w14:paraId="25A1F671" w14:textId="32B5E7CA" w:rsidR="003E1DEB" w:rsidRPr="003E1DEB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Da cui si trova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  <w:r>
        <w:rPr>
          <w:rFonts w:eastAsiaTheme="minorEastAsia"/>
        </w:rPr>
        <w:t xml:space="preserve"> è un quadritensore covariante rispetto (indipendente dal SDR). Analogamente,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 xml:space="preserve"> </m:t>
            </m:r>
          </m:sup>
        </m:sSup>
      </m:oMath>
      <w:r>
        <w:rPr>
          <w:rFonts w:eastAsiaTheme="minorEastAsia"/>
        </w:rPr>
        <w:t xml:space="preserve"> è un quadritensore controvariante (indipendente dal SDR).</w:t>
      </w:r>
    </w:p>
    <w:p w14:paraId="4A31CFEE" w14:textId="7599BAD8" w:rsidR="007F5C52" w:rsidRPr="003E1DEB" w:rsidRDefault="007F5C52" w:rsidP="007F5C52">
      <w:pPr>
        <w:rPr>
          <w:rFonts w:eastAsiaTheme="minorEastAsia"/>
          <w:u w:val="single"/>
        </w:rPr>
      </w:pPr>
      <w:r w:rsidRPr="003E1DEB">
        <w:rPr>
          <w:rFonts w:eastAsiaTheme="minorEastAsia"/>
          <w:u w:val="single"/>
        </w:rPr>
        <w:t>Proprietà tensori metrici:</w:t>
      </w:r>
    </w:p>
    <w:p w14:paraId="7402B9C5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I tensori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μν</m:t>
            </m:r>
          </m:sup>
        </m:sSup>
      </m:oMath>
      <w:r>
        <w:rPr>
          <w:rFonts w:eastAsiaTheme="minorEastAsia"/>
        </w:rPr>
        <w:t xml:space="preserve"> abbassano e innalzano gli indici rispettivamente. Ad esempio</w:t>
      </w:r>
    </w:p>
    <w:p w14:paraId="279DB261" w14:textId="77777777" w:rsidR="007F5C52" w:rsidRPr="00B47142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  <m:r>
                <m:rPr>
                  <m:lit/>
                </m:rP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μρ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b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νρ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ρσν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μν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ρσ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</m:oMath>
      </m:oMathPara>
    </w:p>
    <w:p w14:paraId="67D0F7CC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L’innalzamento o l’abbassamento dell’indice 0 di una delle componenti di un quadritensore non cambia il segno di quella componente </w:t>
      </w:r>
    </w:p>
    <w:p w14:paraId="56BF2EAA" w14:textId="77777777" w:rsidR="007F5C52" w:rsidRPr="00E61076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0μ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μ0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0ρσ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ρσ</m:t>
              </m:r>
            </m:sup>
          </m:sSubSup>
        </m:oMath>
      </m:oMathPara>
    </w:p>
    <w:p w14:paraId="7F6E1CA0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L’innalzamento o l’abbassamento di uno degli indici spaziali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produce un cambiamento di segno</w:t>
      </w:r>
    </w:p>
    <w:p w14:paraId="3E4D2368" w14:textId="77777777" w:rsidR="007F5C52" w:rsidRPr="00E61076" w:rsidRDefault="00000000" w:rsidP="007F5C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0i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ij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j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iρσ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ρσ</m:t>
              </m:r>
            </m:sup>
          </m:sSubSup>
        </m:oMath>
      </m:oMathPara>
    </w:p>
    <w:p w14:paraId="30541B3C" w14:textId="77777777" w:rsidR="007F5C52" w:rsidRDefault="007F5C52" w:rsidP="007F5C52">
      <w:pPr>
        <w:ind w:firstLine="567"/>
        <w:rPr>
          <w:rFonts w:eastAsiaTheme="minorEastAsia"/>
        </w:rPr>
      </w:pPr>
      <w:r>
        <w:rPr>
          <w:rFonts w:eastAsiaTheme="minorEastAsia"/>
        </w:rPr>
        <w:t>Secondo il principio di relatività ogni legge fisica deve essere covariante rispetto alle TDL. Ciò significa che deve avere una forma del tipo</w:t>
      </w:r>
    </w:p>
    <w:p w14:paraId="25A58718" w14:textId="77777777" w:rsidR="007F5C52" w:rsidRPr="00900D7A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</m:oMath>
      </m:oMathPara>
    </w:p>
    <w:p w14:paraId="5A3C6355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Oppure, analogamente, del tipo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 Per definizione le quantità dei due membri della relazione precedente si trasformano rispetto ad una TDL nello stesso modo. Quindi se l’uguaglianza è vera in un certo SDRI, allora sarà vera in tutti i SDRI. Analogamente, se il quadritensore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è nullo in un certo SDRI, allora sarà nullo in tutti i SDRI.</w:t>
      </w:r>
    </w:p>
    <w:p w14:paraId="59BB95E2" w14:textId="77777777" w:rsidR="007F5C52" w:rsidRPr="003E1DEB" w:rsidRDefault="007F5C52" w:rsidP="007F5C52">
      <w:pPr>
        <w:rPr>
          <w:rFonts w:eastAsiaTheme="minorEastAsia"/>
          <w:u w:val="single"/>
        </w:rPr>
      </w:pPr>
      <w:r w:rsidRPr="003E1DEB">
        <w:rPr>
          <w:rFonts w:eastAsiaTheme="minorEastAsia"/>
          <w:u w:val="single"/>
        </w:rPr>
        <w:t>Regole per scrivere una relazione tensoriale:</w:t>
      </w:r>
    </w:p>
    <w:p w14:paraId="0C71EF6C" w14:textId="77777777" w:rsidR="007F5C52" w:rsidRDefault="007F5C52" w:rsidP="007F5C52">
      <w:pPr>
        <w:pStyle w:val="Paragrafoelenco"/>
        <w:numPr>
          <w:ilvl w:val="0"/>
          <w:numId w:val="8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>U</w:t>
      </w:r>
      <w:r w:rsidRPr="00F554C6">
        <w:rPr>
          <w:rFonts w:eastAsiaTheme="minorEastAsia"/>
        </w:rPr>
        <w:t>n indice non può apparire più di due volte nello stesso membro di un'equazione</w:t>
      </w:r>
      <w:r>
        <w:rPr>
          <w:rFonts w:eastAsiaTheme="minorEastAsia"/>
        </w:rPr>
        <w:t>.</w:t>
      </w:r>
    </w:p>
    <w:p w14:paraId="09FAC06E" w14:textId="77777777" w:rsidR="007F5C52" w:rsidRDefault="007F5C52" w:rsidP="007F5C52">
      <w:pPr>
        <w:pStyle w:val="Paragrafoelenco"/>
        <w:numPr>
          <w:ilvl w:val="0"/>
          <w:numId w:val="8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>Se un</w:t>
      </w:r>
      <w:r w:rsidRPr="00F554C6">
        <w:rPr>
          <w:rFonts w:eastAsiaTheme="minorEastAsia"/>
        </w:rPr>
        <w:t xml:space="preserve"> indice appare due volte nello stesso membro di un'equazione deve essere una volta contro variante </w:t>
      </w:r>
      <w:r>
        <w:rPr>
          <w:rFonts w:eastAsiaTheme="minorEastAsia"/>
        </w:rPr>
        <w:t>(</w:t>
      </w:r>
      <w:r w:rsidRPr="00F554C6">
        <w:rPr>
          <w:rFonts w:eastAsiaTheme="minorEastAsia"/>
        </w:rPr>
        <w:t>in alto</w:t>
      </w:r>
      <w:r>
        <w:rPr>
          <w:rFonts w:eastAsiaTheme="minorEastAsia"/>
        </w:rPr>
        <w:t>)</w:t>
      </w:r>
      <w:r w:rsidRPr="00F554C6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 w:rsidRPr="00F554C6">
        <w:rPr>
          <w:rFonts w:eastAsiaTheme="minorEastAsia"/>
        </w:rPr>
        <w:t xml:space="preserve"> una volta contro variante </w:t>
      </w:r>
      <w:r>
        <w:rPr>
          <w:rFonts w:eastAsiaTheme="minorEastAsia"/>
        </w:rPr>
        <w:t>(</w:t>
      </w:r>
      <w:r w:rsidRPr="00F554C6">
        <w:rPr>
          <w:rFonts w:eastAsiaTheme="minorEastAsia"/>
        </w:rPr>
        <w:t>in basso</w:t>
      </w:r>
      <w:r>
        <w:rPr>
          <w:rFonts w:eastAsiaTheme="minorEastAsia"/>
        </w:rPr>
        <w:t>). L</w:t>
      </w:r>
      <w:r w:rsidRPr="00F554C6">
        <w:rPr>
          <w:rFonts w:eastAsiaTheme="minorEastAsia"/>
        </w:rPr>
        <w:t>'indice viene detto indice mut</w:t>
      </w:r>
      <w:r>
        <w:rPr>
          <w:rFonts w:eastAsiaTheme="minorEastAsia"/>
        </w:rPr>
        <w:t>o</w:t>
      </w:r>
      <w:r w:rsidRPr="00F554C6">
        <w:rPr>
          <w:rFonts w:eastAsiaTheme="minorEastAsia"/>
        </w:rPr>
        <w:t xml:space="preserve"> o contratto di sottintende una somma su di esso</w:t>
      </w:r>
      <w:r>
        <w:rPr>
          <w:rFonts w:eastAsiaTheme="minorEastAsia"/>
        </w:rPr>
        <w:t>. A</w:t>
      </w:r>
      <w:r w:rsidRPr="00F554C6">
        <w:rPr>
          <w:rFonts w:eastAsiaTheme="minorEastAsia"/>
        </w:rPr>
        <w:t xml:space="preserve"> un indice mutuo si può sempre cambiare nome</w:t>
      </w:r>
      <w:r>
        <w:rPr>
          <w:rFonts w:eastAsiaTheme="minorEastAsia"/>
        </w:rPr>
        <w:t>.</w:t>
      </w:r>
    </w:p>
    <w:p w14:paraId="73B4E64B" w14:textId="77777777" w:rsidR="007F5C52" w:rsidRDefault="007F5C52" w:rsidP="007F5C52">
      <w:pPr>
        <w:pStyle w:val="Paragrafoelenco"/>
        <w:numPr>
          <w:ilvl w:val="0"/>
          <w:numId w:val="8"/>
        </w:numPr>
        <w:spacing w:line="259" w:lineRule="auto"/>
        <w:rPr>
          <w:rFonts w:eastAsiaTheme="minorEastAsia"/>
        </w:rPr>
      </w:pPr>
      <w:r w:rsidRPr="00F554C6">
        <w:rPr>
          <w:rFonts w:eastAsiaTheme="minorEastAsia"/>
        </w:rPr>
        <w:t>Un indice che appare una sola volta nello stesso membro di un'equazione non è sommato e viene detto indice libero</w:t>
      </w:r>
      <w:r>
        <w:rPr>
          <w:rFonts w:eastAsiaTheme="minorEastAsia"/>
        </w:rPr>
        <w:t xml:space="preserve">. </w:t>
      </w:r>
      <w:r w:rsidRPr="00F554C6">
        <w:rPr>
          <w:rFonts w:eastAsiaTheme="minorEastAsia"/>
        </w:rPr>
        <w:t>Gli indici liberi nei due membri di un'equazione devono essere in numero uguale e avere lo stesso nome</w:t>
      </w:r>
      <w:r>
        <w:rPr>
          <w:rFonts w:eastAsiaTheme="minorEastAsia"/>
        </w:rPr>
        <w:t>.</w:t>
      </w:r>
    </w:p>
    <w:p w14:paraId="7DF3BD22" w14:textId="77777777" w:rsidR="007F5C52" w:rsidRPr="003E1DEB" w:rsidRDefault="007F5C52" w:rsidP="007F5C52">
      <w:pPr>
        <w:rPr>
          <w:rFonts w:eastAsiaTheme="minorEastAsia"/>
          <w:u w:val="single"/>
        </w:rPr>
      </w:pPr>
      <w:r w:rsidRPr="003E1DEB">
        <w:rPr>
          <w:rFonts w:eastAsiaTheme="minorEastAsia"/>
          <w:u w:val="single"/>
        </w:rPr>
        <w:t>Proprietà quadritensori:</w:t>
      </w:r>
    </w:p>
    <w:p w14:paraId="0AABC527" w14:textId="77777777" w:rsidR="007F5C52" w:rsidRDefault="007F5C52" w:rsidP="007F5C52">
      <w:pPr>
        <w:pStyle w:val="Paragrafoelenco"/>
        <w:numPr>
          <w:ilvl w:val="0"/>
          <w:numId w:val="9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Una combinazione lineare di quadritensori di ugual tipo, </w:t>
      </w:r>
      <m:oMath>
        <m:r>
          <w:rPr>
            <w:rFonts w:ascii="Cambria Math" w:eastAsiaTheme="minorEastAsia" w:hAnsi="Cambria Math"/>
          </w:rPr>
          <m:t>α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+β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α,β</m:t>
        </m:r>
      </m:oMath>
      <w:r>
        <w:rPr>
          <w:rFonts w:eastAsiaTheme="minorEastAsia"/>
        </w:rPr>
        <w:t xml:space="preserve"> scalari, è un quadritensore dello stesso tipo.</w:t>
      </w:r>
    </w:p>
    <w:p w14:paraId="7AB7301F" w14:textId="77777777" w:rsidR="007F5C52" w:rsidRDefault="007F5C52" w:rsidP="007F5C52">
      <w:pPr>
        <w:pStyle w:val="Paragrafoelenco"/>
        <w:numPr>
          <w:ilvl w:val="0"/>
          <w:numId w:val="9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Se un indice controvariante e un indice covariante di un quadritensore di tipo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p,q</m:t>
            </m:r>
          </m:e>
        </m:d>
      </m:oMath>
      <w:r>
        <w:rPr>
          <w:rFonts w:eastAsiaTheme="minorEastAsia"/>
        </w:rPr>
        <w:t xml:space="preserve"> vengono contratti, si ottiene un quadritensore di tipo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p-1,q-1</m:t>
            </m:r>
          </m:e>
        </m:d>
      </m:oMath>
      <w:r>
        <w:rPr>
          <w:rFonts w:eastAsiaTheme="minorEastAsia"/>
        </w:rPr>
        <w:t xml:space="preserve">. Ad esempio, dato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, contraendo il primo indice, si ottiene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, che è un quadritensore </w:t>
      </w:r>
      <m:oMath>
        <m:r>
          <w:rPr>
            <w:rFonts w:ascii="Cambria Math" w:eastAsiaTheme="minorEastAsia" w:hAnsi="Cambria Math"/>
          </w:rPr>
          <m:t>p-1</m:t>
        </m:r>
      </m:oMath>
      <w:r>
        <w:rPr>
          <w:rFonts w:eastAsiaTheme="minorEastAsia"/>
        </w:rPr>
        <w:t xml:space="preserve"> controvariante e </w:t>
      </w:r>
      <m:oMath>
        <m:r>
          <w:rPr>
            <w:rFonts w:ascii="Cambria Math" w:eastAsiaTheme="minorEastAsia" w:hAnsi="Cambria Math"/>
          </w:rPr>
          <m:t>q-1</m:t>
        </m:r>
      </m:oMath>
      <w:r>
        <w:rPr>
          <w:rFonts w:eastAsiaTheme="minorEastAsia"/>
        </w:rPr>
        <w:t xml:space="preserve"> volte covariante.</w:t>
      </w:r>
    </w:p>
    <w:p w14:paraId="60BE15FD" w14:textId="77777777" w:rsidR="007F5C52" w:rsidRDefault="007F5C52" w:rsidP="007F5C52">
      <w:pPr>
        <w:pStyle w:val="Paragrafoelenco"/>
        <w:numPr>
          <w:ilvl w:val="0"/>
          <w:numId w:val="9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Dati due quadritensori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, il prodotto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sup>
        </m:sSubSup>
      </m:oMath>
      <w:r>
        <w:rPr>
          <w:rFonts w:eastAsiaTheme="minorEastAsia"/>
        </w:rPr>
        <w:t xml:space="preserve"> è un quadritensore di tipo </w:t>
      </w:r>
      <m:oMath>
        <m:r>
          <w:rPr>
            <w:rFonts w:ascii="Cambria Math" w:eastAsiaTheme="minorEastAsia" w:hAnsi="Cambria Math"/>
          </w:rPr>
          <m:t>(p+r,q+s)</m:t>
        </m:r>
      </m:oMath>
      <w:r>
        <w:rPr>
          <w:rFonts w:eastAsiaTheme="minorEastAsia"/>
        </w:rPr>
        <w:t xml:space="preserve">. Se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indici controvarianti sono contratti con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indici covarianti, si ottiene un quadritensore di tipo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p+r-n,q+s-n</m:t>
            </m:r>
          </m:e>
        </m:d>
      </m:oMath>
      <w:r>
        <w:rPr>
          <w:rFonts w:eastAsiaTheme="minorEastAsia"/>
        </w:rPr>
        <w:t>.</w:t>
      </w:r>
    </w:p>
    <w:p w14:paraId="775E6725" w14:textId="77777777" w:rsidR="007F5C52" w:rsidRPr="001B5869" w:rsidRDefault="007F5C52" w:rsidP="007F5C52">
      <w:pPr>
        <w:rPr>
          <w:rFonts w:eastAsiaTheme="minorEastAsia"/>
          <w:b/>
          <w:bCs/>
          <w:sz w:val="28"/>
          <w:u w:val="single"/>
        </w:rPr>
      </w:pPr>
      <w:r w:rsidRPr="001B5869">
        <w:rPr>
          <w:rFonts w:eastAsiaTheme="minorEastAsia"/>
          <w:b/>
          <w:bCs/>
          <w:sz w:val="28"/>
          <w:u w:val="single"/>
        </w:rPr>
        <w:t>Pseudotensori e il simbolo di Levi-Civita:</w:t>
      </w:r>
    </w:p>
    <w:p w14:paraId="7BA7E748" w14:textId="77777777" w:rsidR="007F5C52" w:rsidRDefault="007F5C52" w:rsidP="007F5C52">
      <w:pPr>
        <w:rPr>
          <w:rFonts w:eastAsiaTheme="minorEastAsia"/>
        </w:rPr>
      </w:pPr>
      <w:r>
        <w:rPr>
          <w:rFonts w:eastAsiaTheme="minorEastAsia"/>
        </w:rPr>
        <w:t xml:space="preserve">I quadritensori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sono stati definiti in riferimento alle TDL ristette (proprie e ortocrone). Consideriamo ora delle TDL ortocrone, ma non necessariamente proprie. Questa classe di trasformazioni include l’inversione spaziale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e combinazioni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con boost e rotazioni. Un’oggetto del tipo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che, per un TDL ortocrona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>, si trasforma come</w:t>
      </w:r>
    </w:p>
    <w:p w14:paraId="7360A446" w14:textId="77777777" w:rsidR="007F5C52" w:rsidRPr="00991043" w:rsidRDefault="00000000" w:rsidP="007F5C5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func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⋯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sup>
          </m:sSubSup>
        </m:oMath>
      </m:oMathPara>
    </w:p>
    <w:p w14:paraId="5D8AF9A7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È detto pseudotensore. Un quadritensore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che si trasforma come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eastAsiaTheme="minorEastAsia" w:hAnsi="Cambria Math"/>
          </w:rPr>
          <m:t>⋯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  <m:r>
          <m:rPr>
            <m:sty m:val="p"/>
          </m:rP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eastAsiaTheme="minorEastAsia" w:hAnsi="Cambria Math"/>
          </w:rPr>
          <m:t>⋯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  <m:ctrlPr>
              <w:rPr>
                <w:rFonts w:ascii="Cambria Math" w:eastAsiaTheme="minorEastAsia" w:hAnsi="Cambria Math"/>
              </w:rPr>
            </m:ctrlP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p>
        </m:sSubSup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sup>
        </m:sSubSup>
      </m:oMath>
      <w:r>
        <w:rPr>
          <w:rFonts w:eastAsiaTheme="minorEastAsia"/>
        </w:rPr>
        <w:t xml:space="preserve"> è detto quadritensore proprio. La differenza tra quadritensori proprio e pseudotensori emerge quando si considerano TDL che incorporano un’inversione spaziale, per le quali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</m:d>
          </m:e>
        </m:func>
        <m:r>
          <w:rPr>
            <w:rFonts w:ascii="Cambria Math" w:eastAsiaTheme="minorEastAsia" w:hAnsi="Cambria Math"/>
          </w:rPr>
          <m:t>=-1</m:t>
        </m:r>
      </m:oMath>
      <w:r>
        <w:rPr>
          <w:rFonts w:eastAsiaTheme="minorEastAsia"/>
        </w:rPr>
        <w:t xml:space="preserve">. </w:t>
      </w:r>
    </w:p>
    <w:p w14:paraId="54766B24" w14:textId="77777777" w:rsidR="00354ECE" w:rsidRDefault="00354ECE" w:rsidP="007F5C52">
      <w:pPr>
        <w:rPr>
          <w:rFonts w:eastAsiaTheme="minorEastAsia"/>
        </w:rPr>
      </w:pPr>
    </w:p>
    <w:p w14:paraId="3BFFEF62" w14:textId="77777777" w:rsidR="00354ECE" w:rsidRDefault="00354ECE" w:rsidP="007F5C52">
      <w:pPr>
        <w:rPr>
          <w:rFonts w:eastAsiaTheme="minorEastAsia"/>
        </w:rPr>
      </w:pPr>
    </w:p>
    <w:p w14:paraId="37986EFC" w14:textId="5DF931FF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lastRenderedPageBreak/>
        <w:t xml:space="preserve">Uno pseudovettore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si trasforma come</w:t>
      </w:r>
    </w:p>
    <w:p w14:paraId="6DE681ED" w14:textId="77777777" w:rsidR="007F5C52" w:rsidRPr="00343678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</m:func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ν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3F134CC5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Per un’inversione degli assi si ha </w:t>
      </w:r>
    </w:p>
    <w:p w14:paraId="6274FC27" w14:textId="77777777" w:rsidR="007F5C52" w:rsidRPr="00343678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</m:oMath>
      </m:oMathPara>
    </w:p>
    <w:p w14:paraId="3CFA5529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Per un quadrivettore proprio invece</w:t>
      </w:r>
    </w:p>
    <w:p w14:paraId="6AA1DC6F" w14:textId="77777777" w:rsidR="007F5C52" w:rsidRPr="001907BC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</m:oMath>
      </m:oMathPara>
    </w:p>
    <w:p w14:paraId="5E9286A8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Si introduca ora il Simbolo di Levi-Civita (SDLC)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μνρσ</m:t>
            </m:r>
          </m:sup>
        </m:sSup>
      </m:oMath>
      <w:r>
        <w:rPr>
          <w:rFonts w:eastAsiaTheme="minorEastAsia"/>
        </w:rPr>
        <w:t xml:space="preserve">, che è uno pseudotensore completamente antisimmetrico. Le sue componenti con due o più indici uguali sono nulle, le altre valgono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>. In particolare</w:t>
      </w:r>
    </w:p>
    <w:p w14:paraId="3644D04C" w14:textId="77777777" w:rsidR="007F5C52" w:rsidRPr="009A265B" w:rsidRDefault="00000000" w:rsidP="007F5C52">
      <w:pPr>
        <w:jc w:val="center"/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0123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0123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8F7B15B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Le componenti che si ottengono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0123</m:t>
            </m:r>
          </m:sup>
        </m:sSup>
      </m:oMath>
      <w:r>
        <w:rPr>
          <w:rFonts w:eastAsiaTheme="minorEastAsia"/>
        </w:rPr>
        <w:t xml:space="preserve"> con un numero pari di permutazioni valgono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, quelle con un numero dispari valgono </w:t>
      </w:r>
      <m:oMath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>. Ad esempio</w:t>
      </w:r>
    </w:p>
    <w:p w14:paraId="215B96F3" w14:textId="77777777" w:rsidR="007F5C52" w:rsidRPr="0091247A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0321</m:t>
              </m:r>
            </m:sup>
          </m:sSup>
          <m:r>
            <w:rPr>
              <w:rFonts w:ascii="Cambria Math" w:eastAsiaTheme="minorEastAsia" w:hAnsi="Cambria Math"/>
            </w:rPr>
            <m:t xml:space="preserve">=-1,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1032</m:t>
              </m:r>
            </m:sup>
          </m:sSup>
          <m:r>
            <w:rPr>
              <w:rFonts w:ascii="Cambria Math" w:eastAsiaTheme="minorEastAsia" w:hAnsi="Cambria Math"/>
            </w:rPr>
            <m:t xml:space="preserve">=1,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130</m:t>
              </m:r>
            </m:sup>
          </m:sSubSup>
          <m:r>
            <w:rPr>
              <w:rFonts w:ascii="Cambria Math" w:eastAsiaTheme="minorEastAsia" w:hAnsi="Cambria Math"/>
            </w:rPr>
            <m:t>=-1</m:t>
          </m:r>
        </m:oMath>
      </m:oMathPara>
    </w:p>
    <w:p w14:paraId="00859AD0" w14:textId="51DA85E9" w:rsidR="007F5C52" w:rsidRPr="0091247A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Il numero di componenti non nulle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μνρσ</m:t>
            </m:r>
          </m:sup>
        </m:sSup>
      </m:oMath>
      <w:r>
        <w:rPr>
          <w:rFonts w:eastAsiaTheme="minorEastAsia"/>
        </w:rPr>
        <w:t xml:space="preserve"> è24, quindi</w:t>
      </w:r>
      <w:r w:rsidR="003E1DEB">
        <w:rPr>
          <w:rFonts w:eastAsiaTheme="minorEastAsia"/>
          <w:iCs w:val="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μνρσ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μνρσ</m:t>
            </m:r>
          </m:sub>
        </m:sSub>
        <m:r>
          <w:rPr>
            <w:rFonts w:ascii="Cambria Math" w:eastAsiaTheme="minorEastAsia" w:hAnsi="Cambria Math"/>
          </w:rPr>
          <m:t>=-24</m:t>
        </m:r>
      </m:oMath>
      <w:r w:rsidR="00324BB0">
        <w:rPr>
          <w:rFonts w:eastAsiaTheme="minorEastAsia"/>
        </w:rPr>
        <w:t>.</w:t>
      </w:r>
    </w:p>
    <w:p w14:paraId="2090D337" w14:textId="77777777" w:rsidR="007F5C52" w:rsidRPr="003E1DEB" w:rsidRDefault="007F5C52" w:rsidP="007F5C52">
      <w:pPr>
        <w:rPr>
          <w:rFonts w:eastAsiaTheme="minorEastAsia"/>
          <w:iCs w:val="0"/>
          <w:u w:val="single"/>
        </w:rPr>
      </w:pPr>
      <w:r w:rsidRPr="003E1DEB">
        <w:rPr>
          <w:rFonts w:eastAsiaTheme="minorEastAsia"/>
          <w:u w:val="single"/>
        </w:rPr>
        <w:t>Identità del SDLC:</w:t>
      </w:r>
    </w:p>
    <w:p w14:paraId="6F039A8E" w14:textId="77777777" w:rsidR="007F5C52" w:rsidRDefault="00000000" w:rsidP="007F5C52">
      <w:pPr>
        <w:pStyle w:val="Paragrafoelenco"/>
        <w:numPr>
          <w:ilvl w:val="0"/>
          <w:numId w:val="11"/>
        </w:numPr>
        <w:spacing w:line="259" w:lineRule="auto"/>
        <w:jc w:val="left"/>
        <w:rPr>
          <w:rFonts w:eastAsiaTheme="minorEastAsia"/>
          <w:iCs w:val="0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μνρσ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λτρσ</m:t>
            </m:r>
          </m:sub>
        </m:sSub>
        <m:r>
          <w:rPr>
            <w:rFonts w:ascii="Cambria Math" w:eastAsiaTheme="minorEastAsia" w:hAnsi="Cambria Math"/>
          </w:rPr>
          <m:t>=-2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λ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μ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ν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μ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λ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ν</m:t>
                </m:r>
              </m:sup>
            </m:sSubSup>
          </m:e>
        </m:d>
      </m:oMath>
      <w:r w:rsidR="007F5C52">
        <w:rPr>
          <w:rFonts w:eastAsiaTheme="minorEastAsia"/>
        </w:rPr>
        <w:t>.</w:t>
      </w:r>
    </w:p>
    <w:p w14:paraId="784D1A0E" w14:textId="77777777" w:rsidR="007F5C52" w:rsidRDefault="00000000" w:rsidP="007F5C52">
      <w:pPr>
        <w:pStyle w:val="Paragrafoelenco"/>
        <w:numPr>
          <w:ilvl w:val="0"/>
          <w:numId w:val="11"/>
        </w:numPr>
        <w:spacing w:line="259" w:lineRule="auto"/>
        <w:jc w:val="left"/>
        <w:rPr>
          <w:rFonts w:eastAsiaTheme="minorEastAsia"/>
          <w:iCs w:val="0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μνρσ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λνρσ</m:t>
            </m:r>
          </m:sub>
        </m:sSub>
        <m:r>
          <w:rPr>
            <w:rFonts w:ascii="Cambria Math" w:eastAsiaTheme="minorEastAsia" w:hAnsi="Cambria Math"/>
          </w:rPr>
          <m:t>=-6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λ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</m:oMath>
      <w:r w:rsidR="007F5C52">
        <w:rPr>
          <w:rFonts w:eastAsiaTheme="minorEastAsia"/>
        </w:rPr>
        <w:t>.</w:t>
      </w:r>
    </w:p>
    <w:p w14:paraId="40ED72DD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Il determinante di una qualsiasi matrice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quadridimensionale è</w:t>
      </w:r>
    </w:p>
    <w:p w14:paraId="705C51CA" w14:textId="77777777" w:rsidR="007F5C52" w:rsidRPr="003B25EE" w:rsidRDefault="00000000" w:rsidP="007F5C52">
      <w:pPr>
        <w:rPr>
          <w:rFonts w:eastAsiaTheme="minorEastAsia"/>
          <w:iCs w:val="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μνρσ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</m:oMath>
      </m:oMathPara>
    </w:p>
    <w:p w14:paraId="20BA937E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Se si considera la matrice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si ha</w:t>
      </w:r>
    </w:p>
    <w:p w14:paraId="30B90BD6" w14:textId="77777777" w:rsidR="007F5C52" w:rsidRPr="003B25EE" w:rsidRDefault="00000000" w:rsidP="007F5C52">
      <w:pPr>
        <w:rPr>
          <w:rFonts w:eastAsiaTheme="minorEastAsia"/>
          <w:iCs w:val="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μνρσ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</m:oMath>
      </m:oMathPara>
    </w:p>
    <w:p w14:paraId="4607DA06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Da cui moltiplicando ad ambo i membri per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0123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det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</m:func>
          </m:e>
        </m:d>
      </m:oMath>
      <w:r>
        <w:rPr>
          <w:rFonts w:eastAsiaTheme="minorEastAsia"/>
        </w:rPr>
        <w:t xml:space="preserve"> si ottiene</w:t>
      </w:r>
    </w:p>
    <w:p w14:paraId="3643E462" w14:textId="77777777" w:rsidR="007F5C52" w:rsidRPr="003B25EE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0123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func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μνρσ</m:t>
              </m:r>
            </m:sup>
          </m:sSup>
        </m:oMath>
      </m:oMathPara>
    </w:p>
    <w:p w14:paraId="659D5306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Che si può estendere a tutte le componenti del SDLC</w:t>
      </w:r>
    </w:p>
    <w:p w14:paraId="5F86FBB3" w14:textId="77777777" w:rsidR="007F5C52" w:rsidRPr="00CA16A9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αβγδ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func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ν</m:t>
              </m:r>
            </m:sub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  <m:sup>
              <m:r>
                <w:rPr>
                  <w:rFonts w:ascii="Cambria Math" w:eastAsiaTheme="minorEastAsia" w:hAnsi="Cambria Math"/>
                </w:rPr>
                <m:t>δ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μνρσ</m:t>
              </m:r>
            </m:sup>
          </m:sSup>
        </m:oMath>
      </m:oMathPara>
    </w:p>
    <w:p w14:paraId="5872D8CB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Questa relazione mostra che il SDLC è uno pseudotensore.</w:t>
      </w:r>
    </w:p>
    <w:p w14:paraId="48F3CA9F" w14:textId="77777777" w:rsidR="007F5C52" w:rsidRPr="003E1DEB" w:rsidRDefault="007F5C52" w:rsidP="007F5C52">
      <w:pPr>
        <w:rPr>
          <w:rFonts w:eastAsiaTheme="minorEastAsia"/>
          <w:iCs w:val="0"/>
          <w:u w:val="single"/>
        </w:rPr>
      </w:pPr>
      <w:r w:rsidRPr="003E1DEB">
        <w:rPr>
          <w:rFonts w:eastAsiaTheme="minorEastAsia"/>
          <w:u w:val="single"/>
        </w:rPr>
        <w:t>Osservazione:</w:t>
      </w:r>
    </w:p>
    <w:p w14:paraId="31D3C7E4" w14:textId="65DDD606" w:rsidR="003E1DEB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Definendo</w:t>
      </w:r>
      <w:r w:rsidR="00324BB0">
        <w:rPr>
          <w:rFonts w:eastAsiaTheme="minorEastAsia"/>
          <w:iCs w:val="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ω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c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ω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c</m:t>
                </m:r>
              </m:den>
            </m:f>
            <m:r>
              <w:rPr>
                <w:rFonts w:ascii="Cambria Math" w:eastAsiaTheme="minorEastAsia" w:hAnsi="Cambria Math"/>
              </w:rPr>
              <m:t>,-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 w:rsidR="00324BB0">
        <w:rPr>
          <w:rFonts w:eastAsiaTheme="minorEastAsia"/>
          <w:iCs w:val="0"/>
        </w:rPr>
        <w:t xml:space="preserve">, </w:t>
      </w:r>
      <w:r w:rsidR="00324BB0">
        <w:rPr>
          <w:rFonts w:eastAsiaTheme="minorEastAsia"/>
        </w:rPr>
        <w:t>s</w:t>
      </w:r>
      <w:r>
        <w:rPr>
          <w:rFonts w:eastAsiaTheme="minorEastAsia"/>
        </w:rPr>
        <w:t>i trova che</w:t>
      </w:r>
    </w:p>
    <w:p w14:paraId="504D2298" w14:textId="3A350DF1" w:rsidR="003E1DEB" w:rsidRPr="003E1DEB" w:rsidRDefault="00000000" w:rsidP="007F5C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ct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=ωt-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=ϕ</m:t>
          </m:r>
        </m:oMath>
      </m:oMathPara>
    </w:p>
    <w:p w14:paraId="75030596" w14:textId="77777777" w:rsidR="003E1DEB" w:rsidRDefault="007F5C52" w:rsidP="007F5C52">
      <w:pPr>
        <w:rPr>
          <w:rFonts w:eastAsiaTheme="minorEastAsia"/>
        </w:rPr>
      </w:pPr>
      <w:r>
        <w:rPr>
          <w:rFonts w:eastAsiaTheme="minorEastAsia"/>
        </w:rPr>
        <w:t>Il quale è uno scalare e quindi invariante per TDL.</w:t>
      </w:r>
    </w:p>
    <w:p w14:paraId="0DB21A99" w14:textId="0FFA4AF3" w:rsidR="007F5C52" w:rsidRPr="003E1DEB" w:rsidRDefault="007F5C52" w:rsidP="007F5C52">
      <w:pPr>
        <w:rPr>
          <w:rFonts w:eastAsiaTheme="minorEastAsia"/>
        </w:rPr>
      </w:pPr>
      <w:r>
        <w:rPr>
          <w:rFonts w:eastAsiaTheme="minorEastAsia"/>
        </w:rPr>
        <w:lastRenderedPageBreak/>
        <w:t>Dunque</w:t>
      </w:r>
    </w:p>
    <w:p w14:paraId="04B306C6" w14:textId="77777777" w:rsidR="007F5C52" w:rsidRPr="00294F4E" w:rsidRDefault="00000000" w:rsidP="007F5C52">
      <w:pPr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=ϕ=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63178D54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Che è proprio la condizione imposta nella discussione dell’effetto Doppler relativistico.</w:t>
      </w:r>
    </w:p>
    <w:p w14:paraId="1995C096" w14:textId="77777777" w:rsidR="007F5C52" w:rsidRPr="00F01A92" w:rsidRDefault="007F5C52" w:rsidP="007F5C52">
      <w:pPr>
        <w:rPr>
          <w:rFonts w:eastAsiaTheme="minorEastAsia"/>
          <w:b/>
          <w:bCs/>
          <w:iCs w:val="0"/>
          <w:sz w:val="28"/>
          <w:u w:val="single"/>
        </w:rPr>
      </w:pPr>
      <w:r w:rsidRPr="00F01A92">
        <w:rPr>
          <w:rFonts w:eastAsiaTheme="minorEastAsia"/>
          <w:b/>
          <w:bCs/>
          <w:sz w:val="28"/>
          <w:u w:val="single"/>
        </w:rPr>
        <w:t xml:space="preserve">Derivazione e integrazione in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  <w:sz w:val="28"/>
            <w:u w:val="single"/>
          </w:rPr>
          <m:t>M</m:t>
        </m:r>
      </m:oMath>
      <w:r w:rsidRPr="00F01A92">
        <w:rPr>
          <w:rFonts w:eastAsiaTheme="minorEastAsia"/>
          <w:b/>
          <w:bCs/>
          <w:sz w:val="28"/>
          <w:u w:val="single"/>
        </w:rPr>
        <w:t>:</w:t>
      </w:r>
    </w:p>
    <w:p w14:paraId="2109F1A4" w14:textId="77777777" w:rsidR="007F5C52" w:rsidRPr="00324BB0" w:rsidRDefault="007F5C52" w:rsidP="007F5C52">
      <w:pPr>
        <w:rPr>
          <w:rFonts w:eastAsiaTheme="minorEastAsia"/>
          <w:iCs w:val="0"/>
          <w:u w:val="single"/>
        </w:rPr>
      </w:pPr>
      <w:r w:rsidRPr="00324BB0">
        <w:rPr>
          <w:rFonts w:eastAsiaTheme="minorEastAsia"/>
          <w:u w:val="single"/>
        </w:rPr>
        <w:t>Operatori differenziali:</w:t>
      </w:r>
    </w:p>
    <w:p w14:paraId="1587EE6E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>L’operatore quadrigradiente è definito come</w:t>
      </w:r>
    </w:p>
    <w:p w14:paraId="1AD2C13D" w14:textId="77777777" w:rsidR="007F5C52" w:rsidRPr="00F01A92" w:rsidRDefault="00000000" w:rsidP="007F5C52">
      <w:pPr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≡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d>
        </m:oMath>
      </m:oMathPara>
    </w:p>
    <w:p w14:paraId="224BFB62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Il quadrigradiente di un campo scalare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è quindi </w:t>
      </w:r>
    </w:p>
    <w:p w14:paraId="57F7973F" w14:textId="77777777" w:rsidR="007F5C52" w:rsidRPr="00F01A92" w:rsidRDefault="00000000" w:rsidP="007F5C52">
      <w:pPr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ϕ≡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∂ϕ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∂ϕ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ϕ</m:t>
              </m:r>
            </m:e>
          </m:d>
        </m:oMath>
      </m:oMathPara>
    </w:p>
    <w:p w14:paraId="50723203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Le componenti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∂ϕ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μ</m:t>
                </m:r>
              </m:sup>
            </m:sSup>
          </m:den>
        </m:f>
      </m:oMath>
      <w:r>
        <w:rPr>
          <w:rFonts w:eastAsiaTheme="minorEastAsia"/>
        </w:rPr>
        <w:t xml:space="preserve"> sono covarianti, dal momento che </w:t>
      </w:r>
    </w:p>
    <w:p w14:paraId="47F58D08" w14:textId="77777777" w:rsidR="007F5C52" w:rsidRPr="005305B4" w:rsidRDefault="007F5C52" w:rsidP="007F5C52">
      <w:pPr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dϕ=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∂ϕ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</m:oMath>
      </m:oMathPara>
    </w:p>
    <w:p w14:paraId="323053FC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È uno scalare. Questo è il motivo della notazione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∂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≡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μ</m:t>
                </m:r>
              </m:sup>
            </m:sSup>
          </m:den>
        </m:f>
      </m:oMath>
      <w:r>
        <w:rPr>
          <w:rFonts w:eastAsiaTheme="minorEastAsia"/>
        </w:rPr>
        <w:t xml:space="preserve">. Il quadrigradiente controvariante di </w:t>
      </w: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è </w:t>
      </w:r>
    </w:p>
    <w:p w14:paraId="0312A97E" w14:textId="77777777" w:rsidR="007F5C52" w:rsidRPr="005305B4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ϕ≡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∂ϕ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∂ϕ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ϕ</m:t>
              </m:r>
            </m:e>
          </m:d>
        </m:oMath>
      </m:oMathPara>
    </w:p>
    <w:p w14:paraId="7DFCEA10" w14:textId="77777777" w:rsidR="007F5C52" w:rsidRPr="00856654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Applicando l’operatore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∂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ad un campo vettoriale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si ottiene la quadridivergenza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6AAC56DB" w14:textId="77777777" w:rsidR="007F5C52" w:rsidRPr="00856654" w:rsidRDefault="00000000" w:rsidP="007F5C52">
      <w:pPr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</m:oMath>
      </m:oMathPara>
    </w:p>
    <w:p w14:paraId="708D07D1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L’operatore d’Alembertiano è dato dalla contrazione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∂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>
        <w:rPr>
          <w:rFonts w:eastAsiaTheme="minorEastAsia"/>
        </w:rPr>
        <w:t xml:space="preserve"> con se stesso, ovvero</w:t>
      </w:r>
    </w:p>
    <w:p w14:paraId="6D71CB38" w14:textId="77777777" w:rsidR="007F5C52" w:rsidRPr="00AF2ABE" w:rsidRDefault="00000000" w:rsidP="007F5C52">
      <w:pPr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18E0B92" w14:textId="77777777" w:rsidR="007F5C52" w:rsidRPr="00324BB0" w:rsidRDefault="007F5C52" w:rsidP="007F5C52">
      <w:pPr>
        <w:rPr>
          <w:rFonts w:eastAsiaTheme="minorEastAsia"/>
          <w:iCs w:val="0"/>
          <w:u w:val="single"/>
        </w:rPr>
      </w:pPr>
      <w:r w:rsidRPr="00324BB0">
        <w:rPr>
          <w:rFonts w:eastAsiaTheme="minorEastAsia"/>
          <w:u w:val="single"/>
        </w:rPr>
        <w:t xml:space="preserve">Superfici e volumi in </w:t>
      </w:r>
      <m:oMath>
        <m:r>
          <m:rPr>
            <m:scr m:val="double-struck"/>
          </m:rPr>
          <w:rPr>
            <w:rFonts w:ascii="Cambria Math" w:eastAsiaTheme="minorEastAsia" w:hAnsi="Cambria Math"/>
            <w:u w:val="single"/>
          </w:rPr>
          <m:t>M</m:t>
        </m:r>
      </m:oMath>
      <w:r w:rsidRPr="00324BB0">
        <w:rPr>
          <w:rFonts w:eastAsiaTheme="minorEastAsia"/>
          <w:u w:val="single"/>
        </w:rPr>
        <w:t>:</w:t>
      </w:r>
    </w:p>
    <w:p w14:paraId="015EACFF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L’elemento di volume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è</w:t>
      </w:r>
    </w:p>
    <w:p w14:paraId="281F54A8" w14:textId="77777777" w:rsidR="007F5C52" w:rsidRPr="00244AFE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x=d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=cdt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54FF7657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Questa quantità è invariante. Infatti, a seguito di una TDL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  <m:sup>
            <m:r>
              <w:rPr>
                <w:rFonts w:ascii="Cambria Math" w:eastAsiaTheme="minorEastAsia" w:hAnsi="Cambria Math"/>
              </w:rPr>
              <m:t>μ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ν</m:t>
            </m:r>
          </m:sup>
        </m:sSup>
      </m:oMath>
      <w:r>
        <w:rPr>
          <w:rFonts w:eastAsiaTheme="minorEastAsia"/>
        </w:rPr>
        <w:t>, si ha</w:t>
      </w:r>
    </w:p>
    <w:p w14:paraId="676BCD9E" w14:textId="77777777" w:rsidR="007F5C52" w:rsidRPr="008856DB" w:rsidRDefault="00000000" w:rsidP="007F5C52">
      <w:pPr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x</m:t>
          </m:r>
        </m:oMath>
      </m:oMathPara>
    </w:p>
    <w:p w14:paraId="2DBC1F09" w14:textId="77777777" w:rsidR="007F5C52" w:rsidRDefault="007F5C52" w:rsidP="007F5C52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è lo jacobiano della trasformazione</w:t>
      </w:r>
    </w:p>
    <w:p w14:paraId="24FF60AE" w14:textId="77777777" w:rsidR="007F5C52" w:rsidRPr="008856DB" w:rsidRDefault="007F5C52" w:rsidP="007F5C52">
      <w:pPr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'μ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ν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</m:func>
        </m:oMath>
      </m:oMathPara>
    </w:p>
    <w:p w14:paraId="7D41A6AC" w14:textId="6C2A7581" w:rsidR="00D22313" w:rsidRPr="00324BB0" w:rsidRDefault="007F5C52" w:rsidP="00D16A1D">
      <w:pPr>
        <w:rPr>
          <w:rFonts w:eastAsiaTheme="minorEastAsia"/>
          <w:iCs w:val="0"/>
        </w:rPr>
      </w:pPr>
      <w:r>
        <w:rPr>
          <w:rFonts w:eastAsiaTheme="minorEastAsia"/>
        </w:rPr>
        <w:t xml:space="preserve">Poiché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det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</m:func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avremo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sectPr w:rsidR="00D22313" w:rsidRPr="00324BB0" w:rsidSect="000E0136">
      <w:footerReference w:type="default" r:id="rId7"/>
      <w:pgSz w:w="11906" w:h="16838"/>
      <w:pgMar w:top="1417" w:right="1134" w:bottom="1134" w:left="1134" w:header="708" w:footer="708" w:gutter="0"/>
      <w:pgNumType w:start="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B51C6" w14:textId="77777777" w:rsidR="0082553A" w:rsidRDefault="0082553A" w:rsidP="000C12A9">
      <w:pPr>
        <w:spacing w:after="0" w:line="240" w:lineRule="auto"/>
      </w:pPr>
      <w:r>
        <w:separator/>
      </w:r>
    </w:p>
  </w:endnote>
  <w:endnote w:type="continuationSeparator" w:id="0">
    <w:p w14:paraId="143FA176" w14:textId="77777777" w:rsidR="0082553A" w:rsidRDefault="0082553A" w:rsidP="000C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6818300"/>
      <w:docPartObj>
        <w:docPartGallery w:val="Page Numbers (Bottom of Page)"/>
        <w:docPartUnique/>
      </w:docPartObj>
    </w:sdtPr>
    <w:sdtContent>
      <w:p w14:paraId="58800C91" w14:textId="0F075A62" w:rsidR="000C12A9" w:rsidRDefault="000C12A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7F210" w14:textId="77777777" w:rsidR="000C12A9" w:rsidRDefault="000C12A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D772C" w14:textId="77777777" w:rsidR="0082553A" w:rsidRDefault="0082553A" w:rsidP="000C12A9">
      <w:pPr>
        <w:spacing w:after="0" w:line="240" w:lineRule="auto"/>
      </w:pPr>
      <w:r>
        <w:separator/>
      </w:r>
    </w:p>
  </w:footnote>
  <w:footnote w:type="continuationSeparator" w:id="0">
    <w:p w14:paraId="187F84C1" w14:textId="77777777" w:rsidR="0082553A" w:rsidRDefault="0082553A" w:rsidP="000C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13673"/>
    <w:multiLevelType w:val="hybridMultilevel"/>
    <w:tmpl w:val="A92A24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8740D"/>
    <w:multiLevelType w:val="hybridMultilevel"/>
    <w:tmpl w:val="A5DEE9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D3258"/>
    <w:multiLevelType w:val="hybridMultilevel"/>
    <w:tmpl w:val="E80258CC"/>
    <w:lvl w:ilvl="0" w:tplc="5EC2CD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551D1"/>
    <w:multiLevelType w:val="hybridMultilevel"/>
    <w:tmpl w:val="EE84BE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67DA8"/>
    <w:multiLevelType w:val="hybridMultilevel"/>
    <w:tmpl w:val="B9043D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52BD7"/>
    <w:multiLevelType w:val="hybridMultilevel"/>
    <w:tmpl w:val="389658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62B9B"/>
    <w:multiLevelType w:val="hybridMultilevel"/>
    <w:tmpl w:val="A448D7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C08A2"/>
    <w:multiLevelType w:val="hybridMultilevel"/>
    <w:tmpl w:val="F746C2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3A6C5D"/>
    <w:multiLevelType w:val="hybridMultilevel"/>
    <w:tmpl w:val="A448D7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74F4C"/>
    <w:multiLevelType w:val="hybridMultilevel"/>
    <w:tmpl w:val="8D1A9E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3FA7"/>
    <w:multiLevelType w:val="hybridMultilevel"/>
    <w:tmpl w:val="4CA496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788904">
    <w:abstractNumId w:val="2"/>
  </w:num>
  <w:num w:numId="2" w16cid:durableId="735081655">
    <w:abstractNumId w:val="10"/>
  </w:num>
  <w:num w:numId="3" w16cid:durableId="1692800139">
    <w:abstractNumId w:val="1"/>
  </w:num>
  <w:num w:numId="4" w16cid:durableId="1705978370">
    <w:abstractNumId w:val="6"/>
  </w:num>
  <w:num w:numId="5" w16cid:durableId="59792537">
    <w:abstractNumId w:val="8"/>
  </w:num>
  <w:num w:numId="6" w16cid:durableId="390495038">
    <w:abstractNumId w:val="0"/>
  </w:num>
  <w:num w:numId="7" w16cid:durableId="1411390330">
    <w:abstractNumId w:val="9"/>
  </w:num>
  <w:num w:numId="8" w16cid:durableId="2052339227">
    <w:abstractNumId w:val="4"/>
  </w:num>
  <w:num w:numId="9" w16cid:durableId="2110345641">
    <w:abstractNumId w:val="7"/>
  </w:num>
  <w:num w:numId="10" w16cid:durableId="1075663027">
    <w:abstractNumId w:val="5"/>
  </w:num>
  <w:num w:numId="11" w16cid:durableId="556936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567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46"/>
    <w:rsid w:val="00005F9B"/>
    <w:rsid w:val="00047491"/>
    <w:rsid w:val="0006544B"/>
    <w:rsid w:val="00066D7D"/>
    <w:rsid w:val="00070D2D"/>
    <w:rsid w:val="000A4A46"/>
    <w:rsid w:val="000B7C19"/>
    <w:rsid w:val="000C061F"/>
    <w:rsid w:val="000C12A9"/>
    <w:rsid w:val="000C4C70"/>
    <w:rsid w:val="000D0BFE"/>
    <w:rsid w:val="000E0136"/>
    <w:rsid w:val="000E797C"/>
    <w:rsid w:val="000F3976"/>
    <w:rsid w:val="000F7396"/>
    <w:rsid w:val="0010340C"/>
    <w:rsid w:val="00110132"/>
    <w:rsid w:val="00110723"/>
    <w:rsid w:val="001225E9"/>
    <w:rsid w:val="001940D7"/>
    <w:rsid w:val="00237AD4"/>
    <w:rsid w:val="002410B2"/>
    <w:rsid w:val="002469E2"/>
    <w:rsid w:val="00275FBA"/>
    <w:rsid w:val="00324BB0"/>
    <w:rsid w:val="003334D3"/>
    <w:rsid w:val="00354ECE"/>
    <w:rsid w:val="0036280E"/>
    <w:rsid w:val="00382B07"/>
    <w:rsid w:val="003E1DEB"/>
    <w:rsid w:val="003F0CB4"/>
    <w:rsid w:val="00430E60"/>
    <w:rsid w:val="00444F1B"/>
    <w:rsid w:val="00467D5E"/>
    <w:rsid w:val="004B5D61"/>
    <w:rsid w:val="005165FF"/>
    <w:rsid w:val="005173C9"/>
    <w:rsid w:val="00522CF5"/>
    <w:rsid w:val="00530FE2"/>
    <w:rsid w:val="00543F65"/>
    <w:rsid w:val="005A24B6"/>
    <w:rsid w:val="005A445B"/>
    <w:rsid w:val="005A6C16"/>
    <w:rsid w:val="005B40D3"/>
    <w:rsid w:val="005C78B2"/>
    <w:rsid w:val="005D39CE"/>
    <w:rsid w:val="005F4B41"/>
    <w:rsid w:val="006B47F1"/>
    <w:rsid w:val="006C6542"/>
    <w:rsid w:val="006E320F"/>
    <w:rsid w:val="007112BD"/>
    <w:rsid w:val="00740334"/>
    <w:rsid w:val="007627A0"/>
    <w:rsid w:val="007800FD"/>
    <w:rsid w:val="007A1C84"/>
    <w:rsid w:val="007B4423"/>
    <w:rsid w:val="007B59EA"/>
    <w:rsid w:val="007F5C52"/>
    <w:rsid w:val="00801C90"/>
    <w:rsid w:val="00817483"/>
    <w:rsid w:val="0082553A"/>
    <w:rsid w:val="008277EE"/>
    <w:rsid w:val="00885CE6"/>
    <w:rsid w:val="00897305"/>
    <w:rsid w:val="008C19D8"/>
    <w:rsid w:val="008C784E"/>
    <w:rsid w:val="008E270B"/>
    <w:rsid w:val="008E5ACD"/>
    <w:rsid w:val="008F28A4"/>
    <w:rsid w:val="00934E35"/>
    <w:rsid w:val="009763C9"/>
    <w:rsid w:val="0099474B"/>
    <w:rsid w:val="00A20AE9"/>
    <w:rsid w:val="00A424A3"/>
    <w:rsid w:val="00A46093"/>
    <w:rsid w:val="00A73A25"/>
    <w:rsid w:val="00AB22D8"/>
    <w:rsid w:val="00AB6A28"/>
    <w:rsid w:val="00AC07BC"/>
    <w:rsid w:val="00AC21A0"/>
    <w:rsid w:val="00AF16CF"/>
    <w:rsid w:val="00B47487"/>
    <w:rsid w:val="00B50E63"/>
    <w:rsid w:val="00B92412"/>
    <w:rsid w:val="00BB2942"/>
    <w:rsid w:val="00BC100C"/>
    <w:rsid w:val="00BC4940"/>
    <w:rsid w:val="00BD3D29"/>
    <w:rsid w:val="00C23B7F"/>
    <w:rsid w:val="00C40B16"/>
    <w:rsid w:val="00C5374D"/>
    <w:rsid w:val="00C70723"/>
    <w:rsid w:val="00CA7418"/>
    <w:rsid w:val="00CC2654"/>
    <w:rsid w:val="00CF1805"/>
    <w:rsid w:val="00CF232B"/>
    <w:rsid w:val="00CF5EB2"/>
    <w:rsid w:val="00D16A1D"/>
    <w:rsid w:val="00D22313"/>
    <w:rsid w:val="00D705C4"/>
    <w:rsid w:val="00D83351"/>
    <w:rsid w:val="00DA43E7"/>
    <w:rsid w:val="00DB2DD7"/>
    <w:rsid w:val="00DB368F"/>
    <w:rsid w:val="00E22E79"/>
    <w:rsid w:val="00E75940"/>
    <w:rsid w:val="00E83F46"/>
    <w:rsid w:val="00EB0C22"/>
    <w:rsid w:val="00EB3694"/>
    <w:rsid w:val="00ED15EE"/>
    <w:rsid w:val="00ED4BB0"/>
    <w:rsid w:val="00F32054"/>
    <w:rsid w:val="00F45917"/>
    <w:rsid w:val="00F55741"/>
    <w:rsid w:val="00F95CB2"/>
    <w:rsid w:val="00FB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F733A"/>
  <w15:chartTrackingRefBased/>
  <w15:docId w15:val="{941539A8-AC60-4E8D-8FE1-B76174D0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iCs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A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A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A4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A4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A4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A4A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A4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A4A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A4A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A4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A4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A4A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A4A46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A4A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A4A4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A4A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A4A4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A4A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A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A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A4A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A4A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A4A4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A4A46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A4A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A4A46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A4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A4A46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A4A46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0A4A46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0C12A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C12A9"/>
  </w:style>
  <w:style w:type="paragraph" w:styleId="Pidipagina">
    <w:name w:val="footer"/>
    <w:basedOn w:val="Normale"/>
    <w:link w:val="PidipaginaCarattere"/>
    <w:uiPriority w:val="99"/>
    <w:unhideWhenUsed/>
    <w:rsid w:val="000C12A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C1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0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898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6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12</Pages>
  <Words>3474</Words>
  <Characters>19808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78</cp:revision>
  <cp:lastPrinted>2024-06-02T19:59:00Z</cp:lastPrinted>
  <dcterms:created xsi:type="dcterms:W3CDTF">2024-05-07T16:54:00Z</dcterms:created>
  <dcterms:modified xsi:type="dcterms:W3CDTF">2024-07-20T19:25:00Z</dcterms:modified>
</cp:coreProperties>
</file>