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003366"/>
          <w:sz w:val="32"/>
        </w:rPr>
        <w:t>UNIVERSIDAD TECNOLÓGICA DEL PERÚ / FACULTAD DE INGENIERÍA</w:t>
      </w:r>
    </w:p>
    <w:p>
      <w:pPr>
        <w:jc w:val="center"/>
      </w:pPr>
      <w:r>
        <w:rPr>
          <w:rFonts w:ascii="Calibri" w:hAnsi="Calibri"/>
          <w:b/>
          <w:color w:val="004C99"/>
          <w:sz w:val="25"/>
        </w:rPr>
        <w:t>ESCUELA PROFESIONAL DE INGENIERÍA DE SISTEMAS E INFORMÁTICA</w:t>
      </w:r>
    </w:p>
    <w:p/>
    <w:p>
      <w:pPr>
        <w:jc w:val="center"/>
      </w:pPr>
      <w:r>
        <w:rPr>
          <w:color w:val="0066CC"/>
        </w:rPr>
        <w:t>━━━━━━━━━━━━━━━━━━━━━━━━━━━━━━━━━━━━━━━━━━━━━━━━━━━━━━━━━━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b/>
          <w:color w:val="003366"/>
          <w:sz w:val="31"/>
        </w:rPr>
        <w:t>RECONOCIMIENTO AUTOMÁTICO DE EMOCIONES FACIALES</w:t>
        <w:br/>
        <w:t>MEDIANTE REDES NEURONALES RESIDUALES CON ATENCIÓN (SE-ResNet)</w:t>
        <w:br/>
        <w:t>DETECTOR YuNet, ACELERACIÓN VRAM Y DESPLIEGUE PORTÁTIL ONNX</w:t>
      </w:r>
    </w:p>
    <w:p>
      <w:pPr>
        <w:jc w:val="center"/>
      </w:pPr>
      <w:r>
        <w:rPr>
          <w:color w:val="0066CC"/>
        </w:rPr>
        <w:t>━━━━━━━━━━━━━━━━━━━━━━━━━━━━━━━━━━━━━━━━━━━━━━━━━━━━━━━━━━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i/>
          <w:color w:val="646464"/>
          <w:sz w:val="22"/>
        </w:rPr>
        <w:t>INFORME DE PROYECTO ACADÉMICO - SISTEMAS INTELIGENTES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jc w:val="right"/>
            </w:pPr>
            <w:r>
              <w:rPr>
                <w:rFonts w:ascii="Calibri" w:hAnsi="Calibri"/>
                <w:b/>
                <w:color w:val="003366"/>
                <w:sz w:val="21"/>
              </w:rPr>
              <w:t>Curso: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1"/>
              </w:rPr>
              <w:t>Sistemas Inteligentes y Machine Learning</w:t>
            </w:r>
          </w:p>
        </w:tc>
      </w:tr>
      <w:tr>
        <w:tc>
          <w:tcPr>
            <w:tcW w:type="dxa" w:w="4561"/>
          </w:tcPr>
          <w:p>
            <w:pPr>
              <w:jc w:val="right"/>
            </w:pPr>
            <w:r>
              <w:rPr>
                <w:rFonts w:ascii="Calibri" w:hAnsi="Calibri"/>
                <w:b/>
                <w:color w:val="003366"/>
                <w:sz w:val="21"/>
              </w:rPr>
              <w:t>Ciclo Académico: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1"/>
              </w:rPr>
              <w:t>9no Ciclo</w:t>
            </w:r>
          </w:p>
        </w:tc>
      </w:tr>
      <w:tr>
        <w:tc>
          <w:tcPr>
            <w:tcW w:type="dxa" w:w="4561"/>
          </w:tcPr>
          <w:p>
            <w:pPr>
              <w:jc w:val="right"/>
            </w:pPr>
            <w:r>
              <w:rPr>
                <w:rFonts w:ascii="Calibri" w:hAnsi="Calibri"/>
                <w:b/>
                <w:color w:val="003366"/>
                <w:sz w:val="21"/>
              </w:rPr>
              <w:t>Docente: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1"/>
              </w:rPr>
              <w:t>Mg. José Antonio Ogosi Auqui</w:t>
            </w:r>
          </w:p>
        </w:tc>
      </w:tr>
      <w:tr>
        <w:tc>
          <w:tcPr>
            <w:tcW w:type="dxa" w:w="4561"/>
          </w:tcPr>
          <w:p>
            <w:pPr>
              <w:jc w:val="right"/>
            </w:pPr>
            <w:r>
              <w:rPr>
                <w:rFonts w:ascii="Calibri" w:hAnsi="Calibri"/>
                <w:b/>
                <w:color w:val="003366"/>
                <w:sz w:val="21"/>
              </w:rPr>
              <w:t>Autores / Integrantes: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1"/>
              </w:rPr>
              <w:t>• Manuel Fabrizzio Risco Gil</w:t>
              <w:br/>
              <w:t>• Alejandro Choquihuayta, Mario Julian</w:t>
            </w:r>
          </w:p>
        </w:tc>
      </w:tr>
      <w:tr>
        <w:tc>
          <w:tcPr>
            <w:tcW w:type="dxa" w:w="4561"/>
          </w:tcPr>
          <w:p>
            <w:pPr>
              <w:jc w:val="right"/>
            </w:pPr>
            <w:r>
              <w:rPr>
                <w:rFonts w:ascii="Calibri" w:hAnsi="Calibri"/>
                <w:b/>
                <w:color w:val="003366"/>
                <w:sz w:val="21"/>
              </w:rPr>
              <w:t>Hardware &amp; Despliegue: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1"/>
              </w:rPr>
              <w:t>GPU NVIDIA RTX 5060 Ti 16GB (CUDA 12.8) / Exportación Universal ONNX</w:t>
            </w:r>
          </w:p>
        </w:tc>
      </w:tr>
      <w:tr>
        <w:tc>
          <w:tcPr>
            <w:tcW w:type="dxa" w:w="4561"/>
          </w:tcPr>
          <w:p>
            <w:pPr>
              <w:jc w:val="right"/>
            </w:pPr>
            <w:r>
              <w:rPr>
                <w:rFonts w:ascii="Calibri" w:hAnsi="Calibri"/>
                <w:b/>
                <w:color w:val="003366"/>
                <w:sz w:val="21"/>
              </w:rPr>
              <w:t>Año Académico:</w:t>
            </w:r>
          </w:p>
        </w:tc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21"/>
              </w:rPr>
              <w:t>2026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3366"/>
          <w:sz w:val="30"/>
        </w:rPr>
        <w:t>ÍNDICE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N°</w:t>
            </w:r>
          </w:p>
        </w:tc>
        <w:tc>
          <w:tcPr>
            <w:tcW w:type="dxa" w:w="3041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Sección / Contenido</w:t>
            </w:r>
          </w:p>
        </w:tc>
        <w:tc>
          <w:tcPr>
            <w:tcW w:type="dxa" w:w="3041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Pág.</w:t>
            </w:r>
          </w:p>
        </w:tc>
      </w:tr>
      <w:tr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1.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INTRODUCCIÓN Y JUSTIFICACIÓN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3</w:t>
            </w:r>
          </w:p>
        </w:tc>
      </w:tr>
      <w:tr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2.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OBJETIVOS DEL PROYECTO (GENERAL Y ESPECÍFICOS)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3</w:t>
            </w:r>
          </w:p>
        </w:tc>
      </w:tr>
      <w:tr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3.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MARCO TEÓRICO: DEEP LEARNING, RESNET, SE-ATTENTION Y CUDA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4</w:t>
            </w:r>
          </w:p>
        </w:tc>
      </w:tr>
      <w:tr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4.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DATASET FER2013, AUDITORÍA DE PARTICIÓN Y ALOJAMIENTO EN VRAM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5</w:t>
            </w:r>
          </w:p>
        </w:tc>
      </w:tr>
      <w:tr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5.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ARQUITECTURA DE LAS REDES (EmotionResNetSE y EmotionCNN)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</w:t>
            </w:r>
          </w:p>
        </w:tc>
      </w:tr>
      <w:tr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6.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METODOLOGÍA DE ENTRENAMIENTO, CLASS WEIGHTS Y LABEL SMOOTHING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7</w:t>
            </w:r>
          </w:p>
        </w:tc>
      </w:tr>
      <w:tr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7.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RESULTADOS EXPERIMENTALES Y EVALUACIÓN RIGUROSA EN TEST SET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8</w:t>
            </w:r>
          </w:p>
        </w:tc>
      </w:tr>
      <w:tr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8.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INFERENCIA EN TIEMPO REAL: DETECTOR YuNet Y SUAVIZADO TEMPORAL EMA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10</w:t>
            </w:r>
          </w:p>
        </w:tc>
      </w:tr>
      <w:tr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9.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DESPLIEGUE MULTIPLATAFORMA Y EXPORTACIÓN PORTÁTIL (ONNX &amp; OPENCV DNN)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11</w:t>
            </w:r>
          </w:p>
        </w:tc>
      </w:tr>
      <w:tr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10.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CONCLUSIONES Y RECOMENDACIONES TÉCNICAS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12</w:t>
            </w:r>
          </w:p>
        </w:tc>
      </w:tr>
      <w:tr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11.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REFERENCIAS BIBLIOGRÁFICAS (IEEE / APA)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13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3366"/>
          <w:sz w:val="30"/>
        </w:rPr>
        <w:t>1. INTRODUCCIÓN Y JUSTIFICACIÓN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El reconocimiento automático de emociones faciales (Facial Expression Recognition - FER) constituye uno de los pilares de mayor relevancia en la Visión por Computadora y la Interacción Humano-Computador (HCI). Permite dotar a los sistemas inteligentes de empatía artificial y capacidades de análisis conductual para entornos como la educación adaptativa, monitoreo de fatiga en conductores, telemedicina y seguridad inteligente.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Los métodos clásicos de visión artificial dependían de extractores manuales de rasgos (como filtros Gabor, HOG o LBP) y clasificadores como Haar Cascade, los cuales fallan drásticamente ante giros de cabeza, oclusiones o variaciones de iluminación. Con el desarrollo del Deep Learning moderno, la integración de Bloques Residuales (ResNet) y mecanismos de atención Squeeze-and-Excitation (SE-Attention) permite que las redes neuronales extraigan de forma autónoma y adaptativa las características más discriminativas de cada emoción.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El presente trabajo implementa un sistema integral de alto rendimiento capaz de clasificar 7 emociones básicas (Enojado, Disgusto, Miedo, Feliz, Triste, Sorprendido y Neutral) entrenado sobre el benchmark FER2013. Se diseñó una arquitectura de última generación (EmotionResNetSE) con 11.38 millones de parámetros, balanceo de clases por ponderación de pérdida, carga de datos 100% nativa en VRAM (GPU NVIDIA RTX 5060 Ti con CUDA 12.8), un pipeline de video en tiempo real asistido por el detector neuronal YuNet y un módulo de exportación autónomo en formato universal ONNX para que cualquier computadora ejecute el modelo sin necesidad de GPUs potentes ni PyTorch.</w:t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3366"/>
          <w:sz w:val="30"/>
        </w:rPr>
        <w:t>2. OBJETIVOS DEL PROYECTO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2.1. Objetivo General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Diseñar, implementar, evaluar rigurosamente y exportar a un paquete autónomo portátil un sistema inteligente de clasificación de emociones faciales mediante Redes Residuales con Atención (EmotionResNetSE), detector neuronal YuNet y OpenCV DNN, alcanzando un desempeño superior al estándar humano sobre FER2013 y permitiendo su uso en cualquier PC.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2.2. Objetivos Específicos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Desarrollar la arquitectura profunda EmotionResNetSE con 4 etapas residuales, atención por canales Squeeze-and-Excitation (SE) y Global Average Pooling (GAP).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Implementar un mecanismo de carga y aumento de datos 100% residente en VRAM (FastGPUDataLoader), eliminando cuellos de botella de RAM de CPU y latencias PCIe.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Compensar el desbalance severo de clases de FER2013 mediante Ponderación de Clases (Class Weights) y Label Smoothing en la función Cross-Entropy.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Evaluar formalmente el modelo sobre 7,178 imágenes del conjunto de TEST independiente, alcanzando 67.86% de Accuracy y mitigando el sobreajuste mediante Early Stopping.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Integrar el detector neuronal YuNet ONNX para detección facial multi-ángulo (yaw ±90°, pitch y roll) sin falsos positivos en streaming de webcam.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Diseñar un filtro de Suavizado Temporal (EMA Tracker) para estabilizar las probabilidades y eliminar el parpadeo de emociones entre fotogramas consecutivos.</w:t>
      </w:r>
    </w:p>
    <w:p>
      <w:pPr>
        <w:pStyle w:val="ListBullet"/>
        <w:spacing w:after="80"/>
      </w:pPr>
      <w:r>
        <w:rPr>
          <w:rFonts w:ascii="Calibri" w:hAnsi="Calibri"/>
          <w:sz w:val="21"/>
        </w:rPr>
        <w:t>Exportar el modelo completo a formato ONNX universal y compilar un paquete autónomo portátil (.ZIP) que corra en cualquier computadora con solo OpenCV y NumPy.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3366"/>
          <w:sz w:val="30"/>
        </w:rPr>
        <w:t>3. MARCO TEÓRICO Y CONCEPTUAL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3.1. Deep Learning y Conexiones Residuales (ResNet)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En redes convolucionales muy profundas, la propagación repetida de multiplicaciones matriciales provoca el desvanecimiento de los gradientes (*vanishing gradient problem*). Las conexiones residuales (He et al., 2016) introducen atajos directos (*skip connections*) que reformulan el aprendizaje como F(x) + x, permitiendo que el gradiente fluya directamente a las capas iniciales sin atenuación.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3.2. Mecanismo de Atención Squeeze-and-Excitation (SE Block)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El módulo Squeeze-and-Excitation (Hu et al., 2018) modela dinámicamente las interdependencias entre canales:</w:t>
        <w:br/>
        <w:t>1. Squeeze: Comprime la información espacial mediante Global Average Pooling a un vector descriptor de canal.</w:t>
        <w:br/>
        <w:t>2. Excitation: Pasa el vector por un cuello de botella denso (FC-ReLU-FC-Sigmoid) para generar pesos de relevancia.</w:t>
        <w:br/>
        <w:t>3. Recalibration: Multiplica los canales originales por los pesos de atención calculados, permitiendo a la red amplificar rasgos faciales críticos (como comisuras de labios o arqueo de cejas) y atenuar ruido de fondo.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3.3. Detección Facial Neuronal YuNet vs. Haar Cascade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A diferencia del algoritmo clásico de Haar Cascade (2001) basado en características manuales rígidas que solo detectan caras frontales y producen falsos positivos en ropa/fondos, YuNet es un detector neuronal basado en redes convolucionales ligeras (ONNX). YuNet es capaz de localizar rostros en perfiles de hasta ±90° de giro (yaw), inclinación (roll) y cabeceo (pitch), detectando adicionalmente 5 puntos clave faciales (ojos, nariz y boca).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3.4. Ecosistema de Exportación Abierta: ONNX y OpenCV DNN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El formato ONNX (Open Neural Network Exchange) estandariza la representación de grafos computacionales de redes neuronales. Permite desacoplar el entorno de entrenamiento (PyTorch con CUDA de 3+ GB) del entorno de inferencia, haciendo posible ejecutar la red neuronal con el motor OpenCV Deep Neural Network (DNN) en C++ o Python puro, con requerimientos de memoria inferiores a 50 MB y compatibilidad multiplataforma en cualquier procesador CPU.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3366"/>
          <w:sz w:val="30"/>
        </w:rPr>
        <w:t>4. DATASET FER2013 Y AUDITORÍA DE DATOS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El dataset FER2013 contiene 35,887 imágenes en escala de grises de 48×48 píxeles. Presenta desafíos significativos debido a la ambigüedad humana de ciertas etiquetas y un fuerte desbalance de clases: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182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Emoción (ES)</w:t>
            </w:r>
          </w:p>
        </w:tc>
        <w:tc>
          <w:tcPr>
            <w:tcW w:type="dxa" w:w="182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Emoción (EN)</w:t>
            </w:r>
          </w:p>
        </w:tc>
        <w:tc>
          <w:tcPr>
            <w:tcW w:type="dxa" w:w="182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Muestras</w:t>
            </w:r>
          </w:p>
        </w:tc>
        <w:tc>
          <w:tcPr>
            <w:tcW w:type="dxa" w:w="182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Porcentaje (%)</w:t>
            </w:r>
          </w:p>
        </w:tc>
      </w:tr>
      <w:tr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0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Enojado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Angry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4,953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13.80%</w:t>
            </w:r>
          </w:p>
        </w:tc>
      </w:tr>
      <w:tr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Disgusto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Disgust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547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1.52%</w:t>
            </w:r>
          </w:p>
        </w:tc>
      </w:tr>
      <w:tr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2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Miedo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Fear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5,121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14.27%</w:t>
            </w:r>
          </w:p>
        </w:tc>
      </w:tr>
      <w:tr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3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Feliz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Happy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8,989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25.05%</w:t>
            </w:r>
          </w:p>
        </w:tc>
      </w:tr>
      <w:tr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4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Triste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Sad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6,077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16.93%</w:t>
            </w:r>
          </w:p>
        </w:tc>
      </w:tr>
      <w:tr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5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Sorprendido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Surprise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4,002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11.15%</w:t>
            </w:r>
          </w:p>
        </w:tc>
      </w:tr>
      <w:tr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Neutral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Neutral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6,198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17.27%</w:t>
            </w:r>
          </w:p>
        </w:tc>
      </w:tr>
      <w:tr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─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TOTAL GENERAL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ALL CLASSES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35,887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100.00%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4.1. Auditoría de Partición y Cero Fuga de Datos (Zero Data Leakage)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Para asegurar una validez científica inobjetable, se verificó el estricto aislamiento de los conjuntos:</w:t>
        <w:br/>
        <w:t>•  Conjunto de Entrenamiento (24,403 imágenes - 85% de Train): Único conjunto utilizado para actualizar gradientes y calcular los pesos de clase (*Class Weights*).</w:t>
        <w:br/>
        <w:t>•  Conjunto de Validación (4,306 imágenes - 15% de Train): Utilizado exclusivamente para monitorear la pérdida en cada época y activar Early Stopping.</w:t>
        <w:br/>
        <w:t>•  Conjunto de Prueba / Test (7,178 imágenes): Totalmente aislado en la partición 'test/', evaluado únicamente al finalizar el entrenamiento.</w:t>
        <w:br/>
        <w:t>•  Aislamiento del Data Augmentation: El generador estocástico (*RandomCrop*, *Flip*, *RandomErasing*) opera únicamente sobre el conjunto de entrenamiento (is_train=True), mientras que validación y test aplican una transformación determinista fija.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4.2. Carga y Procesamiento Directo en VRAM de la GPU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En lugar de cargar imágenes lote por lote desde el disco o la RAM de la CPU, las 35,887 imágenes se transfieren como tensores uint8 directamente a la memoria VRAM de la GPU (78.9 MB totales, representando solo el 0.5% de los 16 GB de la RTX 5060 Ti). Esto elimina al 100% los cuellos de botella del bus PCIe y la sobrecarga de subprocesos en Windows.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3366"/>
          <w:sz w:val="30"/>
        </w:rPr>
        <w:t>5. ARQUITECTURA DE LOS MODELOS IMPLEMENTADOS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5.1. Arquitectura Avanzada: EmotionResNetSE (11.38M Parámetros)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EmotionResNetSE es la arquitectura principal optimizada para expresiones sutiles. Combina 4 etapas residuales con atención Squeeze-and-Excitation y Global Average Pooling: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Capa / Bloque</w:t>
            </w:r>
          </w:p>
        </w:tc>
        <w:tc>
          <w:tcPr>
            <w:tcW w:type="dxa" w:w="228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Operaciones e Hiperparámetros</w:t>
            </w:r>
          </w:p>
        </w:tc>
        <w:tc>
          <w:tcPr>
            <w:tcW w:type="dxa" w:w="228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Dimensión Salida</w:t>
            </w:r>
          </w:p>
        </w:tc>
        <w:tc>
          <w:tcPr>
            <w:tcW w:type="dxa" w:w="228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Parámetros</w:t>
            </w:r>
          </w:p>
        </w:tc>
      </w:tr>
      <w:tr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Stem Inicial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Conv2D(1 → 64, k=3, p=1) + BatchNorm + ReLU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Tensor (64, 48, 48)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704</w:t>
            </w:r>
          </w:p>
        </w:tc>
      </w:tr>
      <w:tr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Etapa 1 (Stage 1)</w:t>
            </w:r>
          </w:p>
        </w:tc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2x ResidualSEBlock(64 → 64) + SE-Attention + Dropout(0.1)</w:t>
            </w:r>
          </w:p>
        </w:tc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Tensor (64, 48, 48)</w:t>
            </w:r>
          </w:p>
        </w:tc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150,016</w:t>
            </w:r>
          </w:p>
        </w:tc>
      </w:tr>
      <w:tr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Etapa 2 (Stage 2)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2x ResidualSEBlock(64 → 128, s=2) + SE-Attention + Dropout(0.15)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Tensor (128, 24, 24)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529,664</w:t>
            </w:r>
          </w:p>
        </w:tc>
      </w:tr>
      <w:tr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Etapa 3 (Stage 3)</w:t>
            </w:r>
          </w:p>
        </w:tc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2x ResidualSEBlock(128 → 256, s=2) + SE-Attention + Dropout(0.2)</w:t>
            </w:r>
          </w:p>
        </w:tc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Tensor (256, 12, 12)</w:t>
            </w:r>
          </w:p>
        </w:tc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2,116,096</w:t>
            </w:r>
          </w:p>
        </w:tc>
      </w:tr>
      <w:tr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Etapa 4 (Stage 4)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2x ResidualSEBlock(256 → 512, s=2) + SE-Attention + Dropout(0.25)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Tensor (512, 6, 6)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8,459,264</w:t>
            </w:r>
          </w:p>
        </w:tc>
      </w:tr>
      <w:tr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Global Avg Pool (GAP)</w:t>
            </w:r>
          </w:p>
        </w:tc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AdaptiveAvgPool2D(1, 1) + Flatten</w:t>
            </w:r>
          </w:p>
        </w:tc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Vector (512)</w:t>
            </w:r>
          </w:p>
        </w:tc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0</w:t>
            </w:r>
          </w:p>
        </w:tc>
      </w:tr>
      <w:tr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Clasificador Denso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Dropout(0.4) + Linear(512→256) + BN1D + ReLU + Dropout(0.3) + Linear(256→7)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Vector de Logits (7)</w:t>
            </w:r>
          </w:p>
        </w:tc>
        <w:tc>
          <w:tcPr>
            <w:tcW w:type="dxa" w:w="22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133,639</w:t>
            </w:r>
          </w:p>
        </w:tc>
      </w:tr>
      <w:tr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TOTAL</w:t>
            </w:r>
          </w:p>
        </w:tc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EmotionResNetSE (Residual + SE Attention)</w:t>
            </w:r>
          </w:p>
        </w:tc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Clasificación 7 Clases</w:t>
            </w:r>
          </w:p>
        </w:tc>
        <w:tc>
          <w:tcPr>
            <w:tcW w:type="dxa" w:w="2280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11,389,383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5.2. Arquitectura Clásica: EmotionCNN (2.48M Parámetros)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Se mantiene disponible la arquitectura secuencial de 4 bloques convolucionales dobles (VGG-style) con 2,488,423 parámetros para efectos comparativos y retrocompatibilidad.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3366"/>
          <w:sz w:val="30"/>
        </w:rPr>
        <w:t>6. METODOLOGÍA EXPERIMENTAL Y BALANCEO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6.1. Hiperparámetros y Optimización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Hiperparámetro / Mecanismo</w:t>
            </w:r>
          </w:p>
        </w:tc>
        <w:tc>
          <w:tcPr>
            <w:tcW w:type="dxa" w:w="4561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Configuración Aplicada</w:t>
            </w:r>
          </w:p>
        </w:tc>
      </w:tr>
      <w:tr>
        <w:tc>
          <w:tcPr>
            <w:tcW w:type="dxa" w:w="45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Arquitectura Principal</w:t>
            </w:r>
          </w:p>
        </w:tc>
        <w:tc>
          <w:tcPr>
            <w:tcW w:type="dxa" w:w="45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EmotionResNetSE (Residual + Squeeze-and-Excitation)</w:t>
            </w:r>
          </w:p>
        </w:tc>
      </w:tr>
      <w:tr>
        <w:tc>
          <w:tcPr>
            <w:tcW w:type="dxa" w:w="456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Tamaño de Lote (Batch Size)</w:t>
            </w:r>
          </w:p>
        </w:tc>
        <w:tc>
          <w:tcPr>
            <w:tcW w:type="dxa" w:w="456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128 muestras por iteración</w:t>
            </w:r>
          </w:p>
        </w:tc>
      </w:tr>
      <w:tr>
        <w:tc>
          <w:tcPr>
            <w:tcW w:type="dxa" w:w="45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Tasa de Aprendizaje Inicial</w:t>
            </w:r>
          </w:p>
        </w:tc>
        <w:tc>
          <w:tcPr>
            <w:tcW w:type="dxa" w:w="45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0.001</w:t>
            </w:r>
          </w:p>
        </w:tc>
      </w:tr>
      <w:tr>
        <w:tc>
          <w:tcPr>
            <w:tcW w:type="dxa" w:w="456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Optimizador</w:t>
            </w:r>
          </w:p>
        </w:tc>
        <w:tc>
          <w:tcPr>
            <w:tcW w:type="dxa" w:w="456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AdamW (Weight Decay L2 = 1e-4)</w:t>
            </w:r>
          </w:p>
        </w:tc>
      </w:tr>
      <w:tr>
        <w:tc>
          <w:tcPr>
            <w:tcW w:type="dxa" w:w="45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Planificador (Scheduler)</w:t>
            </w:r>
          </w:p>
        </w:tc>
        <w:tc>
          <w:tcPr>
            <w:tcW w:type="dxa" w:w="45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CosineAnnealingLR (T_max=50, eta_min=1e-6)</w:t>
            </w:r>
          </w:p>
        </w:tc>
      </w:tr>
      <w:tr>
        <w:tc>
          <w:tcPr>
            <w:tcW w:type="dxa" w:w="456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Función de Pérdida</w:t>
            </w:r>
          </w:p>
        </w:tc>
        <w:tc>
          <w:tcPr>
            <w:tcW w:type="dxa" w:w="456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CrossEntropyLoss con Class Weights y Label Smoothing (0.05)</w:t>
            </w:r>
          </w:p>
        </w:tc>
      </w:tr>
      <w:tr>
        <w:tc>
          <w:tcPr>
            <w:tcW w:type="dxa" w:w="45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Aceleración de Precisión</w:t>
            </w:r>
          </w:p>
        </w:tc>
        <w:tc>
          <w:tcPr>
            <w:tcW w:type="dxa" w:w="45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Automatic Mixed Precision (AMP / FP16 en CUDA)</w:t>
            </w:r>
          </w:p>
        </w:tc>
      </w:tr>
      <w:tr>
        <w:tc>
          <w:tcPr>
            <w:tcW w:type="dxa" w:w="456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Early Stopping</w:t>
            </w:r>
          </w:p>
        </w:tc>
        <w:tc>
          <w:tcPr>
            <w:tcW w:type="dxa" w:w="456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10 épocas de paciencia monitoreando Val Loss</w:t>
            </w:r>
          </w:p>
        </w:tc>
      </w:tr>
      <w:tr>
        <w:tc>
          <w:tcPr>
            <w:tcW w:type="dxa" w:w="45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Alojamiento de Datos</w:t>
            </w:r>
          </w:p>
        </w:tc>
        <w:tc>
          <w:tcPr>
            <w:tcW w:type="dxa" w:w="456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100% Residente en VRAM (FastGPUDataLoader en CUDA)</w:t>
            </w:r>
          </w:p>
        </w:tc>
      </w:tr>
    </w:tbl>
    <w:p/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6.2. Ponderación de Clases (Class Weights)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Para solucionar el desbalance entre la clase mayoritaria ('Feliz' con 6,126 en train) y la minoritaria ('Disgusto' con 377 en train), la función de pérdida calculó pesos inversos amortiguados: Disgusto=2.43, Sorprendido=0.91, Enojado=0.81, Miedo=0.80, Triste=0.74, Neutral=0.72 y Feliz=0.60. Esto forzó a la red a penalizar severamente los errores en emociones poco representadas.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3366"/>
          <w:sz w:val="30"/>
        </w:rPr>
        <w:t>7. RESULTADOS EXPERIMENTALES Y EVALUACIÓN EN TEST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El entrenamiento completó 50 épocas en 13 minutos y 12 segundos sobre la GPU NVIDIA RTX 5060 Ti. El mejor punto de control (*best checkpoint*) se alcanzó en la Época 40 con un Validation Accuracy de 68.97% y un Validation Loss de 1.1286 (y mínimo de pérdida en época 36 de 1.1202). Tras ello, se evaluó formalmente sobre las 7,178 imágenes nunca vistas del conjunto de TEST independiente: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7.1. Curvas de Aprendizaje e Historial de Entrenamiento</w:t>
      </w:r>
    </w:p>
    <w:p>
      <w:r>
        <w:drawing>
          <wp:inline xmlns:a="http://schemas.openxmlformats.org/drawingml/2006/main" xmlns:pic="http://schemas.openxmlformats.org/drawingml/2006/picture">
            <wp:extent cx="5486400" cy="1953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rial_entrenamient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1: Curvas de Pérdida (Loss) y Precisión (Accuracy) del modelo EmotionResNetSE.</w:t>
      </w:r>
    </w:p>
    <w:p/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7.2. Métricas de Clasificación en el Conjunto de TEST (7,178 imágenes)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Clase de Emoción</w:t>
            </w:r>
          </w:p>
        </w:tc>
        <w:tc>
          <w:tcPr>
            <w:tcW w:type="dxa" w:w="182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82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82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824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Muestras</w:t>
            </w:r>
          </w:p>
        </w:tc>
      </w:tr>
      <w:tr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Enojado (Angry)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62.12%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59.92%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61.00%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958</w:t>
            </w:r>
          </w:p>
        </w:tc>
      </w:tr>
      <w:tr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Disgusto (Disgust)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58.14%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67.57%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62.50%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111</w:t>
            </w:r>
          </w:p>
        </w:tc>
      </w:tr>
      <w:tr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Miedo (Fear)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52.99%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48.54%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50.66%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1,024</w:t>
            </w:r>
          </w:p>
        </w:tc>
      </w:tr>
      <w:tr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Feliz (Happy)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86.77%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86.87%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86.82%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1,774</w:t>
            </w:r>
          </w:p>
        </w:tc>
      </w:tr>
      <w:tr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Triste (Sad)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56.94%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54.29%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55.58%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1,247</w:t>
            </w:r>
          </w:p>
        </w:tc>
      </w:tr>
      <w:tr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Sorprendido (Surprise)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78.50%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80.39%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79.43%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831</w:t>
            </w:r>
          </w:p>
        </w:tc>
      </w:tr>
      <w:tr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Neutral (Neutral)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61.20%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68.05%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64.44%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1,233</w:t>
            </w:r>
          </w:p>
        </w:tc>
      </w:tr>
      <w:tr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PROMEDIO MACRO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65.23%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66.52%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65.78%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7,178</w:t>
            </w:r>
          </w:p>
        </w:tc>
      </w:tr>
      <w:tr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PROMEDIO PONDERADO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67.68%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67.86%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67.71%</w:t>
            </w:r>
          </w:p>
        </w:tc>
        <w:tc>
          <w:tcPr>
            <w:tcW w:type="dxa" w:w="18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7,178</w:t>
            </w:r>
          </w:p>
        </w:tc>
      </w:tr>
      <w:tr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EXACTITUD GLOBAL (TEST ACCURACY)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─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─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67.86%</w:t>
            </w:r>
          </w:p>
        </w:tc>
        <w:tc>
          <w:tcPr>
            <w:tcW w:type="dxa" w:w="1824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  <w:shd w:fill="EBF3FA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7,178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754880" cy="43564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z_confusion_normaliz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56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2: Matriz de Confusión Normalizada sobre el Conjunto de Test.</w:t>
      </w:r>
    </w:p>
    <w:p>
      <w:r>
        <w:drawing>
          <wp:inline xmlns:a="http://schemas.openxmlformats.org/drawingml/2006/main" xmlns:pic="http://schemas.openxmlformats.org/drawingml/2006/picture">
            <wp:extent cx="4754880" cy="2840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por_emo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40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Figura 3: Rendimiento de Exactitud por Emoción en Test.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3366"/>
          <w:sz w:val="30"/>
        </w:rPr>
        <w:t>8. SISTEMA DE INFERENCIA EN TIEMPO REAL (WEBCAM v2.0)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Se desarrolló un módulo de inferencia en vivo de alto rendimiento que solventa las limitaciones tradicionales de pérdida de rostro y parpadeo mediante dos innovaciones arquitectónicas:</w:t>
      </w:r>
    </w:p>
    <w:p>
      <w:pPr>
        <w:spacing w:after="80"/>
      </w:pPr>
      <w:r>
        <w:rPr>
          <w:b/>
          <w:sz w:val="21"/>
        </w:rPr>
        <w:t xml:space="preserve">•  Detector Facial Neuronal YuNet ONNX: </w:t>
      </w:r>
      <w:r>
        <w:rPr>
          <w:sz w:val="21"/>
        </w:rPr>
        <w:t>Reemplaza al clásico Haar Cascade. Opera en red neuronal profunda detectando caras de perfil (giro yaw ±90°, cabeceo e inclinación), eliminando falsos positivos en ropa/fondos mediante umbrales de confianza neuronal y localizando 5 puntos clave faciales.</w:t>
      </w:r>
    </w:p>
    <w:p>
      <w:pPr>
        <w:spacing w:after="80"/>
      </w:pPr>
      <w:r>
        <w:rPr>
          <w:b/>
          <w:sz w:val="21"/>
        </w:rPr>
        <w:t xml:space="preserve">•  Suavizado Temporal (EMA Tracker - Exponential Moving Average): </w:t>
      </w:r>
      <w:r>
        <w:rPr>
          <w:sz w:val="21"/>
        </w:rPr>
        <w:t>Rastrea rostros cuadro a cuadro mediante IoU y aplica una media móvil exponencial (alfa=0.30) a las probabilidades y coordenadas. Esto erradica el 'jitter' o parpadeo errático producido por micro-expresiones o ruido en fotogramas individuales.</w:t>
      </w:r>
    </w:p>
    <w:p>
      <w:pPr>
        <w:spacing w:after="80"/>
      </w:pPr>
      <w:r>
        <w:rPr>
          <w:b/>
          <w:sz w:val="21"/>
        </w:rPr>
        <w:t xml:space="preserve">•  HUD Moderno con Métricas en Vivo: </w:t>
      </w:r>
      <w:r>
        <w:rPr>
          <w:sz w:val="21"/>
        </w:rPr>
        <w:t>Despliega métricas de rendimiento en tiempo real (FPS ~30-60, latencia de inferencia ~8-14 ms en RTX 5060 Ti), barras de probabilidad estilizadas y badges de emoción con código de color.</w:t>
      </w:r>
    </w:p>
    <w:p>
      <w:pPr>
        <w:spacing w:after="80"/>
      </w:pPr>
      <w:r>
        <w:rPr>
          <w:b/>
          <w:sz w:val="21"/>
        </w:rPr>
        <w:t xml:space="preserve">•  Controles Interactivos en Caliente: </w:t>
      </w:r>
      <w:r>
        <w:rPr>
          <w:sz w:val="21"/>
        </w:rPr>
        <w:t>Permite alternar en vivo entre detector YuNet y Haar ('d'), activar/desactivar suavizado EMA ('t'), mostrar landmarks ('l'), capturar fotos en alta resolución ('s') y pausar ('p').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3366"/>
          <w:sz w:val="30"/>
        </w:rPr>
        <w:t>9. DESPLIEGUE MULTIPLATAFORMA Y EXPORTACIÓN PORTÁTIL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Uno de los mayores desafíos de los sistemas de Deep Learning es la dependencia de librerías pesadas (PyTorch, CUDA, Torchvision) que requieren más de 3 GB de almacenamiento y hardware gráfico especializado. Para garantizar la portabilidad total y permitir que el sistema funcione en cualquier computadora convencional (laptops básicas, PCs de laboratorio sin GPU dedicada), se diseñó una estrategia de exportación y empaquetado autónomo: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9.1. Exportación al Estándar Abierto ONNX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El modelo entrenado EmotionResNetSE se exportó a formato ONNX (Open Neural Network Exchange, versión de operadores 17) generando el archivo 'modelo_emociones_cv2.onnx' (43.5 MB). Este archivo encapsula completamente los 11.38M de parámetros y la topología residual con atención, permitiendo su lectura directa mediante el motor OpenCV DNN nativo (cv2.dnn.readNetFromONNX).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004C99"/>
          <w:sz w:val="26"/>
        </w:rPr>
        <w:t>9.2. Distribución Autónoma y Lanzador con Un Solo Clic</w:t>
      </w:r>
    </w:p>
    <w:p>
      <w:pPr>
        <w:spacing w:after="120" w:line="276" w:lineRule="auto"/>
        <w:ind w:firstLine="454"/>
        <w:jc w:val="both"/>
      </w:pPr>
      <w:r>
        <w:rPr>
          <w:rFonts w:ascii="Calibri" w:hAnsi="Calibri"/>
          <w:b w:val="0"/>
          <w:i w:val="0"/>
          <w:color w:val="1E1E1E"/>
          <w:sz w:val="22"/>
        </w:rPr>
        <w:t>Se compiló un paquete de distribución ultra-ligero ('Emotion_AI_Portable_v2.0.zip', 40.5 MB) con las siguientes características:</w:t>
        <w:br/>
        <w:t>•  Cero Requisitos de PyTorch: La inferencia corre 100% en OpenCV y NumPy (menos de 15 MB de dependencias).</w:t>
        <w:br/>
        <w:t>•  Lanzador por lotes ('EJECUTAR_WEBCAM.bat'): Verifica la presencia de Python, autoinstala OpenCV en segundos si hiciera falta y abre la cámara inmediatamente.</w:t>
        <w:br/>
        <w:t>•  Rendimiento CPU Optimizado: Alcanza entre 30 y 60 FPS estables en procesadores Intel Core i3/i5 o AMD Ryzen estándar.</w:t>
        <w:br/>
        <w:t>•  Mantenimiento de la Experiencia Completa: Conserva el detector multi-ángulo YuNet, el suavizado EMA anti-parpadeo y el HUD estilizado con barras de probabilidad.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Parámetro de Despliegue</w:t>
            </w:r>
          </w:p>
        </w:tc>
        <w:tc>
          <w:tcPr>
            <w:tcW w:type="dxa" w:w="3041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Especificación Técnica</w:t>
            </w:r>
          </w:p>
        </w:tc>
        <w:tc>
          <w:tcPr>
            <w:tcW w:type="dxa" w:w="3041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Beneficio Operativo</w:t>
            </w:r>
          </w:p>
        </w:tc>
      </w:tr>
      <w:tr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Entorno de Entrenamiento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PyTorch 2.11 + CUDA 12.8 + GPU RTX 5060 Ti 16GB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3.8 GB de dependencias</w:t>
            </w:r>
          </w:p>
        </w:tc>
      </w:tr>
      <w:tr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Entorno Portátil de Producción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OpenCV DNN ONNX + CPU/GPU universal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15 MB de dependencias (solo OpenCV+NumPy)</w:t>
            </w:r>
          </w:p>
        </w:tc>
      </w:tr>
      <w:tr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Tiempo de Inferencia CPU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15 - 25 milisegundos por fotograma (30-60 FPS)</w:t>
            </w:r>
          </w:p>
        </w:tc>
        <w:tc>
          <w:tcPr>
            <w:tcW w:type="dxa" w:w="3041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Fluido en cualquier laptop</w:t>
            </w:r>
          </w:p>
        </w:tc>
      </w:tr>
      <w:tr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color w:val="282828"/>
                <w:sz w:val="19"/>
              </w:rPr>
              <w:t>Paquete Distribuible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Emotion_AI_Portable_v2.0.zip</w:t>
            </w:r>
          </w:p>
        </w:tc>
        <w:tc>
          <w:tcPr>
            <w:tcW w:type="dxa" w:w="3041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282828"/>
                <w:sz w:val="19"/>
              </w:rPr>
              <w:t>40.5 MB listo para compartir</w:t>
            </w:r>
          </w:p>
        </w:tc>
      </w:tr>
    </w:tbl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3366"/>
          <w:sz w:val="30"/>
        </w:rPr>
        <w:t>10. CONCLUSIONES Y RECOMENDACIONES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Se diseñó e implementó exitosamente la arquitectura EmotionResNetSE (Residual Blocks + Squeeze-and-Excitation Attention), alcanzando 68.97% de Val Accuracy y 67.86% de Test Accuracy en FER2013, superando el benchmark de concordancia humana promedio (65%-68%).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El uso de Ponderación de Clases (Class Weights) y Label Smoothing incrementó drásticamente el Recall en clases críticas y desbalanceadas, elevando 'Disgusto' a 67.57% (frente a 47.75% anterior) y 'Miedo' a 48.54% (frente a 31.93%).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La estrategia de carga y Data Augmentation 100% residente en VRAM (78.9 MB) eliminó los cuellos de botella de memoria RAM y transferencias PCIe, acelerando el entrenamiento a solo 12 segundos por época en la GPU NVIDIA RTX 5060 Ti.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La integración del detector neuronal YuNet ONNX erradicó la pérdida de seguimiento facial al girar la cabeza de perfil (yaw ±90°) y eliminó falsos positivos sobre fondos y vestimenta.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El mecanismo de Suavizado Temporal EMA (alfa=0.30) estabilizó la salida en streaming de webcam, transformando la experiencia de usuario en un sistema fluido, profesional y libre de parpadeos.</w:t>
      </w:r>
    </w:p>
    <w:p>
      <w:pPr>
        <w:pStyle w:val="ListBullet"/>
        <w:spacing w:after="120"/>
      </w:pPr>
      <w:r>
        <w:rPr>
          <w:rFonts w:ascii="Calibri" w:hAnsi="Calibri"/>
          <w:sz w:val="22"/>
        </w:rPr>
        <w:t>La exportación a formato universal ONNX y la creación del paquete portátil autónomo (.ZIP con lanzador .bat) demostraron la viabilidad de transferir modelos de Deep Learning de última generación a cualquier computadora convencional con solo 15 MB de dependencias y sin pérdida de precisión.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Calibri" w:hAnsi="Calibri"/>
          <w:b/>
          <w:color w:val="003366"/>
          <w:sz w:val="30"/>
        </w:rPr>
        <w:t>11. REFERENCIAS BIBLIOGRÁFICAS</w:t>
      </w:r>
    </w:p>
    <w:p>
      <w:pPr>
        <w:spacing w:after="100"/>
        <w:ind w:left="454" w:hanging="454"/>
      </w:pPr>
      <w:r>
        <w:rPr>
          <w:rFonts w:ascii="Calibri" w:hAnsi="Calibri"/>
          <w:sz w:val="20"/>
        </w:rPr>
        <w:t>[1]  He, K., Zhang, X., Ren, S., &amp; Sun, J. (2016). "Deep Residual Learning for Image Recognition". IEEE CVPR, pp. 770-778.</w:t>
      </w:r>
    </w:p>
    <w:p>
      <w:pPr>
        <w:spacing w:after="100"/>
        <w:ind w:left="454" w:hanging="454"/>
      </w:pPr>
      <w:r>
        <w:rPr>
          <w:rFonts w:ascii="Calibri" w:hAnsi="Calibri"/>
          <w:sz w:val="20"/>
        </w:rPr>
        <w:t>[2]  Hu, J., Shen, L., &amp; Sun, G. (2018). "Squeeze-and-Excitation Networks". IEEE CVPR, pp. 7132-7141.</w:t>
      </w:r>
    </w:p>
    <w:p>
      <w:pPr>
        <w:spacing w:after="100"/>
        <w:ind w:left="454" w:hanging="454"/>
      </w:pPr>
      <w:r>
        <w:rPr>
          <w:rFonts w:ascii="Calibri" w:hAnsi="Calibri"/>
          <w:sz w:val="20"/>
        </w:rPr>
        <w:t>[3]  Bai, J., et al. (2019). "ONNX: Open Neural Network Exchange". GitHub repository, https://github.com/onnx/onnx.</w:t>
      </w:r>
    </w:p>
    <w:p>
      <w:pPr>
        <w:spacing w:after="100"/>
        <w:ind w:left="454" w:hanging="454"/>
      </w:pPr>
      <w:r>
        <w:rPr>
          <w:rFonts w:ascii="Calibri" w:hAnsi="Calibri"/>
          <w:sz w:val="20"/>
        </w:rPr>
        <w:t>[4]  Goodfellow, I. J., et al. (2013). "Challenges in Representation Learning: A report on three machine learning contests". ICML Workshop on Representation Learning (FER-2013).</w:t>
      </w:r>
    </w:p>
    <w:p>
      <w:pPr>
        <w:spacing w:after="100"/>
        <w:ind w:left="454" w:hanging="454"/>
      </w:pPr>
      <w:r>
        <w:rPr>
          <w:rFonts w:ascii="Calibri" w:hAnsi="Calibri"/>
          <w:sz w:val="20"/>
        </w:rPr>
        <w:t>[5]  Goodfellow, I., Bengio, Y., &amp; Courville, A. (2016). "Deep Learning". MIT Press.</w:t>
      </w:r>
    </w:p>
    <w:p>
      <w:pPr>
        <w:spacing w:after="100"/>
        <w:ind w:left="454" w:hanging="454"/>
      </w:pPr>
      <w:r>
        <w:rPr>
          <w:rFonts w:ascii="Calibri" w:hAnsi="Calibri"/>
          <w:sz w:val="20"/>
        </w:rPr>
        <w:t>[6]  Muller, R., Kornblith, S., &amp; Hinton, G. E. (2019). "When Does Label Smoothing Help?". Advances in Neural Information Processing Systems (NeurIPS), 32.</w:t>
      </w:r>
    </w:p>
    <w:p>
      <w:pPr>
        <w:spacing w:after="100"/>
        <w:ind w:left="454" w:hanging="454"/>
      </w:pPr>
      <w:r>
        <w:rPr>
          <w:rFonts w:ascii="Calibri" w:hAnsi="Calibri"/>
          <w:sz w:val="20"/>
        </w:rPr>
        <w:t>[7]  Loshchilov, I., &amp; Hutter, F. (2019). "Decoupled Weight Decay Regularization (AdamW)". ICLR.</w:t>
      </w:r>
    </w:p>
    <w:p>
      <w:pPr>
        <w:spacing w:after="100"/>
        <w:ind w:left="454" w:hanging="454"/>
      </w:pPr>
      <w:r>
        <w:rPr>
          <w:rFonts w:ascii="Calibri" w:hAnsi="Calibri"/>
          <w:sz w:val="20"/>
        </w:rPr>
        <w:t>[8]  Zhang, S., Zhu, X., Lei, Z., Shi, H., Wang, X., &amp; Li, S. Z. (2020). "FaceBoxes: A Rapid yet High-Accuracy Face Detector". IEEE Transactions on Biometrics (YuNet Base).</w:t>
      </w:r>
    </w:p>
    <w:p>
      <w:pPr>
        <w:spacing w:after="100"/>
        <w:ind w:left="454" w:hanging="454"/>
      </w:pPr>
      <w:r>
        <w:rPr>
          <w:rFonts w:ascii="Calibri" w:hAnsi="Calibri"/>
          <w:sz w:val="20"/>
        </w:rPr>
        <w:t>[9]  Bradski, G. (2000). "The OpenCV Library / Deep Neural Network Module (DNN)". Dr. Dobb's Journal of Software Tools.</w:t>
      </w:r>
    </w:p>
    <w:p>
      <w:pPr>
        <w:spacing w:after="100"/>
        <w:ind w:left="454" w:hanging="454"/>
      </w:pPr>
      <w:r>
        <w:rPr>
          <w:rFonts w:ascii="Calibri" w:hAnsi="Calibri"/>
          <w:sz w:val="20"/>
        </w:rPr>
        <w:t>[10]  Paszke, A., et al. (2019). "PyTorch: An Imperative Style, High-Performance Deep Learning Library". NeurIPS.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