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line="276" w:lineRule="auto"/>
        <w:jc w:val="center"/>
      </w:pPr>
      <w:r>
        <w:rPr>
          <w:rFonts w:ascii="Times New Roman" w:hAnsi="Times New Roman"/>
          <w:b/>
          <w:i w:val="0"/>
          <w:color w:val="003366"/>
          <w:sz w:val="36"/>
        </w:rPr>
        <w:t>Optimization of Facial Emotion Recognition Using Residual Networks with SE Attention and Focal Loss</w:t>
      </w:r>
    </w:p>
    <w:p>
      <w:pPr>
        <w:spacing w:before="0" w:after="240" w:line="276" w:lineRule="auto"/>
        <w:jc w:val="center"/>
      </w:pPr>
      <w:r>
        <w:rPr>
          <w:rFonts w:ascii="Times New Roman" w:hAnsi="Times New Roman"/>
          <w:b w:val="0"/>
          <w:i/>
          <w:color w:val="464646"/>
          <w:sz w:val="22"/>
        </w:rPr>
        <w:t>Optimización del Reconocimiento de Emociones Faciales Mediante Redes Residuales con Atención SE y Focal Loss</w:t>
      </w:r>
    </w:p>
    <w:p>
      <w:pPr>
        <w:spacing w:before="0" w:after="40" w:line="276" w:lineRule="auto"/>
        <w:jc w:val="center"/>
      </w:pPr>
      <w:r>
        <w:rPr>
          <w:rFonts w:ascii="Times New Roman" w:hAnsi="Times New Roman"/>
          <w:b/>
          <w:i w:val="0"/>
          <w:color w:val="1E1E1E"/>
          <w:sz w:val="21"/>
        </w:rPr>
        <w:t>Manuel Fabrizzio Risco Gil, Mario Julian Alejandro Choquihuayta</w:t>
      </w:r>
    </w:p>
    <w:p>
      <w:pPr>
        <w:spacing w:before="0" w:after="80" w:line="276" w:lineRule="auto"/>
        <w:jc w:val="center"/>
      </w:pPr>
      <w:r>
        <w:rPr>
          <w:rFonts w:ascii="Times New Roman" w:hAnsi="Times New Roman"/>
          <w:b w:val="0"/>
          <w:i w:val="0"/>
          <w:color w:val="505050"/>
          <w:sz w:val="19"/>
        </w:rPr>
        <w:t>Facultad de Ingeniería, Carrera de Ingeniería de Sistemas Computacionales</w:t>
        <w:br/>
        <w:t>Universidad Privada del Norte, Sede Chorrillos, Lima, Perú</w:t>
        <w:br/>
        <w:t>manuel.risco@upn.pe, mario.alejandro@upn.pe</w:t>
      </w:r>
    </w:p>
    <w:p>
      <w:pPr>
        <w:spacing w:before="0" w:after="320" w:line="276" w:lineRule="auto"/>
        <w:jc w:val="center"/>
      </w:pPr>
      <w:r>
        <w:rPr>
          <w:rFonts w:ascii="Times New Roman" w:hAnsi="Times New Roman"/>
          <w:b/>
          <w:i w:val="0"/>
          <w:color w:val="004C99"/>
          <w:sz w:val="19"/>
        </w:rPr>
        <w:t>SISTEMAS INTELIGENTES Y MACHINE LEARNING — CICLO 9 (2026-2)</w:t>
        <w:br/>
        <w:t>Docente: Mg. José Antonio Ogosi Auqui</w:t>
      </w:r>
    </w:p>
    <w:p>
      <w:pPr>
        <w:spacing w:before="0" w:after="80" w:line="276" w:lineRule="auto"/>
        <w:jc w:val="both"/>
      </w:pPr>
      <w:r>
        <w:rPr>
          <w:rFonts w:ascii="Times New Roman" w:hAnsi="Times New Roman"/>
          <w:b w:val="0"/>
          <w:i w:val="0"/>
          <w:color w:val="1E1E1E"/>
          <w:sz w:val="20"/>
        </w:rPr>
        <w:t>Resumen— El seguimiento sistemático del clima emocional y del nivel de atención de los estudiantes universitarios dentro del aula constituye un factor determinante para mitigar la fatiga cognitiva y el bajo rendimiento académico. No obstante, los sistemas convencionales de visión por computadora enfrentan severas restricciones para operar en tiempo real sobre hardware estándar, tales como variabilidad en la iluminación, sobreajuste ante microexpresiones sutiles y desbalance muestral extremo en las expresiones no dominantes. La presente investigación tuvo como objetivo diseñar, implementar y evaluar una arquitectura de red neuronal convolucional residual profunda con mecanismo de atención por canales, denominada EmotionResNetSE, integrada con la función de pérdida Focal Loss y un detector neuronal YuNet ONNX, orientada a la clasificación no invasiva de expresiones faciales en tiempo real. La metodología adoptó un enfoque cuantitativo, de tipo aplicado y con diseño experimental sobre el conjunto de datos estándar FER-2013 (35 887 imágenes faciales). Para contrarrestar el desbalance de clases, se implementó sobremuestreo estocástico y regularización Mixup. La evaluación sobre la partición de prueba independiente de 7 178 imágenes demostró que la arquitectura EmotionResNetSE alcanzó una exactitud global del 68.14 %, superando la línea base de concordancia humana promedio en este corpus (65 %). La aplicación de Focal Loss permitió alcanzar un F1-score de 0.7013 en la clase crítica Disgusto, mientras que en entornos de captura continua el pipeline mantuvo una tasa de inferencia fluida de 60 FPS con una latencia promedio de 18.2 ms en CPU estándar. Se concluye que la calibración sinérgica entre conexiones residuales, recalibración por atención SE y filtros temporales proporciona una solución viable, precisa y de bajo costo para el análisis del clima afectivo en aulas universitarias.</w:t>
      </w:r>
    </w:p>
    <w:p>
      <w:pPr>
        <w:spacing w:before="0" w:after="240" w:line="276" w:lineRule="auto"/>
        <w:jc w:val="both"/>
      </w:pPr>
      <w:r>
        <w:rPr>
          <w:rFonts w:ascii="Times New Roman" w:hAnsi="Times New Roman"/>
          <w:b w:val="0"/>
          <w:i/>
          <w:color w:val="1E1E1E"/>
          <w:sz w:val="19"/>
        </w:rPr>
        <w:t>Palabras clave— Reconocimiento de emociones faciales, redes neuronales residuales, atención Squeeze-and-Excitation, función Focal Loss, detector facial YuNet, visión por computadora.</w:t>
      </w:r>
    </w:p>
    <w:p>
      <w:pPr>
        <w:spacing w:before="0" w:after="80" w:line="276" w:lineRule="auto"/>
        <w:jc w:val="both"/>
      </w:pPr>
      <w:r>
        <w:rPr>
          <w:rFonts w:ascii="Times New Roman" w:hAnsi="Times New Roman"/>
          <w:b w:val="0"/>
          <w:i w:val="0"/>
          <w:color w:val="1E1E1E"/>
          <w:sz w:val="20"/>
        </w:rPr>
        <w:t>Abstract— Systematic monitoring of emotional climate and student attention in university classrooms represents a vital factor in mitigating cognitive fatigue and academic underperformance. However, conventional computer vision systems encounter severe bottlenecks when operating in real time on commodity hardware, including lighting variations, overfitting on subtle micro-expressions, and extreme class imbalance in underrepresented affective categories. This study aimed to design, implement, and evaluate a deep residual convolutional neural network architecture with channel-wise attention, designated EmotionResNetSE, coupled with Focal Loss and a lightweight YuNet ONNX face detector, tailored for non-invasive facial expression classification in real time. The research adopted a quantitative, applied, and experimental design on the benchmark FER-2013 dataset (35,887 facial images). Class imbalance was mitigated via stochastic oversampling and Mixup regularization. Evaluation across the independent test partition of 7,178 images showed that EmotionResNetSE achieved an overall accuracy of 68.14%, outperforming average human baseline consistency on this benchmark (65%). Focal Loss yielded an F1-score of 0.7013 on the highly sparse Disgust class, while the live video pipeline sustained 60 FPS with an average latency of 18.2 ms on standard multi-core CPU. It is concluded that combining residual topologies, Squeeze-and-Excitation recalibration, and temporal filters delivers an accurate, low-cost solution for academic affective computing.</w:t>
      </w:r>
    </w:p>
    <w:p>
      <w:pPr>
        <w:spacing w:before="0" w:after="320" w:line="276" w:lineRule="auto"/>
        <w:jc w:val="both"/>
      </w:pPr>
      <w:r>
        <w:rPr>
          <w:rFonts w:ascii="Times New Roman" w:hAnsi="Times New Roman"/>
          <w:b w:val="0"/>
          <w:i/>
          <w:color w:val="1E1E1E"/>
          <w:sz w:val="19"/>
        </w:rPr>
        <w:t>Keywords— Facial emotion recognition, residual neural networks, Squeeze-and-Excitation attention, Focal Loss, YuNet face detector, computer vision.</w:t>
      </w:r>
    </w:p>
    <w:p>
      <w:pPr>
        <w:keepNext/>
        <w:spacing w:before="360" w:after="120"/>
        <w:jc w:val="center"/>
      </w:pPr>
      <w:r>
        <w:rPr>
          <w:rFonts w:ascii="Times New Roman" w:hAnsi="Times New Roman"/>
          <w:b/>
          <w:color w:val="003366"/>
          <w:sz w:val="24"/>
        </w:rPr>
        <w:t>INTRODUCCIÓN</w:t>
      </w:r>
    </w:p>
    <w:p>
      <w:pPr>
        <w:spacing w:before="0" w:after="120" w:line="276" w:lineRule="auto"/>
        <w:jc w:val="both"/>
      </w:pPr>
      <w:r>
        <w:rPr>
          <w:rFonts w:ascii="Times New Roman" w:hAnsi="Times New Roman"/>
          <w:b w:val="0"/>
          <w:i w:val="0"/>
          <w:color w:val="1E1E1E"/>
          <w:sz w:val="22"/>
        </w:rPr>
        <w:t>En el ámbito contemporáneo de la educación superior, la interacción pedagógica en el aula experimenta transformaciones sustanciales derivadas de la digitalización y el incremento en las exigencias curriculares. A nivel internacional, diversas investigaciones en computación afectiva reportan que los estados emocionales desfavorables —tales como la frustración prolongada, la fatiga mental y la desmotivación— guardan una correlación directa con la deserción estudiantil y el bajo rendimiento académico (Ekman, 1992; Picard, 1997). Sin embargo, tal como señalan Li y Deng (2020) en su exhaustiva revisión sobre reconocimiento facial de emociones con aprendizaje profundo, los sistemas automatizados basados en visión por computadora diseñados para registrar estas dinámicas enfrentan desafíos técnicos de envergadura: elevado costo computacional de arquitecturas monolíticas, escasa explicabilidad funcional y degradación predictiva ante condiciones no controladas de iluminación y cambios posturales (Talele y Jain, 2025; Vaijayanthi y Arunnehru, 2024).</w:t>
      </w:r>
    </w:p>
    <w:p>
      <w:pPr>
        <w:spacing w:before="0" w:after="120" w:line="276" w:lineRule="auto"/>
        <w:jc w:val="both"/>
      </w:pPr>
      <w:r>
        <w:rPr>
          <w:rFonts w:ascii="Times New Roman" w:hAnsi="Times New Roman"/>
          <w:b w:val="0"/>
          <w:i w:val="0"/>
          <w:color w:val="1E1E1E"/>
          <w:sz w:val="22"/>
        </w:rPr>
        <w:t>En el contexto peruano, la problemática de la salud emocional y la sobrecarga académica en las aulas universitarias se encuentra respaldada por evidencias estadísticas institucionales. De acuerdo con el diagnóstico de la Dirección de Salud Mental del Ministerio de Salud (MINSA, 2022) y las estimaciones del Instituto Nacional de Estadística e Informática (INEI, 2023) en su reporte sobre enfermedades no transmisibles, más del 70 % de los jóvenes universitarios peruanos entre 18 y 25 años experimentan episodios recurrentes vinculados al estrés académico moderado a severo, fatiga cognitiva y ansiedad. Asimismo, la Defensoría del Pueblo (2022), en su informe de adjuntía sobre salud mental en la comunidad universitaria, constató que el 62.0 % de los estudiantes encuestados manifestaron períodos prolongados de agotamiento emocional en las aulas sin que sus instituciones dispusieran de mecanismos sistemáticos o no invasivos para alertar oportunamente sobre estos estados. A este escenario se suma la evidencia presentada por la Superintendencia Nacional de Educación Superior Universitaria en su III Informe Bienal (SUNEDU, 2022), donde se documenta que la deserción universitaria en los primeros ciclos alcanza el 18.2 % a nivel nacional y supera el 21.0 % en universidades privadas de Lima Metropolitana, identificando al deterioro de la experiencia afectiva en el aula y la falta de acompañamiento oportuno entre los factores determinantes.</w:t>
      </w:r>
    </w:p>
    <w:p>
      <w:pPr>
        <w:spacing w:before="0" w:after="120" w:line="276" w:lineRule="auto"/>
        <w:jc w:val="both"/>
      </w:pPr>
      <w:r>
        <w:rPr>
          <w:rFonts w:ascii="Times New Roman" w:hAnsi="Times New Roman"/>
          <w:b w:val="0"/>
          <w:i w:val="0"/>
          <w:color w:val="1E1E1E"/>
          <w:sz w:val="22"/>
        </w:rPr>
        <w:t>En el ámbito local, esta problemática se refleja nítidamente en la Universidad Privada del Norte (UPN), sede Chorrillos. En los laboratorios y aulas de las carreras de ingeniería, la densidad de estudiantes por sesión oscila comúnmente entre 35 y 40 alumnos por docente. Esta proporción numérica impide físicamente que el profesor identifique de forma manual o visual las microexpresiones de incomprensión, desconexión cognitiva o frustración en el momento exacto en que ocurren. La carencia de herramientas tecnológicas accesibles de visión artificial adaptadas al campus dificulta alertar oportunamente sobre la fatiga grupal. Por consiguiente, resulta imperativo diseñar una solución tecnológica basada en aprendizaje profundo que opere con bajo consumo de cómputo en equipos convencionales, evitando requerir servidores de alto rendimiento inalcanzables en cada aula.</w:t>
      </w:r>
    </w:p>
    <w:p>
      <w:pPr>
        <w:keepNext/>
        <w:spacing w:before="240" w:after="80"/>
        <w:jc w:val="left"/>
      </w:pPr>
      <w:r>
        <w:rPr>
          <w:rFonts w:ascii="Times New Roman" w:hAnsi="Times New Roman"/>
          <w:b/>
          <w:color w:val="004C99"/>
          <w:sz w:val="22"/>
        </w:rPr>
        <w:t>Planteamiento del problema</w:t>
      </w:r>
    </w:p>
    <w:p>
      <w:pPr>
        <w:spacing w:before="0" w:after="120" w:line="276" w:lineRule="auto"/>
        <w:jc w:val="both"/>
      </w:pPr>
      <w:r>
        <w:rPr>
          <w:rFonts w:ascii="Times New Roman" w:hAnsi="Times New Roman"/>
          <w:b w:val="0"/>
          <w:i w:val="0"/>
          <w:color w:val="1E1E1E"/>
          <w:sz w:val="22"/>
        </w:rPr>
        <w:t>El problema técnico fundamental que aborda esta investigación radica en la dificultad que presentan los algoritmos tradicionales de aprendizaje automático y las redes convolucionales superficiales para clasificar con precisión las expresiones faciales humanas en secuencias de video en tiempo real dentro del entorno universitario. Dicha limitación obedece a factores intrínsecos de la visión artificial: la similitud morfológica sutil entre expresiones complejas (como tristeza frente a neutralidad, o sorpresa frente a miedo), la variación fotométrica irregular en los ambientes de clase, las rotaciones faciales espontáneas de los alumnos y el marcado desbalance en la distribución de datos en corpus estándar. En el corpus de referencia FER-2013, analizado seminalmente por Goodfellow et al. (2015), se evidenció que la concordancia humana promedio en imágenes faciales complejas se sitúa en torno al 65.0 %, lo que subraya la dificultad del reto algorítmico. Cuando los clasificadores convencionales procesan estos flujos sin mecanismos selectivos de atención, tienden a sesgarse hacia las categorías mayoritarias y generan oscilaciones erráticas entre cuadros consecutivos (flickering).</w:t>
      </w:r>
    </w:p>
    <w:p>
      <w:pPr>
        <w:spacing w:before="0" w:after="120" w:line="276" w:lineRule="auto"/>
        <w:jc w:val="both"/>
      </w:pPr>
      <w:r>
        <w:rPr>
          <w:rFonts w:ascii="Times New Roman" w:hAnsi="Times New Roman"/>
          <w:b w:val="0"/>
          <w:i w:val="0"/>
          <w:color w:val="1E1E1E"/>
          <w:sz w:val="22"/>
        </w:rPr>
        <w:t>La delimitación del proyecto se circunscribe a la comunidad estudiantil de la Universidad Privada del Norte, sede Chorrillos, en el marco de sesiones académicas regulares. Se enfatiza con absoluta claridad el carácter estrictamente ingenieril y pedagógico del artefacto: el sistema no tiene propósitos de diagnóstico clínico, evaluación psicológica individualizada ni recolección biométrica nominativa. Su alcance reside en operar como un sensor de visión computacional no invasivo capaz de cuantificar agregadamente el clima afectivo del aula para la retroalimentación docente.</w:t>
      </w:r>
    </w:p>
    <w:p>
      <w:pPr>
        <w:spacing w:before="0" w:after="120" w:line="276" w:lineRule="auto"/>
        <w:jc w:val="both"/>
      </w:pPr>
      <w:r>
        <w:rPr>
          <w:rFonts w:ascii="Times New Roman" w:hAnsi="Times New Roman"/>
          <w:b w:val="0"/>
          <w:i w:val="0"/>
          <w:color w:val="1E1E1E"/>
          <w:sz w:val="22"/>
        </w:rPr>
        <w:t>A partir de la problemática expuesta, se formula la pregunta principal de investigación: ¿De qué manera la implementación de una arquitectura convolucional residual profunda con mecanismo de atención Squeeze-and-Excitation (EmotionResNetSE) y función de pérdida Focal Loss optimiza el reconocimiento de emociones faciales en tiempo real en estudiantes universitarios de la Universidad Privada del Norte, sede Chorrillos? Asimismo, se desprenden las siguientes interrogantes específicas: ¿Cómo mitigar el impacto del desbalance muestral severo en las clases afectivas minoritarias sin provocar sobreajuste algorítmico? ¿Cuál es la configuración topológica óptima que permite balancear la profundidad representacional y la latencia temporal en inferencia? ¿Qué nivel de exactitud y eficiencia de procesamiento en cuadros por segundo alcanza el modelo propuesto en comparación con los clasificadores de referencia?</w:t>
      </w:r>
    </w:p>
    <w:p>
      <w:pPr>
        <w:spacing w:before="0" w:after="120" w:line="276" w:lineRule="auto"/>
        <w:jc w:val="both"/>
      </w:pPr>
      <w:r>
        <w:rPr>
          <w:rFonts w:ascii="Times New Roman" w:hAnsi="Times New Roman"/>
          <w:b w:val="0"/>
          <w:i w:val="0"/>
          <w:color w:val="1E1E1E"/>
          <w:sz w:val="22"/>
        </w:rPr>
        <w:t>La justificación de la investigación se sustenta en cuatro dimensiones fundamentales. En la dimensión práctica, proporciona a la sede Chorrillos una herramienta de bajo costo y despliegue inmediato en computadoras estándar que brinda retroalimentación pedagógica en vivo sobre el clima grupal. En la dimensión social, apoya el bienestar estudiantil mediante la prevención temprana del estrés y la desmotivación en el aula. En la dimensión metodológica, articula de forma reproducible una secuencia que integra sobremuestreo en VRAM, aumento estocástico de datos, alineación facial por landmarks y regularización con Focal Loss. Finalmente, en la dimensión teórica, expande el estado del arte demostrando cómo la recalibración adaptativa por canales en redes residuales maximiza la discriminación de expresiones complejas sin elevar la complejidad computacional.</w:t>
      </w:r>
    </w:p>
    <w:p>
      <w:pPr>
        <w:keepNext/>
        <w:spacing w:before="240" w:after="80"/>
        <w:jc w:val="left"/>
      </w:pPr>
      <w:r>
        <w:rPr>
          <w:rFonts w:ascii="Times New Roman" w:hAnsi="Times New Roman"/>
          <w:b/>
          <w:color w:val="004C99"/>
          <w:sz w:val="22"/>
        </w:rPr>
        <w:t>Objetivos de la investigación</w:t>
      </w:r>
    </w:p>
    <w:p>
      <w:pPr>
        <w:keepNext/>
        <w:spacing w:before="160" w:after="60"/>
        <w:jc w:val="left"/>
      </w:pPr>
      <w:r>
        <w:rPr>
          <w:rFonts w:ascii="Times New Roman" w:hAnsi="Times New Roman"/>
          <w:b/>
          <w:i/>
          <w:color w:val="1E1E1E"/>
          <w:sz w:val="21"/>
        </w:rPr>
        <w:t>Objetivo general</w:t>
      </w:r>
    </w:p>
    <w:p>
      <w:pPr>
        <w:spacing w:before="0" w:after="120" w:line="276" w:lineRule="auto"/>
        <w:jc w:val="both"/>
      </w:pPr>
      <w:r>
        <w:rPr>
          <w:rFonts w:ascii="Times New Roman" w:hAnsi="Times New Roman"/>
          <w:b w:val="0"/>
          <w:i w:val="0"/>
          <w:color w:val="1E1E1E"/>
          <w:sz w:val="22"/>
        </w:rPr>
        <w:t>Diseñar, implementar y evaluar la arquitectura profunda EmotionResNetSE con mecanismo de atención Squeeze-and-Excitation y función de pérdida Focal Loss para optimizar el reconocimiento de emociones faciales en tiempo real sobre hardware convencional en entornos educativos universitarios.</w:t>
      </w:r>
    </w:p>
    <w:p>
      <w:pPr>
        <w:keepNext/>
        <w:spacing w:before="160" w:after="60"/>
        <w:jc w:val="left"/>
      </w:pPr>
      <w:r>
        <w:rPr>
          <w:rFonts w:ascii="Times New Roman" w:hAnsi="Times New Roman"/>
          <w:b/>
          <w:i/>
          <w:color w:val="1E1E1E"/>
          <w:sz w:val="21"/>
        </w:rPr>
        <w:t>Objetivos específicos</w:t>
      </w:r>
    </w:p>
    <w:p>
      <w:pPr>
        <w:spacing w:before="0" w:after="120" w:line="276" w:lineRule="auto"/>
        <w:jc w:val="both"/>
      </w:pPr>
      <w:r>
        <w:rPr>
          <w:rFonts w:ascii="Times New Roman" w:hAnsi="Times New Roman"/>
          <w:b w:val="0"/>
          <w:i w:val="0"/>
          <w:color w:val="1E1E1E"/>
          <w:sz w:val="22"/>
        </w:rPr>
        <w:t>OE1. Analizar la situación del reconocimiento de expresiones faciales y mitigar el desbalance muestral severo en el conjunto de datos estándar FER-2013 mediante sobremuestreo estocástico, regularización Mixup y ponderación adaptativa con Focal Loss.</w:t>
      </w:r>
    </w:p>
    <w:p>
      <w:pPr>
        <w:spacing w:before="0" w:after="120" w:line="276" w:lineRule="auto"/>
        <w:jc w:val="both"/>
      </w:pPr>
      <w:r>
        <w:rPr>
          <w:rFonts w:ascii="Times New Roman" w:hAnsi="Times New Roman"/>
          <w:b w:val="0"/>
          <w:i w:val="0"/>
          <w:color w:val="1E1E1E"/>
          <w:sz w:val="22"/>
        </w:rPr>
        <w:t>OE2. Diseñar e implementar la arquitectura profunda EmotionResNetSE y el pipeline de inferencia multi-rostro en tiempo real integrando el detector neuronal YuNet ONNX, alineación afín y filtrado temporal móvil exponencial (EMA).</w:t>
      </w:r>
    </w:p>
    <w:p>
      <w:pPr>
        <w:spacing w:before="0" w:after="120" w:line="276" w:lineRule="auto"/>
        <w:jc w:val="both"/>
      </w:pPr>
      <w:r>
        <w:rPr>
          <w:rFonts w:ascii="Times New Roman" w:hAnsi="Times New Roman"/>
          <w:b w:val="0"/>
          <w:i w:val="0"/>
          <w:color w:val="1E1E1E"/>
          <w:sz w:val="22"/>
        </w:rPr>
        <w:t>OE3. Evaluar y contrastar experimentalmente el desempeño predictivo del modelo en el conjunto de prueba independiente de 7 178 imágenes y medir la eficiencia operativa del sistema en cuadros por segundo y latencia de procesamiento.</w:t>
      </w:r>
    </w:p>
    <w:p>
      <w:pPr>
        <w:keepNext/>
        <w:spacing w:before="240" w:after="80"/>
        <w:jc w:val="left"/>
      </w:pPr>
      <w:r>
        <w:rPr>
          <w:rFonts w:ascii="Times New Roman" w:hAnsi="Times New Roman"/>
          <w:b/>
          <w:color w:val="004C99"/>
          <w:sz w:val="22"/>
        </w:rPr>
        <w:t>Alcance, restricciones y criterios de éxito</w:t>
      </w:r>
    </w:p>
    <w:p>
      <w:pPr>
        <w:spacing w:before="0" w:after="120" w:line="276" w:lineRule="auto"/>
        <w:jc w:val="both"/>
      </w:pPr>
      <w:r>
        <w:rPr>
          <w:rFonts w:ascii="Times New Roman" w:hAnsi="Times New Roman"/>
          <w:b w:val="0"/>
          <w:i w:val="0"/>
          <w:color w:val="1E1E1E"/>
          <w:sz w:val="22"/>
        </w:rPr>
        <w:t>El alcance del proyecto comprende el desarrollo completo del modelo EmotionResNetSE en PyTorch, su exportación e interoperabilidad en formato estándar ONNX, y la ejecución de un aplicativo ejecutable autónomo en Python/OpenCV capaz de procesar flujos de video continuo a resolución estándar (640×480 píxeles a 30–60 FPS) capturados con cámaras web convencionales. El sistema clasifica el rostro en las 7 emociones básicas universales de Ekman: enojo, disgusto, miedo, felicidad, tristeza, sorpresa y neutralidad.</w:t>
      </w:r>
    </w:p>
    <w:p>
      <w:pPr>
        <w:spacing w:before="0" w:after="120" w:line="276" w:lineRule="auto"/>
        <w:jc w:val="both"/>
      </w:pPr>
      <w:r>
        <w:rPr>
          <w:rFonts w:ascii="Times New Roman" w:hAnsi="Times New Roman"/>
          <w:b w:val="0"/>
          <w:i w:val="0"/>
          <w:color w:val="1E1E1E"/>
          <w:sz w:val="22"/>
        </w:rPr>
        <w:t>Quedan explícitamente fuera del alcance el diagnóstico psicopatológico clínico de patologías mentales, la identificación nominal o el almacenamiento persistente de grabaciones faciales en cumplimiento de la normativa de privacidad, y el procesamiento bajo oclusión facial extrema superior al 60 % de la superficie del rostro.</w:t>
      </w:r>
    </w:p>
    <w:p>
      <w:pPr>
        <w:spacing w:before="0" w:after="120" w:line="276" w:lineRule="auto"/>
        <w:jc w:val="both"/>
      </w:pPr>
      <w:r>
        <w:rPr>
          <w:rFonts w:ascii="Times New Roman" w:hAnsi="Times New Roman"/>
          <w:b w:val="0"/>
          <w:i w:val="0"/>
          <w:color w:val="1E1E1E"/>
          <w:sz w:val="22"/>
        </w:rPr>
        <w:t>Las restricciones técnicas radican en la resolución nativa del conjunto de datos FER-2013 (48×48 píxeles en escala de grises), la presencia de ruidos fotométricos y sombras en laboratorios, y la exigencia de operar en computadoras personales universitarias sin soporte indispensable de unidades de procesamiento gráfico (GPU) dedicadas.</w:t>
      </w:r>
    </w:p>
    <w:p>
      <w:pPr>
        <w:spacing w:before="0" w:after="120" w:line="276" w:lineRule="auto"/>
        <w:jc w:val="both"/>
      </w:pPr>
      <w:r>
        <w:rPr>
          <w:rFonts w:ascii="Times New Roman" w:hAnsi="Times New Roman"/>
          <w:b w:val="0"/>
          <w:i w:val="0"/>
          <w:color w:val="1E1E1E"/>
          <w:sz w:val="22"/>
        </w:rPr>
        <w:t>Los criterios de éxito medibles establecidos para validar la solución son los siguientes: (a) Alcanzar una exactitud global (Accuracy) en el conjunto de prueba independiente superior al 65.0 %, que representa la línea base promedio de coincidencia interhumana en el dataset FER-2013 (Goodfellow et al., 2015); (b) Obtener un macro F1-score superior a 0.65, garantizando un rendimiento equilibrado en categorías hiper-minoritarias; y (c) Mantener una tasa de procesamiento en tiempo real igual o superior a 30 FPS con una latencia de inferencia menor a 33 milisegundos por cuadro sobre CPU convencional.</w:t>
      </w:r>
    </w:p>
    <w:p>
      <w:pPr>
        <w:keepNext/>
        <w:spacing w:before="360" w:after="120"/>
        <w:jc w:val="center"/>
      </w:pPr>
      <w:r>
        <w:rPr>
          <w:rFonts w:ascii="Times New Roman" w:hAnsi="Times New Roman"/>
          <w:b/>
          <w:color w:val="003366"/>
          <w:sz w:val="24"/>
        </w:rPr>
        <w:t>MARCO TEÓRICO</w:t>
      </w:r>
    </w:p>
    <w:p>
      <w:pPr>
        <w:keepNext/>
        <w:spacing w:before="240" w:after="80"/>
        <w:jc w:val="left"/>
      </w:pPr>
      <w:r>
        <w:rPr>
          <w:rFonts w:ascii="Times New Roman" w:hAnsi="Times New Roman"/>
          <w:b/>
          <w:color w:val="004C99"/>
          <w:sz w:val="22"/>
        </w:rPr>
        <w:t>Antecedentes de la investigación</w:t>
      </w:r>
    </w:p>
    <w:p>
      <w:pPr>
        <w:keepNext/>
        <w:spacing w:before="160" w:after="60"/>
        <w:jc w:val="left"/>
      </w:pPr>
      <w:r>
        <w:rPr>
          <w:rFonts w:ascii="Times New Roman" w:hAnsi="Times New Roman"/>
          <w:b/>
          <w:i/>
          <w:color w:val="1E1E1E"/>
          <w:sz w:val="21"/>
        </w:rPr>
        <w:t>Antecedentes internacionales</w:t>
      </w:r>
    </w:p>
    <w:p>
      <w:pPr>
        <w:spacing w:before="0" w:after="120" w:line="276" w:lineRule="auto"/>
        <w:jc w:val="both"/>
      </w:pPr>
      <w:r>
        <w:rPr>
          <w:rFonts w:ascii="Times New Roman" w:hAnsi="Times New Roman"/>
          <w:b w:val="0"/>
          <w:i w:val="0"/>
          <w:color w:val="1E1E1E"/>
          <w:sz w:val="22"/>
        </w:rPr>
        <w:t>En el ámbito internacional, las investigaciones en reconocimiento de expresiones faciales se han orientado predominantemente a optimizar el compromiso entre la profundidad de las redes convolucionales y la eficiencia de inferencia. Talele y Jain (2025) llevaron a cabo un análisis comparativo entre redes convolucionales estándar y la arquitectura residual ResNet-50 aplicada a la clasificación afectiva sobre los conjuntos de datos FER-2013 y corpus complementarios de laboratorio. Mediante un enfoque cuantitativo-experimental con transferencia de aprendizaje, los autores obtuvieron una exactitud del 85.75 % con ResNet-50 frente al 74.00 % de una CNN básica, demostrando que las conexiones residuales de salto mitigan efectivamente la degradación del gradiente. No obstante, dicho estudio empleó la función clásica de entropía cruzada, manifestando una marcada caída de precisión en expresiones sutiles y requiriendo una infraestructura de cómputo sustancial. Este hallazgo aportó a la presente investigación la fundamentación para adoptar el paradigma residual, pero incorporando módulos de atención selectiva y funciones de costo adaptativas para mitigar el desbalance sin sobrecargar los requisitos de hardware.</w:t>
      </w:r>
    </w:p>
    <w:p>
      <w:pPr>
        <w:spacing w:before="0" w:after="120" w:line="276" w:lineRule="auto"/>
        <w:jc w:val="both"/>
      </w:pPr>
      <w:r>
        <w:rPr>
          <w:rFonts w:ascii="Times New Roman" w:hAnsi="Times New Roman"/>
          <w:b w:val="0"/>
          <w:i w:val="0"/>
          <w:color w:val="1E1E1E"/>
          <w:sz w:val="22"/>
        </w:rPr>
        <w:t>Asimismo, Wu y Wang (2025) propusieron un método de reconocimiento de expresiones faciales basado en la arquitectura ResNet integrada con módulos de atención Squeeze-and-Excitation (SE), regularización por aumento Mixup y suavizado de etiquetas (Label Smoothing). Evaluado sobre el conjunto de datos FER-2013, su modelo alcanzó una exactitud del 73.69 %, demostrando que la combinación de atención por canales y regularización de etiquetas atenúa eficazmente el desbalance y la ambigüedad en expresiones difíciles. Este antecedente validó directamente la configuración topológica adoptada en la arquitectura EmotionResNetSE.</w:t>
      </w:r>
    </w:p>
    <w:p>
      <w:pPr>
        <w:spacing w:before="0" w:after="120" w:line="276" w:lineRule="auto"/>
        <w:jc w:val="both"/>
      </w:pPr>
      <w:r>
        <w:rPr>
          <w:rFonts w:ascii="Times New Roman" w:hAnsi="Times New Roman"/>
          <w:b w:val="0"/>
          <w:i w:val="0"/>
          <w:color w:val="1E1E1E"/>
          <w:sz w:val="22"/>
        </w:rPr>
        <w:t>En la misma línea comparativa, Bandlapalli et al. (2026) evaluaron el desempeño de arquitecturas CNN, VGGNet y ResNet bajo condiciones experimentales idénticas sobre el corpus FER-2013. Su análisis demostró que los modelos residuales logran un 78.45 % de exactitud con únicamente 3.05 millones de parámetros, reduciendo en más del 57 % la huella computacional frente a redes convolucionales densas como VGGNet, lo que reafirmó la elección de una topología residual ligera para su ejecución en tiempo real.</w:t>
      </w:r>
    </w:p>
    <w:p>
      <w:pPr>
        <w:spacing w:before="0" w:after="120" w:line="276" w:lineRule="auto"/>
        <w:jc w:val="both"/>
      </w:pPr>
      <w:r>
        <w:rPr>
          <w:rFonts w:ascii="Times New Roman" w:hAnsi="Times New Roman"/>
          <w:b w:val="0"/>
          <w:i w:val="0"/>
          <w:color w:val="1E1E1E"/>
          <w:sz w:val="22"/>
        </w:rPr>
        <w:t>Por su parte, Vaijayanthi y Arunnehru (2024) investigaron la reducción de complejidad espacial mediante la integración de redes neuronales profundas con puntos de referencia faciales (landmarks) y optimización por enjambre de partículas (PSO). A través de un diseño experimental sobre los corpus estandarizados MUG (11 758 imágenes) y GEMEP, los investigadores lograron compactar el espacio vectorial a únicamente 66 características geométricas salientes, obteniendo una precisión del 98.76 % en el dataset MUG con una reducción drástica del tiempo de cómputo. Sin embargo, su validación se limitó a secuencias grabadas bajo condiciones ideales de iluminación y con gesticulación artificial de actores. El principal aporte derivado de esta propuesta consistió en evidenciar la eficacia de los landmarks faciales como mecanismo previo de normalización y alineación geométrica, criterio que en el presente trabajo se implementó mediante el detector neuronal YuNet.</w:t>
      </w:r>
    </w:p>
    <w:p>
      <w:pPr>
        <w:spacing w:before="0" w:after="120" w:line="276" w:lineRule="auto"/>
        <w:jc w:val="both"/>
      </w:pPr>
      <w:r>
        <w:rPr>
          <w:rFonts w:ascii="Times New Roman" w:hAnsi="Times New Roman"/>
          <w:b w:val="0"/>
          <w:i w:val="0"/>
          <w:color w:val="1E1E1E"/>
          <w:sz w:val="22"/>
        </w:rPr>
        <w:t>En la misma dirección de optimización, Alharbi (2024) formuló una metodología de cómputo afectivo explicable en entornos virtuales inmersivos combinando redes con mecanismos de atención espacial y temporal (Attention-LSTM) con la librería SHAP. Evaluando el comportamiento de 34 participantes expuestos a estímulos audiovisuales en el corpus VREED, su modelo alcanzó una exactitud del 99.99 %, evidenciando que los módulos de atención canalizan el aprendizaje hacia las regiones faciales más informativas (comisuras labiales y ceño). Pese a este sobresaliente rendimiento, la necesidad de sensores biométricos invasivos complementarios (seguimiento ocular y sensores galvánicos) restringió su traslación a entornos formativos masivos. Esta evidencia orientó a la presente tesis hacia el uso exclusivo de atención por canales en imágenes monocromáticas, prescindiendo de dispositivos biométricos periféricos costosos.</w:t>
      </w:r>
    </w:p>
    <w:p>
      <w:pPr>
        <w:spacing w:before="0" w:after="120" w:line="276" w:lineRule="auto"/>
        <w:jc w:val="both"/>
      </w:pPr>
      <w:r>
        <w:rPr>
          <w:rFonts w:ascii="Times New Roman" w:hAnsi="Times New Roman"/>
          <w:b w:val="0"/>
          <w:i w:val="0"/>
          <w:color w:val="1E1E1E"/>
          <w:sz w:val="22"/>
        </w:rPr>
        <w:t>Finalmente, Khaireddin y Chen (2021) evaluaron el impacto de técnicas de normalización fotométrica basada en ecualización de histogramas aplicada a clasificadores VGG sobre los conjuntos de datos JAFFE y CK+. Sus experimentos revelaron que normalizar el contraste local antes de la convolución agiliza la convergencia del optimizador y eleva la tasa de acierto frente a iluminaciones asimétricas. No obstante, las redes VGG presentan un volumen excesivo de parámetros (más de 138 millones), lo que restringe su portabilidad en tiempo real. Este antecedente fundamentó la incorporación de la técnica CLAHE acoplada a normalización Z-score dentro de nuestro pipeline de preprocesamiento, trasladando los beneficios fotométricos a una arquitectura residual altamente liviana.</w:t>
      </w:r>
    </w:p>
    <w:p>
      <w:pPr>
        <w:spacing w:before="0" w:after="120" w:line="276" w:lineRule="auto"/>
        <w:jc w:val="both"/>
      </w:pPr>
      <w:r>
        <w:rPr>
          <w:rFonts w:ascii="Times New Roman" w:hAnsi="Times New Roman"/>
          <w:b w:val="0"/>
          <w:i w:val="0"/>
          <w:color w:val="1E1E1E"/>
          <w:sz w:val="22"/>
        </w:rPr>
        <w:t>Al contrastar críticamente los antecedentes internacionales expuestos, se evidencia una marcada contraposición entre las arquitecturas monolíticas de alto consumo y los enfoques de optimización ligera. Mientras que Talele y Jain (2025) y Khaireddin y Chen (2021) priorizan redes densas (ResNet-50 y VGG) que dependen de hardware dedicado y sufren ante el desbalance de clases, y Alharbi (2024) requiere sensores biométricos invasivos inviables en un salón de clases masivo, las propuestas de Wu y Wang (2025) y Bandlapalli et al. (2026) demuestran una clara superioridad técnica para entornos reales al comprobar que las redes residuales compactas potenciadas con atención Squeeze-and-Excitation (SE) conservan una alta capacidad discriminativa reduciendo más del 57 % la carga computacional. En consecuencia, como postura crítica de esta investigación, se determina que el enfoque híbrido de Wu y Wang (2025), complementado con la alineación geométrica por landmarks de Vaijayanthi y Arunnehru (2024), constituye la alternativa metodológica más sólida y eficiente, razón por la cual se adopta como base para la arquitectura EmotionResNetSE, reemplazando el suavizado convencional por Focal Loss para resolver definitivamente el sesgo en clases minoritarias.</w:t>
      </w:r>
    </w:p>
    <w:p>
      <w:pPr>
        <w:keepNext/>
        <w:spacing w:before="160" w:after="60"/>
        <w:jc w:val="left"/>
      </w:pPr>
      <w:r>
        <w:rPr>
          <w:rFonts w:ascii="Times New Roman" w:hAnsi="Times New Roman"/>
          <w:b/>
          <w:i/>
          <w:color w:val="1E1E1E"/>
          <w:sz w:val="21"/>
        </w:rPr>
        <w:t>Antecedentes nacionales</w:t>
      </w:r>
    </w:p>
    <w:p>
      <w:pPr>
        <w:spacing w:before="0" w:after="120" w:line="276" w:lineRule="auto"/>
        <w:jc w:val="both"/>
      </w:pPr>
      <w:r>
        <w:rPr>
          <w:rFonts w:ascii="Times New Roman" w:hAnsi="Times New Roman"/>
          <w:b w:val="0"/>
          <w:i w:val="0"/>
          <w:color w:val="1E1E1E"/>
          <w:sz w:val="22"/>
        </w:rPr>
        <w:t>En el contexto nacional peruano, las investigaciones aplicadas al reconocimiento de patrones faciales y computación afectiva han abordado progresivamente problemáticas educativas y de interacción humana. Paricela-Canazas et al. (2022), investigadores de la Universidad Nacional de San Agustín de Arequipa (UNSA), desarrollaron un sistema de identificación de emociones mediante reconocimiento facial utilizando algoritmos de visión artificial en Python/OpenCV con EigenFaces, alcanzando una exactitud global del 71.43 % en la discriminación de expresiones básicas. Su estudio destacó el valor pedagógico de cuantificar las emociones de los aprendices en el aula para adaptar la estrategia docente, concluyendo que los modelos visuales ofrecen un canal no invasivo prometedor para diagnosticar el compromiso académico en el Perú.</w:t>
      </w:r>
    </w:p>
    <w:p>
      <w:pPr>
        <w:spacing w:before="0" w:after="120" w:line="276" w:lineRule="auto"/>
        <w:jc w:val="both"/>
      </w:pPr>
      <w:r>
        <w:rPr>
          <w:rFonts w:ascii="Times New Roman" w:hAnsi="Times New Roman"/>
          <w:b w:val="0"/>
          <w:i w:val="0"/>
          <w:color w:val="1E1E1E"/>
          <w:sz w:val="22"/>
        </w:rPr>
        <w:t>Por su parte, Aceituno Curo y Coyla Idme (2025), en una investigación desarrollada en la Universidad Nacional del Altiplano (UNA-Puno) e indexada en el Repositorio Nacional ALICIA CONCYTEC, implementaron un sistema de reconocimiento facial de emociones basado en redes neuronales convolucionales como herramienta de auxilio al docente universitario durante el desarrollo de sesiones de aprendizaje, logrando una tasa de exactitud del 76.42 % bajo condiciones operativas de aula. Su evaluación evidenció que el análisis automatizado de las expresiones de los estudiantes permite alertar al profesor sobre momentos de fatiga, desinterés o asombro, aportando una justificación empírica nacional directa sobre la utilidad pedagógica de estos clasificadores en la universidad pública y privada peruana.</w:t>
      </w:r>
    </w:p>
    <w:p>
      <w:pPr>
        <w:spacing w:before="0" w:after="120" w:line="276" w:lineRule="auto"/>
        <w:jc w:val="both"/>
      </w:pPr>
      <w:r>
        <w:rPr>
          <w:rFonts w:ascii="Times New Roman" w:hAnsi="Times New Roman"/>
          <w:b w:val="0"/>
          <w:i w:val="0"/>
          <w:color w:val="1E1E1E"/>
          <w:sz w:val="22"/>
        </w:rPr>
        <w:t>Asimismo, Balbuena Galván (2022), en la Pontificia Universidad Católica del Perú (PUCP), investigó el modelado de detección de emociones en rostros utilizando arquitecturas neuronales convolucionales profundas orientadas a agentes conversacionales e interfaces inteligentes en tiempo real, registrando una exactitud predictiva del 81.25 % en conjuntos de prueba estandarizados. Su trabajo analizó la sensibilidad de los clasificadores visuales ante perturbaciones de postura y oclusión parcial, aportando evidencia de que los modelos convolucionales requieren etapas de preprocesamiento robustas y alineación afín para operar con estabilidad ante rostros en ángulos no frontales.</w:t>
      </w:r>
    </w:p>
    <w:p>
      <w:pPr>
        <w:spacing w:before="0" w:after="120" w:line="276" w:lineRule="auto"/>
        <w:jc w:val="both"/>
      </w:pPr>
      <w:r>
        <w:rPr>
          <w:rFonts w:ascii="Times New Roman" w:hAnsi="Times New Roman"/>
          <w:b w:val="0"/>
          <w:i w:val="0"/>
          <w:color w:val="1E1E1E"/>
          <w:sz w:val="22"/>
        </w:rPr>
        <w:t>En el ámbito de la ingeniería de visión y seguridad en el Perú, Martinez et al. (2022), en un estudio publicado en las actas de la conferencia IEEE INTERCON Perú, diseñaron un modelo de visión artificial para la detección de fatiga y microsueños mediante extracción de puntos de referencia faciales (landmarks) y redes neuronales MobileNetV2. Los autores demostraron que el seguimiento de landmarks faciales permite calcular métricas geométricas consistentes con una tasa de acierto superior al 72.80 % en condiciones operativas reales, corroborando en el contexto nacional que los landmarks constituyen el mecanismo óptimo para la normalización facial previa a la clasificación profunda.</w:t>
      </w:r>
    </w:p>
    <w:p>
      <w:pPr>
        <w:spacing w:before="0" w:after="120" w:line="276" w:lineRule="auto"/>
        <w:jc w:val="both"/>
      </w:pPr>
      <w:r>
        <w:rPr>
          <w:rFonts w:ascii="Times New Roman" w:hAnsi="Times New Roman"/>
          <w:b w:val="0"/>
          <w:i w:val="0"/>
          <w:color w:val="1E1E1E"/>
          <w:sz w:val="22"/>
        </w:rPr>
        <w:t>Al enfrentar las investigaciones del ámbito nacional, se observa una divergencia técnica entre los sistemas orientados únicamente a la precisión estática y aquellos diseñados para la estabilidad operativa frente a perturbaciones reales. Si bien Paricela-Canazas et al. (2022) y Aceituno Curo y Coyla Idme (2025) validaron con éxito la pertinencia pedagógica del monitoreo emocional en aulas universitarias peruanas, sus implementaciones recayeron en detectores tradicionales y arquitecturas convolucionales planas vulnerables a falsos positivos y latencias elevadas. En contraste, los estudios de Balbuena Galván (2022) y Martinez et al. (2022) ofrecen un enfoque técnico superior al demostrar empíricamente que el reconocimiento facial en tiempo real colapsa si no se incorpora una etapa previa de normalización geométrica mediante puntos de referencia (landmarks) para corregir rotaciones de cabeza. Por tanto, el presente estudio toma partido por la línea técnica de Balbuena Galván (2022) y Martinez et al. (2022), integrando la extracción de landmarks mediante YuNet con la finalidad de superar los cuellos de botella temporales reportados en los prototipos educativos de Arequipa y Puno.</w:t>
      </w:r>
    </w:p>
    <w:p>
      <w:pPr>
        <w:keepNext/>
        <w:spacing w:before="160" w:after="60"/>
        <w:jc w:val="left"/>
      </w:pPr>
      <w:r>
        <w:rPr>
          <w:rFonts w:ascii="Times New Roman" w:hAnsi="Times New Roman"/>
          <w:b/>
          <w:i/>
          <w:color w:val="1E1E1E"/>
          <w:sz w:val="21"/>
        </w:rPr>
        <w:t>Antecedentes locales</w:t>
      </w:r>
    </w:p>
    <w:p>
      <w:pPr>
        <w:spacing w:before="0" w:after="120" w:line="276" w:lineRule="auto"/>
        <w:jc w:val="both"/>
      </w:pPr>
      <w:r>
        <w:rPr>
          <w:rFonts w:ascii="Times New Roman" w:hAnsi="Times New Roman"/>
          <w:b w:val="0"/>
          <w:i w:val="0"/>
          <w:color w:val="1E1E1E"/>
          <w:sz w:val="22"/>
        </w:rPr>
        <w:t>En el ámbito local e institucional de la Universidad Privada del Norte (UPN), sede Chorrillos, los laboratorios de cómputo disponen de estaciones de trabajo convencionales basadas en procesadores multinúcleo x86_64 pero carecen de aceleración gráfica dedicada (GPU CUDA) en los terminales de aula. Por su parte, en el campo de la investigación formativa universitaria, Ogosi-Auqui (2021) desarrolló una revisión sistemática sobre la integración de chatbots y agentes de inteligencia artificial en el proceso de aprendizaje universitario, evidenciando que las herramientas automatizadas potencian la interacción didáctica y el seguimiento académico cuando se diseñan como mediadores no invasivos del entorno educativo. Este antecedente institucional brindó el fundamento para extender el uso de la inteligencia artificial hacia la visión computacional en el aula, estableciendo que el monitoreo debe operar bajo principios estrictos de privacidad por diseño, prescindiendo del almacenamiento biométrico nominativo y priorizando la agregación estadística del clima de aula. Ambas condiciones locales definieron los requerimientos rectores bajo los cuales se estructuró la solución EmotionResNetSE.</w:t>
      </w:r>
    </w:p>
    <w:p>
      <w:pPr>
        <w:spacing w:before="0" w:after="120" w:line="276" w:lineRule="auto"/>
        <w:jc w:val="both"/>
      </w:pPr>
      <w:r>
        <w:rPr>
          <w:rFonts w:ascii="Times New Roman" w:hAnsi="Times New Roman"/>
          <w:b w:val="0"/>
          <w:i w:val="0"/>
          <w:color w:val="1E1E1E"/>
          <w:sz w:val="22"/>
        </w:rPr>
        <w:t>Asimismo, dentro de la misma carrera de Ingeniería de Sistemas Computacionales de la Universidad Privada del Norte en el distrito de Chorrillos (Lima), Angulo Yampufe y Panta Chira (2024) implementaron un sistema de software de reconocimiento facial basado en visión por computadora para optimizar el registro y seguimiento de estudiantes en la I.E. 6090 José Olaya Balandra de Chorrillos. Mediante un diseño experimental cuantitativo, su solución demostró una mejora sustancial en la exactitud de identificación en tiempo real y redujo drásticamente los tiempos operativos frente al control manual, confirmando la viabilidad técnica de desplegar algoritmos de visión artificial sobre infraestructura informática educativa estándar en el entorno local de Chorrillos.</w:t>
      </w:r>
    </w:p>
    <w:p>
      <w:pPr>
        <w:spacing w:before="0" w:after="120" w:line="276" w:lineRule="auto"/>
        <w:jc w:val="both"/>
      </w:pPr>
      <w:r>
        <w:rPr>
          <w:rFonts w:ascii="Times New Roman" w:hAnsi="Times New Roman"/>
          <w:b w:val="0"/>
          <w:i w:val="0"/>
          <w:color w:val="1E1E1E"/>
          <w:sz w:val="22"/>
        </w:rPr>
        <w:t>De la confrontación de los antecedentes locales en la Universidad Privada del Norte y el distrito de Chorrillos, se desprende una complementariedad directa entre el marco ético-pedagógico y la factibilidad de hardware. Mientras que Ogosi-Auqui (2021) aborda la inteligencia artificial desde la mediación conversacional enfatizando que la tecnología educativa no debe resultar intrusiva para el estudiante, Angulo Yampufe y Panta Chira (2024) demuestran en la práctica que las estaciones de cómputo estándar del entorno educativo de Chorrillos poseen la capacidad suficiente para ejecutar modelos de visión artificial en vivo. Evaluando ambos aportes, se concluye que el enfoque experimental de Angulo Yampufe y Panta Chira (2024) resulta el más determinante a nivel de arquitectura de software para validar la viabilidad operativa en CPU local, pero subordinándolo estrictamente al principio de mediación no invasiva y privacidad por diseño establecido por Ogosi-Auqui (2021).</w:t>
      </w:r>
    </w:p>
    <w:p>
      <w:pPr>
        <w:keepNext/>
        <w:spacing w:before="240" w:after="80"/>
        <w:jc w:val="left"/>
      </w:pPr>
      <w:r>
        <w:rPr>
          <w:rFonts w:ascii="Times New Roman" w:hAnsi="Times New Roman"/>
          <w:b/>
          <w:color w:val="004C99"/>
          <w:sz w:val="22"/>
        </w:rPr>
        <w:t>Bases teóricas</w:t>
      </w:r>
    </w:p>
    <w:p>
      <w:pPr>
        <w:spacing w:before="0" w:after="120" w:line="276" w:lineRule="auto"/>
        <w:jc w:val="both"/>
      </w:pPr>
      <w:r>
        <w:rPr>
          <w:rFonts w:ascii="Times New Roman" w:hAnsi="Times New Roman"/>
          <w:b w:val="0"/>
          <w:i w:val="0"/>
          <w:color w:val="1E1E1E"/>
          <w:sz w:val="22"/>
        </w:rPr>
        <w:t>Las bases teóricas de la investigación se estructuran rigurosamente en torno a los cinco fundamentos conceptuales que rigen el sistema:</w:t>
      </w:r>
    </w:p>
    <w:p>
      <w:pPr>
        <w:keepNext/>
        <w:spacing w:before="160" w:after="60"/>
        <w:jc w:val="left"/>
      </w:pPr>
      <w:r>
        <w:rPr>
          <w:rFonts w:ascii="Times New Roman" w:hAnsi="Times New Roman"/>
          <w:b/>
          <w:i/>
          <w:color w:val="1E1E1E"/>
          <w:sz w:val="21"/>
        </w:rPr>
        <w:t>1. Redes neuronales convolucionales residuales (ResNet)</w:t>
      </w:r>
    </w:p>
    <w:p>
      <w:pPr>
        <w:spacing w:before="0" w:after="120" w:line="276" w:lineRule="auto"/>
        <w:jc w:val="both"/>
      </w:pPr>
      <w:r>
        <w:rPr>
          <w:rFonts w:ascii="Times New Roman" w:hAnsi="Times New Roman"/>
          <w:b w:val="0"/>
          <w:i w:val="0"/>
          <w:color w:val="1E1E1E"/>
          <w:sz w:val="22"/>
        </w:rPr>
        <w:t>Las redes convolucionales tradicionales sufren el fenómeno de degradación cuando se incrementa su profundidad: a medida que se apilan capas, la precisión se satura y luego decae rápidamente debido a la disipación del gradiente en la retropropagación (He et al., 2016). Para solucionar este inconveniente, la arquitectura residual introduce conexiones de atajo o salto (skip connections) que aprenden un mapeo residual F(x) = H(x) - x, permitiendo que la señal del gradiente fluya directamente a través del bloque: H(x) = F(x) + x. En el presente proyecto, esta formulación matemática asegura la propagación íntegra de gradientes a lo largo de las 4 etapas residuales que estructuran el extractor jerárquico de rasgos faciales.</w:t>
      </w:r>
    </w:p>
    <w:p>
      <w:pPr>
        <w:keepNext/>
        <w:spacing w:before="160" w:after="60"/>
        <w:jc w:val="left"/>
      </w:pPr>
      <w:r>
        <w:rPr>
          <w:rFonts w:ascii="Times New Roman" w:hAnsi="Times New Roman"/>
          <w:b/>
          <w:i/>
          <w:color w:val="1E1E1E"/>
          <w:sz w:val="21"/>
        </w:rPr>
        <w:t>2. Mecanismo de atención por canales Squeeze-and-Excitation (SE)</w:t>
      </w:r>
    </w:p>
    <w:p>
      <w:pPr>
        <w:spacing w:before="0" w:after="120" w:line="276" w:lineRule="auto"/>
        <w:jc w:val="both"/>
      </w:pPr>
      <w:r>
        <w:rPr>
          <w:rFonts w:ascii="Times New Roman" w:hAnsi="Times New Roman"/>
          <w:b w:val="0"/>
          <w:i w:val="0"/>
          <w:color w:val="1E1E1E"/>
          <w:sz w:val="22"/>
        </w:rPr>
        <w:t>En una red convolucional típica, los mapas de características generados en una capa comparten una ponderación implícita homogénea. Hu et al. (2018) introdujeron los bloques Squeeze-and-Excitation (SE) para recalibrar adaptativamente la relevancia de los canales mediante dos operaciones matemáticas: compresión espacial (squeeze) y excitación dinámica (excitation). La compresión agrega la información espacial bidimensional mediante un promediado global (Global Average Pooling), reduciendo la matriz espacial H×W a un vector descriptor 1×1×C. La excitación implementa un mecanismo de cuello de botella mediante dos capas lineales con una razón de reducción r = 16, aplicando activación ReLU y posteriormente Sigmoide para generar un vector de pesos s entre 0 y 1. Estos pesos escalan multiplicativamente los canales originales, permitiendo a EmotionResNetSE amplificar automáticamente los filtros que capturan rasgos emocionales distintivos (por ejemplo, micro-arrugas nasales o comisuras labiales) y atenuar aquellos con información contextual irrelevante. Asimismo, al contrastar con otros esquemas de atención como el Convolutional Block Attention Module (CBAM) propuesto por Woo et al. (2018), la atención SE presenta una ventaja sustancial en eficiencia de inferencia, al concentrarse exclusivamente en la recalibración espectral por canal sin elevar la latencia espacial en tiempo real.</w:t>
      </w:r>
    </w:p>
    <w:p>
      <w:pPr>
        <w:keepNext/>
        <w:spacing w:before="160" w:after="60"/>
        <w:jc w:val="left"/>
      </w:pPr>
      <w:r>
        <w:rPr>
          <w:rFonts w:ascii="Times New Roman" w:hAnsi="Times New Roman"/>
          <w:b/>
          <w:i/>
          <w:color w:val="1E1E1E"/>
          <w:sz w:val="21"/>
        </w:rPr>
        <w:t>3. Función de pérdida Focal Loss para desbalance extremo</w:t>
      </w:r>
    </w:p>
    <w:p>
      <w:pPr>
        <w:spacing w:before="0" w:after="120" w:line="276" w:lineRule="auto"/>
        <w:jc w:val="both"/>
      </w:pPr>
      <w:r>
        <w:rPr>
          <w:rFonts w:ascii="Times New Roman" w:hAnsi="Times New Roman"/>
          <w:b w:val="0"/>
          <w:i w:val="0"/>
          <w:color w:val="1E1E1E"/>
          <w:sz w:val="22"/>
        </w:rPr>
        <w:t>En tareas de clasificación multiclase donde ciertas categorías presentan una presencia muestral marcadamente inferior, la pérdida tradicional de entropía cruzada se ve inundada por los gradientes de los ejemplos fáciles y mayoritarios, relegando el aprendizaje de las clases escasas. Lin et al. (2017) formularon la función Focal Loss: FL(p_t) = -alpha_t * (1 - p_t)^gamma * ln(p_t), en la cual se incorpora un factor modulador (1 - p_t)^gamma con un parámetro de focalización gamma = 2.0. Cuando una muestra es clasificada correctamente con alta probabilidad (ejemplo fácil, p_t cercano a 1), el factor modulador se aproxima a cero, cancelando su aporte a la función de pérdida y obligando a la red a concentrar la actualización de sus parámetros en los casos difíciles e hiper-minoritarios (como la emoción de disgusto en FER-2013).</w:t>
      </w:r>
    </w:p>
    <w:p>
      <w:pPr>
        <w:keepNext/>
        <w:spacing w:before="160" w:after="60"/>
        <w:jc w:val="left"/>
      </w:pPr>
      <w:r>
        <w:rPr>
          <w:rFonts w:ascii="Times New Roman" w:hAnsi="Times New Roman"/>
          <w:b/>
          <w:i/>
          <w:color w:val="1E1E1E"/>
          <w:sz w:val="21"/>
        </w:rPr>
        <w:t>4. Detección facial neuronal YuNet y puntos de referencia</w:t>
      </w:r>
    </w:p>
    <w:p>
      <w:pPr>
        <w:spacing w:before="0" w:after="120" w:line="276" w:lineRule="auto"/>
        <w:jc w:val="both"/>
      </w:pPr>
      <w:r>
        <w:rPr>
          <w:rFonts w:ascii="Times New Roman" w:hAnsi="Times New Roman"/>
          <w:b w:val="0"/>
          <w:i w:val="0"/>
          <w:color w:val="1E1E1E"/>
          <w:sz w:val="22"/>
        </w:rPr>
        <w:t>La detección preliminar de rostros en video en vivo demanda algoritmos inmunes a los falsos positivos y computacionalmente viables en CPU. A diferencia de los clasificadores en cascada de Haar propensos a fallas ante oclusiones y cambios de iluminación, el detector neuronal YuNet ONNX emplea una arquitectura ultra-ligera (apenas 230 KB) basada en principios de redes densas en pirámide como FaceBoxes (Zhang et al., 2020; Wu et al., 2023), siendo capaz de localizar rostros y extraer 5 puntos de referencia faciales (ambos ojos, punta de la nariz y comisuras de la boca) en menos de 3 ms en CPU. Esto habilita la alineación afín del rostro mediante rotación ocular previo a la inferencia de la emoción.</w:t>
      </w:r>
    </w:p>
    <w:p>
      <w:pPr>
        <w:keepNext/>
        <w:spacing w:before="160" w:after="60"/>
        <w:jc w:val="left"/>
      </w:pPr>
      <w:r>
        <w:rPr>
          <w:rFonts w:ascii="Times New Roman" w:hAnsi="Times New Roman"/>
          <w:b/>
          <w:i/>
          <w:color w:val="1E1E1E"/>
          <w:sz w:val="21"/>
        </w:rPr>
        <w:t>5. Computación afectiva y teoría de emociones básicas en educación</w:t>
      </w:r>
    </w:p>
    <w:p>
      <w:pPr>
        <w:spacing w:before="0" w:after="120" w:line="276" w:lineRule="auto"/>
        <w:jc w:val="both"/>
      </w:pPr>
      <w:r>
        <w:rPr>
          <w:rFonts w:ascii="Times New Roman" w:hAnsi="Times New Roman"/>
          <w:b w:val="0"/>
          <w:i w:val="0"/>
          <w:color w:val="1E1E1E"/>
          <w:sz w:val="22"/>
        </w:rPr>
        <w:t>La computación afectiva, definida seminalmente por Picard (1997), postula que la interacción pedagógica se potencia cuando los entornos informáticos son capaces de percibir y responder a las señales emocionales de los aprendices. Sobre la base de la taxonomía biológica de Ekman (1992), se asumen siete estados afectivos básicos expresados a través de la contracción de grupos musculares faciales específicos. En el aula universitaria, estas expresiones constituyen manifestaciones externas de estados cognitivos: la persistencia de neutralidad denota concentración sostenida, la sorpresa refleja momentos de asombro o insight, el enojo traduce frustración operativa, la tristeza sugiere fatiga, el miedo manifiesta ansiedad evaluativa y la felicidad exterioriza satisfacción formativa.</w:t>
      </w:r>
    </w:p>
    <w:p>
      <w:pPr>
        <w:keepNext/>
        <w:spacing w:before="240" w:after="80"/>
        <w:jc w:val="left"/>
      </w:pPr>
      <w:r>
        <w:rPr>
          <w:rFonts w:ascii="Times New Roman" w:hAnsi="Times New Roman"/>
          <w:b/>
          <w:color w:val="004C99"/>
          <w:sz w:val="22"/>
        </w:rPr>
        <w:t>Herramientas de ingeniería</w:t>
      </w:r>
    </w:p>
    <w:p>
      <w:pPr>
        <w:spacing w:before="0" w:after="120" w:line="276" w:lineRule="auto"/>
        <w:jc w:val="both"/>
      </w:pPr>
      <w:r>
        <w:rPr>
          <w:rFonts w:ascii="Times New Roman" w:hAnsi="Times New Roman"/>
          <w:b w:val="0"/>
          <w:i w:val="0"/>
          <w:color w:val="1E1E1E"/>
          <w:sz w:val="22"/>
        </w:rPr>
        <w:t>El desarrollo y despliegue del proyecto integró herramientas de software de ingeniería de estándar industrial:</w:t>
      </w:r>
    </w:p>
    <w:p>
      <w:pPr>
        <w:spacing w:before="0" w:after="120" w:line="276" w:lineRule="auto"/>
        <w:jc w:val="both"/>
      </w:pPr>
      <w:r>
        <w:rPr>
          <w:rFonts w:ascii="Times New Roman" w:hAnsi="Times New Roman"/>
          <w:b w:val="0"/>
          <w:i w:val="0"/>
          <w:color w:val="1E1E1E"/>
          <w:sz w:val="22"/>
        </w:rPr>
        <w:t>a) Python 3.10/3.11: Seleccionado como lenguaje central por su madurez en cálculo numérico, enlace dinámico con bibliotecas C++ y versatilidad para orquestar flujos de inteligencia artificial.</w:t>
      </w:r>
    </w:p>
    <w:p>
      <w:pPr>
        <w:spacing w:before="0" w:after="120" w:line="276" w:lineRule="auto"/>
        <w:jc w:val="both"/>
      </w:pPr>
      <w:r>
        <w:rPr>
          <w:rFonts w:ascii="Times New Roman" w:hAnsi="Times New Roman"/>
          <w:b w:val="0"/>
          <w:i w:val="0"/>
          <w:color w:val="1E1E1E"/>
          <w:sz w:val="22"/>
        </w:rPr>
        <w:t>b) PyTorch 2.x con CUDA 12.8: Empleado para la construcción, cálculo de autograd y entrenamiento de EmotionResNetSE. Su soporte nativo para precisión mixta automática (AMP FP16) permitió entrenar los 11.38 millones de parámetros en memoria de video VRAM con núcleos Tensor de GPU.</w:t>
      </w:r>
    </w:p>
    <w:p>
      <w:pPr>
        <w:spacing w:before="0" w:after="120" w:line="276" w:lineRule="auto"/>
        <w:jc w:val="both"/>
      </w:pPr>
      <w:r>
        <w:rPr>
          <w:rFonts w:ascii="Times New Roman" w:hAnsi="Times New Roman"/>
          <w:b w:val="0"/>
          <w:i w:val="0"/>
          <w:color w:val="1E1E1E"/>
          <w:sz w:val="22"/>
        </w:rPr>
        <w:t>c) OpenCV 4.x + Módulo DNN: Utilizado como motor de visión artificial para la captura de cuadros desde la cámara web, estandarización fotométrica y ejecución nativa en CPU de las redes neuronales exportadas sin requerir el runtime de PyTorch.</w:t>
      </w:r>
    </w:p>
    <w:p>
      <w:pPr>
        <w:spacing w:before="0" w:after="120" w:line="276" w:lineRule="auto"/>
        <w:jc w:val="both"/>
      </w:pPr>
      <w:r>
        <w:rPr>
          <w:rFonts w:ascii="Times New Roman" w:hAnsi="Times New Roman"/>
          <w:b w:val="0"/>
          <w:i w:val="0"/>
          <w:color w:val="1E1E1E"/>
          <w:sz w:val="22"/>
        </w:rPr>
        <w:t>d) ONNX (Open Neural Network Exchange): Empleado como formato universal de interoperabilidad, posibilitando compilar la red neuronal en un grafo estático de 40 MB operable con dependencias mínimas en cualquier computador.</w:t>
      </w:r>
    </w:p>
    <w:p>
      <w:pPr>
        <w:keepNext/>
        <w:spacing w:before="240" w:after="80"/>
        <w:jc w:val="left"/>
      </w:pPr>
      <w:r>
        <w:rPr>
          <w:rFonts w:ascii="Times New Roman" w:hAnsi="Times New Roman"/>
          <w:b/>
          <w:color w:val="004C99"/>
          <w:sz w:val="22"/>
        </w:rPr>
        <w:t>Algoritmos y modelos matemáticos</w:t>
      </w:r>
    </w:p>
    <w:p>
      <w:pPr>
        <w:spacing w:before="0" w:after="120" w:line="276" w:lineRule="auto"/>
        <w:jc w:val="both"/>
      </w:pPr>
      <w:r>
        <w:rPr>
          <w:rFonts w:ascii="Times New Roman" w:hAnsi="Times New Roman"/>
          <w:b w:val="0"/>
          <w:i w:val="0"/>
          <w:color w:val="1E1E1E"/>
          <w:sz w:val="22"/>
        </w:rPr>
        <w:t>A continuación se describen formalmente los dos algoritmos fundamentales del sistema desde su perspectiva matemática y funcional:</w:t>
      </w:r>
    </w:p>
    <w:p>
      <w:pPr>
        <w:spacing w:before="0" w:after="120" w:line="276" w:lineRule="auto"/>
        <w:jc w:val="both"/>
      </w:pPr>
      <w:r>
        <w:rPr>
          <w:rFonts w:ascii="Times New Roman" w:hAnsi="Times New Roman"/>
          <w:b w:val="0"/>
          <w:i w:val="0"/>
          <w:color w:val="1E1E1E"/>
          <w:sz w:val="22"/>
        </w:rPr>
        <w:t>Algoritmo 1: Entrenamiento de la Red Residual EmotionResNetSE. El procedimiento inicia calculando la ponderación inversa de frecuencias de clase en el corpus FER-2013 y aplicando sobremuestreo estocástico a la clase hiper-minoritaria Disgusto para asegurar un piso mínimo de 2 000 instancias. El dataset balanceado se carga íntegramente en la memoria de video (VRAM) en formato entero sin signo de 8 bits para eliminar los cuellos de botella del bus PCIe. La red EmotionResNetSE se entrena durante 86 épocas con un tamaño de lote de 256 utilizando el optimizador AdamW con desacoplamiento de weight decay formulado por Loshchilov y Hutter (2019) (tasa de aprendizaje base de 5e-4 y decaimiento de pesos de 1e-4). Se aplica un planificador secuencial que combina calentamiento lineal (Linear Warmup durante 8 épocas) y descenso por coseno (Cosine Annealing). En cada paso hacia adelante, se aplica aumento estocástico en GPU: rotación aleatoria en [-12°, +12°], espejo horizontal con probabilidad 0.5 y recorte aleatorio de parches mediante Random Erasing (Zhong et al., 2020) con p=0.25. Para robustecer las fronteras de decisión, se introduce la regularización Mixup formulada por Zhang et al. (2018) con parámetro alfa=0.1, generando combinaciones lineales convexas de imágenes y etiquetas. La pérdida ponderada se evalúa mediante Focal Loss con factor gamma = 2.0. El optimizador actualiza los pesos bajo precisión mixta FP16, aplicando recorte de norma de gradiente (max norm = 1.0) y detención temprana (Early Stopping con paciencia de 15 épocas) para resguardar la mejor configuración de pesos en disco.</w:t>
      </w:r>
    </w:p>
    <w:p>
      <w:pPr>
        <w:spacing w:before="0" w:after="120" w:line="276" w:lineRule="auto"/>
        <w:jc w:val="both"/>
      </w:pPr>
      <w:r>
        <w:rPr>
          <w:rFonts w:ascii="Times New Roman" w:hAnsi="Times New Roman"/>
          <w:b w:val="0"/>
          <w:i w:val="0"/>
          <w:color w:val="1E1E1E"/>
          <w:sz w:val="22"/>
        </w:rPr>
        <w:t>Algoritmo 2: Inferencia Multi-Rostro en Tiempo Real con Filtro Temporal. El pipeline de ejecución en vivo adquiere cuadros de video continuo a 640×480 píxeles a través de la cámara web. Cada cuadro es procesado por el detector neuronal YuNet ONNX (Wu et al., 2023), identificando las cajas delimitadoras y 5 landmarks faciales. Para cada rostro detectado, se calcula el ángulo entre los centros oculares y se aplica una matriz de transformación afín para alinear la cara horizontalmente. El parche facial extraído se redimensiona a 48×48 píxeles en escala de grises, aplicándole ecualización adaptativa de contraste (CLAHE) y normalización fotométrica Z-score. La inferencia se realiza mediante la red EmotionResNetSE bajo aumento en tiempo de prueba (TTA), evaluando tanto la imagen original como su reflejo especular horizontal y promediando los vectores de probabilidad Softmax. Para mantener el seguimiento idéntico de cada estudiante en el aula, se implementa un motor de re-identificación facial basado en Correlación Cruzada Normalizada de Media Cero (ZNCC) sobre plantillas compactadas de 28×28 píxeles (umbral de coincidencia = 0.62). Para mitigar el parpadeo en las clasificaciones inter-cuadro, el vector de probabilidades continuo se procesa mediante un filtro móvil exponencial adaptativo (EMA tracker): cuando la variación bruta excede 0.15, se adopta un alfa de 0.48 para capturar transiciones rápidas; en régimen estable, el alfa se fija en 0.18, asegurando una interfaz visual estable y fluida en la pantalla.</w:t>
      </w:r>
    </w:p>
    <w:p>
      <w:pPr>
        <w:keepNext/>
        <w:spacing w:before="360" w:after="120"/>
        <w:jc w:val="center"/>
      </w:pPr>
      <w:r>
        <w:rPr>
          <w:rFonts w:ascii="Times New Roman" w:hAnsi="Times New Roman"/>
          <w:b/>
          <w:color w:val="003366"/>
          <w:sz w:val="24"/>
        </w:rPr>
        <w:t>METODOLOGÍA DE LA INVESTIGACIÓN</w:t>
      </w:r>
    </w:p>
    <w:p>
      <w:pPr>
        <w:keepNext/>
        <w:spacing w:before="240" w:after="80"/>
        <w:jc w:val="left"/>
      </w:pPr>
      <w:r>
        <w:rPr>
          <w:rFonts w:ascii="Times New Roman" w:hAnsi="Times New Roman"/>
          <w:b/>
          <w:color w:val="004C99"/>
          <w:sz w:val="22"/>
        </w:rPr>
        <w:t>Tipo de investigación</w:t>
      </w:r>
    </w:p>
    <w:p>
      <w:pPr>
        <w:spacing w:before="0" w:after="120" w:line="276" w:lineRule="auto"/>
        <w:jc w:val="both"/>
      </w:pPr>
      <w:r>
        <w:rPr>
          <w:rFonts w:ascii="Times New Roman" w:hAnsi="Times New Roman"/>
          <w:b w:val="0"/>
          <w:i w:val="0"/>
          <w:color w:val="1E1E1E"/>
          <w:sz w:val="22"/>
        </w:rPr>
        <w:t>En el campo de la ingeniería de software y los sistemas inteligentes, la presente investigación responde a un tipo Aplicado (o Tecnológico). Según precisa Arias (2012, p. 22), la investigación tecnológica persigue transformar un entorno práctico mediante la concepción, adaptación o perfeccionamiento de artefactos y sistemas computacionales destinados a resolver problemas operativos concretos. En correspondencia con esta perspectiva, Hernández-Sampieri et al. (2014, p. 24) fundamentan que los estudios aplicados canalizan el conocimiento científico hacia la atención directa de necesidades contextualizadas, diferenciándose de las pesquisas básicas cuyo fin primordial es la abstracción teórica. Vargas (2009) refuerza este planteamiento al señalar que la ingeniería informática valida empíricamente el desempeño de sus modelos en condiciones reales de funcionamiento. Bajo estas premisas, el presente proyecto no pretende formular una nueva taxonomía de las emociones humanas, sino diseñar, entrenar y evaluar el artefacto EmotionResNetSE para solucionar la carencia de monitoreo afectivo automatizado en las aulas de la UPN sede Chorrillos.</w:t>
      </w:r>
    </w:p>
    <w:p>
      <w:pPr>
        <w:keepNext/>
        <w:spacing w:before="240" w:after="80"/>
        <w:jc w:val="left"/>
      </w:pPr>
      <w:r>
        <w:rPr>
          <w:rFonts w:ascii="Times New Roman" w:hAnsi="Times New Roman"/>
          <w:b/>
          <w:color w:val="004C99"/>
          <w:sz w:val="22"/>
        </w:rPr>
        <w:t>Enfoque de investigación</w:t>
      </w:r>
    </w:p>
    <w:p>
      <w:pPr>
        <w:spacing w:before="0" w:after="120" w:line="276" w:lineRule="auto"/>
        <w:jc w:val="both"/>
      </w:pPr>
      <w:r>
        <w:rPr>
          <w:rFonts w:ascii="Times New Roman" w:hAnsi="Times New Roman"/>
          <w:b w:val="0"/>
          <w:i w:val="0"/>
          <w:color w:val="1E1E1E"/>
          <w:sz w:val="22"/>
        </w:rPr>
        <w:t>La aproximación metodológica se fundamenta en un enfoque Cuantitativo. Tal como expone Bernal (2016, p. 59), las ciencias de la computación y la ingeniería de datos operan sobre magnitudes numéricas, estructuras tensoriales y funciones de pérdida sujetas a optimización matemática continua. Por su parte, Hernández-Sampieri et al. (2014, p. 4) destacan que la perspectiva cuantitativa emplea la recolección metódica de datos numéricos y el análisis estadístico para comprobar hipótesis y establecer regularidades de desempeño con objetividad. Arias (2012, p. 27) converge en que este enfoque garantiza la reproducibilidad a través de instrumentos directos de medición. En el desarrollo de EmotionResNetSE, la adopción del enfoque cuantitativo se justifica plenamente debido a que la evaluación del clasificador demanda calcular de manera exacta y replicable parámetros de rendimiento como la exactitud (Accuracy), la precisión por clase, la sensibilidad (Recall), la puntuación F1-score macro, el valor de convergencia de Focal Loss y la tasa de procesamiento en cuadros por segundo (FPS).</w:t>
      </w:r>
    </w:p>
    <w:p>
      <w:pPr>
        <w:keepNext/>
        <w:spacing w:before="240" w:after="80"/>
        <w:jc w:val="left"/>
      </w:pPr>
      <w:r>
        <w:rPr>
          <w:rFonts w:ascii="Times New Roman" w:hAnsi="Times New Roman"/>
          <w:b/>
          <w:color w:val="004C99"/>
          <w:sz w:val="22"/>
        </w:rPr>
        <w:t>Diseño de la investigación</w:t>
      </w:r>
    </w:p>
    <w:p>
      <w:pPr>
        <w:spacing w:before="0" w:after="120" w:line="276" w:lineRule="auto"/>
        <w:jc w:val="both"/>
      </w:pPr>
      <w:r>
        <w:rPr>
          <w:rFonts w:ascii="Times New Roman" w:hAnsi="Times New Roman"/>
          <w:b w:val="0"/>
          <w:i w:val="0"/>
          <w:color w:val="1E1E1E"/>
          <w:sz w:val="22"/>
        </w:rPr>
        <w:t>El estudio adopta un diseño Experimental (de laboratorio y con grupo de contraste posprueba). Kerlinger y Lee (2002) subrayan que el control riguroso de variables intervinientes conforma el principio medular de la validez interna en los experimentos con sistemas computacionales. En este sentido, Hernández-Sampieri et al. (2014, p. 129) establecen que un diseño experimental involucra la manipulación intencional de variables independientes para examinar sus consecuencias en variables dependientes bajo condiciones homogéneas. De forma complementaria, Arias (2012, p. 25) define el experimento como el sometimiento planificado de un objeto de estudio a estímulos controlados con el fin de verificar sus efectos. En este trabajo, los investigadores intervinieron deliberadamente las variables independientes —incorporación de módulos de atención por canales SE, mecanismo residual y contraste entre Entropía Cruzada frente a Focal Loss (gamma = 2.0)— sobre un entorno de cómputo estandarizado, midiendo su repercusión causal sobre la exactitud de clasificación y la latencia temporal del sistema.</w:t>
      </w:r>
    </w:p>
    <w:p>
      <w:pPr>
        <w:keepNext/>
        <w:spacing w:before="240" w:after="80"/>
        <w:jc w:val="left"/>
      </w:pPr>
      <w:r>
        <w:rPr>
          <w:rFonts w:ascii="Times New Roman" w:hAnsi="Times New Roman"/>
          <w:b/>
          <w:color w:val="004C99"/>
          <w:sz w:val="22"/>
        </w:rPr>
        <w:t>Alcance de la investigación</w:t>
      </w:r>
    </w:p>
    <w:p>
      <w:pPr>
        <w:spacing w:before="0" w:after="120" w:line="276" w:lineRule="auto"/>
        <w:jc w:val="both"/>
      </w:pPr>
      <w:r>
        <w:rPr>
          <w:rFonts w:ascii="Times New Roman" w:hAnsi="Times New Roman"/>
          <w:b w:val="0"/>
          <w:i w:val="0"/>
          <w:color w:val="1E1E1E"/>
          <w:sz w:val="22"/>
        </w:rPr>
        <w:t>El alcance del estudio se define como Explicativo y Aplicativo. Según argumentan Méndez (2001) y Arias (2012, p. 26), la investigación explicativa no se detiene en describir el estado de un fenómeno o señalar coincidencias estadísticas, sino que indaga las causas subyacentes y explica las relaciones de causalidad en sistemas dinámicos. En la misma dirección, Hernández-Sampieri et al. (2014, p. 98) sostienen que los estudios explicativos aportan razones estructuradas sobre el porqué de los comportamientos observados. Este alcance responde fielmente a las metas del proyecto: no solo se reporta el desempeño predictivo alcanzado por EmotionResNetSE, sino que se analiza el mecanismo analítico por el cual la recalibración adaptativa por canales y la modulación de gradientes con Focal Loss logran revertir el sesgo en categorías con escasa representación muestral.</w:t>
      </w:r>
    </w:p>
    <w:p>
      <w:pPr>
        <w:keepNext/>
        <w:spacing w:before="240" w:after="80"/>
        <w:jc w:val="left"/>
      </w:pPr>
      <w:r>
        <w:rPr>
          <w:rFonts w:ascii="Times New Roman" w:hAnsi="Times New Roman"/>
          <w:b/>
          <w:color w:val="004C99"/>
          <w:sz w:val="22"/>
        </w:rPr>
        <w:t>Población y muestra</w:t>
      </w:r>
    </w:p>
    <w:p>
      <w:pPr>
        <w:spacing w:before="0" w:after="120" w:line="276" w:lineRule="auto"/>
        <w:jc w:val="both"/>
      </w:pPr>
      <w:r>
        <w:rPr>
          <w:rFonts w:ascii="Times New Roman" w:hAnsi="Times New Roman"/>
          <w:b w:val="0"/>
          <w:i w:val="0"/>
          <w:color w:val="1E1E1E"/>
          <w:sz w:val="22"/>
        </w:rPr>
        <w:t>Para la delimitación poblacional se consideran los postulados metodológicos de Arias (2012, p. 81), quien define a la población como el conjunto total y finito de elementos que poseen especificaciones comunes, y de Hernández-Sampieri et al. (2014, p. 173), quienes establecen que la muestra representa un subgrupo representativo de la población sobre el cual se efectúan las mediciones.</w:t>
      </w:r>
    </w:p>
    <w:p>
      <w:pPr>
        <w:spacing w:before="0" w:after="120" w:line="276" w:lineRule="auto"/>
        <w:jc w:val="both"/>
      </w:pPr>
      <w:r>
        <w:rPr>
          <w:rFonts w:ascii="Times New Roman" w:hAnsi="Times New Roman"/>
          <w:b w:val="0"/>
          <w:i w:val="0"/>
          <w:color w:val="1E1E1E"/>
          <w:sz w:val="22"/>
        </w:rPr>
        <w:t>En este marco, la población del estudio comprende el conjunto global de expresiones faciales humanas en formato de imágenes digitales estandarizadas y el universo de la comunidad estudiantil universitaria expuesta a actividades formativas en aula. A nivel de datos de entrenamiento y prueba, la población total la constituye el corpus internacional FER-2013, conformado por 35 887 imágenes en escala de grises de 48×48 píxeles distribuidas en 7 clases afectivas.</w:t>
      </w:r>
    </w:p>
    <w:p>
      <w:pPr>
        <w:spacing w:before="0" w:after="120" w:line="276" w:lineRule="auto"/>
        <w:jc w:val="both"/>
      </w:pPr>
      <w:r>
        <w:rPr>
          <w:rFonts w:ascii="Times New Roman" w:hAnsi="Times New Roman"/>
          <w:b w:val="0"/>
          <w:i w:val="0"/>
          <w:color w:val="1E1E1E"/>
          <w:sz w:val="22"/>
        </w:rPr>
        <w:t>La muestra seleccionada corresponde a una partición censal estratificada e independiente de 7 178 imágenes etiquetadas que integran el conjunto de prueba (Test Set) de FER-2013, la cual se mantuvo rigurosamente aislada durante la optimización para asegurar la ausencia total de fuga de datos (data leakage). Dicha muestra se complementa con una muestra piloto empírica de 30 sesiones de video continuo grabadas en los laboratorios de computación de la UPN sede Chorrillos para la calibración del detector YuNet.</w:t>
      </w:r>
    </w:p>
    <w:p>
      <w:pPr>
        <w:keepNext/>
        <w:spacing w:before="240" w:after="80"/>
        <w:jc w:val="left"/>
      </w:pPr>
      <w:r>
        <w:rPr>
          <w:rFonts w:ascii="Times New Roman" w:hAnsi="Times New Roman"/>
          <w:b/>
          <w:color w:val="004C99"/>
          <w:sz w:val="22"/>
        </w:rPr>
        <w:t>Técnicas e instrumentos de recolección de datos</w:t>
      </w:r>
    </w:p>
    <w:p>
      <w:pPr>
        <w:spacing w:before="0" w:after="120" w:line="276" w:lineRule="auto"/>
        <w:jc w:val="both"/>
      </w:pPr>
      <w:r>
        <w:rPr>
          <w:rFonts w:ascii="Times New Roman" w:hAnsi="Times New Roman"/>
          <w:b w:val="0"/>
          <w:i w:val="0"/>
          <w:color w:val="1E1E1E"/>
          <w:sz w:val="22"/>
        </w:rPr>
        <w:t>Para la recolección y registro de métricas empíricas se emplearon tres técnicas fundamentales de ingeniería de software:</w:t>
      </w:r>
    </w:p>
    <w:p>
      <w:pPr>
        <w:spacing w:before="0" w:after="120" w:line="276" w:lineRule="auto"/>
        <w:jc w:val="both"/>
      </w:pPr>
      <w:r>
        <w:rPr>
          <w:rFonts w:ascii="Times New Roman" w:hAnsi="Times New Roman"/>
          <w:b w:val="0"/>
          <w:i w:val="0"/>
          <w:color w:val="1E1E1E"/>
          <w:sz w:val="22"/>
        </w:rPr>
        <w:t>a) Análisis documental y curaduría de datasets: Consistió en la extracción, verificación de integridad MD5 y particionamiento estratificado del dataset FER-2013, verificando el desbalance de clases.</w:t>
      </w:r>
    </w:p>
    <w:p>
      <w:pPr>
        <w:spacing w:before="0" w:after="120" w:line="276" w:lineRule="auto"/>
        <w:jc w:val="both"/>
      </w:pPr>
      <w:r>
        <w:rPr>
          <w:rFonts w:ascii="Times New Roman" w:hAnsi="Times New Roman"/>
          <w:b w:val="0"/>
          <w:i w:val="0"/>
          <w:color w:val="1E1E1E"/>
          <w:sz w:val="22"/>
        </w:rPr>
        <w:t>b) Instrumentación por telemetría de código: Se implementó un arnés de logging en Python para registrar las pérdidas (Loss), exactitudes por época y matrices de confusión.</w:t>
      </w:r>
    </w:p>
    <w:p>
      <w:pPr>
        <w:spacing w:before="0" w:after="120" w:line="276" w:lineRule="auto"/>
        <w:jc w:val="both"/>
      </w:pPr>
      <w:r>
        <w:rPr>
          <w:rFonts w:ascii="Times New Roman" w:hAnsi="Times New Roman"/>
          <w:b w:val="0"/>
          <w:i w:val="0"/>
          <w:color w:val="1E1E1E"/>
          <w:sz w:val="22"/>
        </w:rPr>
        <w:t>c) Pruebas de estrés y benchmarking de inferencia: Se empleó un cronómetro de precisión (time.perf_counter_ns) en OpenCV para medir los milisegundos requeridos por detección, rotación afín, inferencia convolucional y renderizado.</w:t>
      </w:r>
    </w:p>
    <w:p>
      <w:pPr>
        <w:keepNext/>
        <w:spacing w:before="240" w:after="80"/>
        <w:jc w:val="left"/>
      </w:pPr>
      <w:r>
        <w:rPr>
          <w:rFonts w:ascii="Times New Roman" w:hAnsi="Times New Roman"/>
          <w:b/>
          <w:color w:val="004C99"/>
          <w:sz w:val="22"/>
        </w:rPr>
        <w:t>Procedimiento y diseño experimental</w:t>
      </w:r>
    </w:p>
    <w:p>
      <w:pPr>
        <w:spacing w:before="0" w:after="120" w:line="276" w:lineRule="auto"/>
        <w:jc w:val="both"/>
      </w:pPr>
      <w:r>
        <w:rPr>
          <w:rFonts w:ascii="Times New Roman" w:hAnsi="Times New Roman"/>
          <w:b w:val="0"/>
          <w:i w:val="0"/>
          <w:color w:val="1E1E1E"/>
          <w:sz w:val="22"/>
        </w:rPr>
        <w:t>El plan experimental contempló tres ejecuciones estandarizadas (ablación sistemática) bajo idénticas condiciones de hardware:</w:t>
      </w:r>
    </w:p>
    <w:p>
      <w:pPr>
        <w:spacing w:before="0" w:after="120" w:line="276" w:lineRule="auto"/>
        <w:jc w:val="both"/>
      </w:pPr>
      <w:r>
        <w:rPr>
          <w:rFonts w:ascii="Times New Roman" w:hAnsi="Times New Roman"/>
          <w:b w:val="0"/>
          <w:i w:val="0"/>
          <w:color w:val="1E1E1E"/>
          <w:sz w:val="22"/>
        </w:rPr>
        <w:t>• Experimento 1 (Línea Base): Red Convolucional Básica (CNN de 4 capas convolucionales planas) entrenada con función de pérdida Cross-Entropy convencional sin módulos de atención.</w:t>
      </w:r>
    </w:p>
    <w:p>
      <w:pPr>
        <w:spacing w:before="0" w:after="120" w:line="276" w:lineRule="auto"/>
        <w:jc w:val="both"/>
      </w:pPr>
      <w:r>
        <w:rPr>
          <w:rFonts w:ascii="Times New Roman" w:hAnsi="Times New Roman"/>
          <w:b w:val="0"/>
          <w:i w:val="0"/>
          <w:color w:val="1E1E1E"/>
          <w:sz w:val="22"/>
        </w:rPr>
        <w:t>• Experimento 2 (Ablación Arquitectural): Red Residual EmotionResNetSE (11.38M parámetros) con bloques SE (r=16), entrenada bajo pérdida Cross-Entropy clásica.</w:t>
      </w:r>
    </w:p>
    <w:p>
      <w:pPr>
        <w:spacing w:before="0" w:after="120" w:line="276" w:lineRule="auto"/>
        <w:jc w:val="both"/>
      </w:pPr>
      <w:r>
        <w:rPr>
          <w:rFonts w:ascii="Times New Roman" w:hAnsi="Times New Roman"/>
          <w:b w:val="0"/>
          <w:i w:val="0"/>
          <w:color w:val="1E1E1E"/>
          <w:sz w:val="22"/>
        </w:rPr>
        <w:t>• Experimento 3 (Propuesta Definitiva): Red EmotionResNetSE entrenada con la función de pérdida Focal Loss ponderada (gamma = 2.0), sobremuestreo en VRAM, regularización Mixup y planificador Cosine Annealing.</w:t>
      </w:r>
    </w:p>
    <w:p>
      <w:pPr>
        <w:keepNext/>
        <w:spacing w:before="360" w:after="120"/>
        <w:jc w:val="center"/>
      </w:pPr>
      <w:r>
        <w:rPr>
          <w:rFonts w:ascii="Times New Roman" w:hAnsi="Times New Roman"/>
          <w:b/>
          <w:color w:val="003366"/>
          <w:sz w:val="24"/>
        </w:rPr>
        <w:t>RESULTADOS</w:t>
      </w:r>
    </w:p>
    <w:p>
      <w:pPr>
        <w:keepNext/>
        <w:spacing w:before="240" w:after="80"/>
        <w:jc w:val="left"/>
      </w:pPr>
      <w:r>
        <w:rPr>
          <w:rFonts w:ascii="Times New Roman" w:hAnsi="Times New Roman"/>
          <w:b/>
          <w:color w:val="004C99"/>
          <w:sz w:val="22"/>
        </w:rPr>
        <w:t>Justificación pedagógica y operativa del proyecto</w:t>
      </w:r>
    </w:p>
    <w:p>
      <w:pPr>
        <w:spacing w:before="0" w:after="120" w:line="276" w:lineRule="auto"/>
        <w:jc w:val="both"/>
      </w:pPr>
      <w:r>
        <w:rPr>
          <w:rFonts w:ascii="Times New Roman" w:hAnsi="Times New Roman"/>
          <w:b w:val="0"/>
          <w:i w:val="0"/>
          <w:color w:val="1E1E1E"/>
          <w:sz w:val="22"/>
        </w:rPr>
        <w:t>Con el propósito de sustentar la aplicabilidad de las 7 expresiones afectivas dentro del contexto pedagógico universitario y disipar cualquier duda sobre la pertinencia de clasificar emociones en el aula, se estableció una correspondencia entre cada etiqueta del clasificador y su manifestación en el salón de clases (sintetizada en la Tabla 1).</w:t>
      </w:r>
    </w:p>
    <w:p>
      <w:pPr>
        <w:keepNext/>
        <w:spacing w:before="280" w:after="40"/>
        <w:jc w:val="left"/>
      </w:pPr>
      <w:r>
        <w:rPr>
          <w:rFonts w:ascii="Times New Roman" w:hAnsi="Times New Roman"/>
          <w:b/>
          <w:color w:val="000000"/>
          <w:sz w:val="20"/>
        </w:rPr>
        <w:t>Tabla 1</w:t>
      </w:r>
    </w:p>
    <w:p>
      <w:pPr>
        <w:keepNext/>
        <w:spacing w:before="0" w:after="120"/>
        <w:jc w:val="left"/>
      </w:pPr>
      <w:r>
        <w:rPr>
          <w:rFonts w:ascii="Times New Roman" w:hAnsi="Times New Roman"/>
          <w:i/>
          <w:color w:val="141414"/>
          <w:sz w:val="20"/>
        </w:rPr>
        <w:t>Mapeo de Emociones del Dataset FER-2013 con Indicadores Académicos en el Aula</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3135"/>
        <w:gridCol w:w="3135"/>
        <w:gridCol w:w="3135"/>
      </w:tblGrid>
      <w:tr>
        <w:tc>
          <w:tcPr>
            <w:tcW w:type="dxa" w:w="2160"/>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Emoción del Dataset</w:t>
            </w:r>
          </w:p>
        </w:tc>
        <w:tc>
          <w:tcPr>
            <w:tcW w:type="dxa" w:w="2880"/>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Indicador Académico Asociado</w:t>
            </w:r>
          </w:p>
        </w:tc>
        <w:tc>
          <w:tcPr>
            <w:tcW w:type="dxa" w:w="4176"/>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Justificación Pedagógica en el Aula</w:t>
            </w:r>
          </w:p>
        </w:tc>
      </w:tr>
      <w:tr>
        <w:tc>
          <w:tcPr>
            <w:tcW w:type="dxa" w:w="216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Neutral</w:t>
            </w:r>
          </w:p>
        </w:tc>
        <w:tc>
          <w:tcPr>
            <w:tcW w:type="dxa" w:w="288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Atención / Concentración sostenida</w:t>
            </w:r>
          </w:p>
        </w:tc>
        <w:tc>
          <w:tcPr>
            <w:tcW w:type="dxa" w:w="4176"/>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Representa el estado basal de escucha atenta, lectura fluida o seguimiento a la explicación docente sin tensión.</w:t>
            </w:r>
          </w:p>
        </w:tc>
      </w:tr>
      <w:tr>
        <w:tc>
          <w:tcPr>
            <w:tcW w:type="dxa" w:w="216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Tristeza</w:t>
            </w:r>
          </w:p>
        </w:tc>
        <w:tc>
          <w:tcPr>
            <w:tcW w:type="dxa" w:w="288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Desmotivación / Fatiga mental acumulada</w:t>
            </w:r>
          </w:p>
        </w:tc>
        <w:tc>
          <w:tcPr>
            <w:tcW w:type="dxa" w:w="4176"/>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La acumulación continua y grupal de esta etiqueta sugiere sobrecarga de trabajo, desinterés o agotamiento frente al contenido.</w:t>
            </w:r>
          </w:p>
        </w:tc>
      </w:tr>
      <w:tr>
        <w:tc>
          <w:tcPr>
            <w:tcW w:type="dxa" w:w="216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Enojo</w:t>
            </w:r>
          </w:p>
        </w:tc>
        <w:tc>
          <w:tcPr>
            <w:tcW w:type="dxa" w:w="288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Frustración / Incomprensión conceptual</w:t>
            </w:r>
          </w:p>
        </w:tc>
        <w:tc>
          <w:tcPr>
            <w:tcW w:type="dxa" w:w="4176"/>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Surge cuando el estudiante experimenta bloqueos frente a ejercicios complejos o fallas técnicas en software.</w:t>
            </w:r>
          </w:p>
        </w:tc>
      </w:tr>
      <w:tr>
        <w:tc>
          <w:tcPr>
            <w:tcW w:type="dxa" w:w="216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Sorpresa</w:t>
            </w:r>
          </w:p>
        </w:tc>
        <w:tc>
          <w:tcPr>
            <w:tcW w:type="dxa" w:w="288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Asombro / Comprensión repentina (Insight)</w:t>
            </w:r>
          </w:p>
        </w:tc>
        <w:tc>
          <w:tcPr>
            <w:tcW w:type="dxa" w:w="4176"/>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Señala momentos de alto dinamismo explicativo, hallazgo de soluciones o impacto de conceptos novedosos.</w:t>
            </w:r>
          </w:p>
        </w:tc>
      </w:tr>
      <w:tr>
        <w:tc>
          <w:tcPr>
            <w:tcW w:type="dxa" w:w="216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Temor / Disgusto</w:t>
            </w:r>
          </w:p>
        </w:tc>
        <w:tc>
          <w:tcPr>
            <w:tcW w:type="dxa" w:w="288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Ansiedad evaluativa / Rechazo a la tarea</w:t>
            </w:r>
          </w:p>
        </w:tc>
        <w:tc>
          <w:tcPr>
            <w:tcW w:type="dxa" w:w="4176"/>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Asociado a niveles elevados de estrés previo a evaluaciones, sobrecarga cognitiva o disgusto por la dinámica.</w:t>
            </w:r>
          </w:p>
        </w:tc>
      </w:tr>
      <w:tr>
        <w:tc>
          <w:tcPr>
            <w:tcW w:type="dxa" w:w="216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Feliz</w:t>
            </w:r>
          </w:p>
        </w:tc>
        <w:tc>
          <w:tcPr>
            <w:tcW w:type="dxa" w:w="288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Compromiso (Engagement) / Satisfacción</w:t>
            </w:r>
          </w:p>
        </w:tc>
        <w:tc>
          <w:tcPr>
            <w:tcW w:type="dxa" w:w="4176"/>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Refleja receptividad participativa, comprensión clara de los objetivos y un clima propicio para el aprendizaje colaborativo.</w:t>
            </w:r>
          </w:p>
        </w:tc>
      </w:tr>
    </w:tbl>
    <w:p>
      <w:pPr>
        <w:spacing w:before="60" w:after="240" w:line="252" w:lineRule="auto"/>
        <w:jc w:val="left"/>
      </w:pPr>
      <w:r>
        <w:rPr>
          <w:rFonts w:ascii="Times New Roman" w:hAnsi="Times New Roman"/>
          <w:i/>
          <w:color w:val="282828"/>
          <w:sz w:val="17"/>
        </w:rPr>
        <w:t xml:space="preserve">Nota. </w:t>
      </w:r>
      <w:r>
        <w:rPr>
          <w:rFonts w:ascii="Times New Roman" w:hAnsi="Times New Roman"/>
          <w:color w:val="323232"/>
          <w:sz w:val="17"/>
        </w:rPr>
        <w:t>Adaptación institucional para el monitoreo tecnológico agregado del clima en la UPN Sede Chorrillos.</w:t>
      </w:r>
    </w:p>
    <w:p>
      <w:pPr>
        <w:spacing w:before="0" w:after="120" w:line="276" w:lineRule="auto"/>
        <w:jc w:val="both"/>
      </w:pPr>
      <w:r>
        <w:rPr>
          <w:rFonts w:ascii="Times New Roman" w:hAnsi="Times New Roman"/>
          <w:b w:val="0"/>
          <w:i w:val="0"/>
          <w:color w:val="1E1E1E"/>
          <w:sz w:val="22"/>
        </w:rPr>
        <w:t>Esta correspondencia funcional confirma que el modelo EmotionResNetSE opera como un sensor visual no invasivo del clima grupal escolar, facilitando al profesor adaptar el ritmo de su clase o planificar pausas activas cuando se detectan incrementos de fatiga o desconexión, excluyendo cualquier uso punitivo o nominativo.</w:t>
      </w:r>
    </w:p>
    <w:p>
      <w:pPr>
        <w:keepNext/>
        <w:spacing w:before="240" w:after="80"/>
        <w:jc w:val="left"/>
      </w:pPr>
      <w:r>
        <w:rPr>
          <w:rFonts w:ascii="Times New Roman" w:hAnsi="Times New Roman"/>
          <w:b/>
          <w:color w:val="004C99"/>
          <w:sz w:val="22"/>
        </w:rPr>
        <w:t>Resultados empíricos obtenidos en base a los objetivos</w:t>
      </w:r>
    </w:p>
    <w:p>
      <w:pPr>
        <w:keepNext/>
        <w:spacing w:before="160" w:after="60"/>
        <w:jc w:val="left"/>
      </w:pPr>
      <w:r>
        <w:rPr>
          <w:rFonts w:ascii="Times New Roman" w:hAnsi="Times New Roman"/>
          <w:b/>
          <w:i/>
          <w:color w:val="1E1E1E"/>
          <w:sz w:val="21"/>
        </w:rPr>
        <w:t>Resultado OE1: Mitigación del desbalance muestral y regularización</w:t>
      </w:r>
    </w:p>
    <w:p>
      <w:pPr>
        <w:spacing w:before="0" w:after="120" w:line="276" w:lineRule="auto"/>
        <w:jc w:val="both"/>
      </w:pPr>
      <w:r>
        <w:rPr>
          <w:rFonts w:ascii="Times New Roman" w:hAnsi="Times New Roman"/>
          <w:b w:val="0"/>
          <w:i w:val="0"/>
          <w:color w:val="1E1E1E"/>
          <w:sz w:val="22"/>
        </w:rPr>
        <w:t>El diagnóstico inicial en FER-2013 corroboró que la clase Disgusto abarcaba apenas el 1.5 % del corpus total. Durante el proceso de entrenamiento de 86 épocas (véase la Figura 1), se monitorizó la evolución de la función Focal Loss junto con la exactitud en el conjunto de validación.</w:t>
      </w:r>
    </w:p>
    <w:p>
      <w:pPr>
        <w:keepNext/>
        <w:spacing w:before="280" w:after="40"/>
        <w:jc w:val="left"/>
      </w:pPr>
      <w:r>
        <w:rPr>
          <w:rFonts w:ascii="Times New Roman" w:hAnsi="Times New Roman"/>
          <w:b/>
          <w:color w:val="000000"/>
          <w:sz w:val="20"/>
        </w:rPr>
        <w:t>Figura 1</w:t>
      </w:r>
    </w:p>
    <w:p>
      <w:pPr>
        <w:keepNext/>
        <w:spacing w:before="0" w:after="120"/>
        <w:jc w:val="left"/>
      </w:pPr>
      <w:r>
        <w:rPr>
          <w:rFonts w:ascii="Times New Roman" w:hAnsi="Times New Roman"/>
          <w:i/>
          <w:color w:val="141414"/>
          <w:sz w:val="20"/>
        </w:rPr>
        <w:t>Curvas de aprendizaje: Pérdida Focal Loss y exactitud de validación por época</w:t>
      </w:r>
    </w:p>
    <w:p>
      <w:pPr>
        <w:keepNext/>
        <w:spacing w:before="40" w:after="80"/>
        <w:jc w:val="center"/>
      </w:pPr>
      <w:r>
        <w:drawing>
          <wp:inline xmlns:a="http://schemas.openxmlformats.org/drawingml/2006/main" xmlns:pic="http://schemas.openxmlformats.org/drawingml/2006/picture">
            <wp:extent cx="5303520" cy="1732229"/>
            <wp:docPr id="1" name="Picture 1"/>
            <wp:cNvGraphicFramePr>
              <a:graphicFrameLocks noChangeAspect="1"/>
            </wp:cNvGraphicFramePr>
            <a:graphic>
              <a:graphicData uri="http://schemas.openxmlformats.org/drawingml/2006/picture">
                <pic:pic>
                  <pic:nvPicPr>
                    <pic:cNvPr id="0" name="historial_entrenamiento.png"/>
                    <pic:cNvPicPr/>
                  </pic:nvPicPr>
                  <pic:blipFill>
                    <a:blip r:embed="rId9"/>
                    <a:stretch>
                      <a:fillRect/>
                    </a:stretch>
                  </pic:blipFill>
                  <pic:spPr>
                    <a:xfrm>
                      <a:off x="0" y="0"/>
                      <a:ext cx="5303520" cy="1732229"/>
                    </a:xfrm>
                    <a:prstGeom prst="rect"/>
                  </pic:spPr>
                </pic:pic>
              </a:graphicData>
            </a:graphic>
          </wp:inline>
        </w:drawing>
      </w:r>
    </w:p>
    <w:p>
      <w:pPr>
        <w:spacing w:before="60" w:after="280" w:line="252" w:lineRule="auto"/>
        <w:jc w:val="left"/>
      </w:pPr>
      <w:r>
        <w:rPr>
          <w:rFonts w:ascii="Times New Roman" w:hAnsi="Times New Roman"/>
          <w:i/>
          <w:color w:val="282828"/>
          <w:sz w:val="17"/>
        </w:rPr>
        <w:t xml:space="preserve">Nota. </w:t>
      </w:r>
      <w:r>
        <w:rPr>
          <w:rFonts w:ascii="Times New Roman" w:hAnsi="Times New Roman"/>
          <w:color w:val="323232"/>
          <w:sz w:val="17"/>
        </w:rPr>
        <w:t>Evolución durante 86 épocas con calentamiento lineal, descenso cosenoidal y parada temprana. Elaboración propia.</w:t>
      </w:r>
    </w:p>
    <w:p>
      <w:pPr>
        <w:spacing w:before="0" w:after="120" w:line="276" w:lineRule="auto"/>
        <w:jc w:val="both"/>
      </w:pPr>
      <w:r>
        <w:rPr>
          <w:rFonts w:ascii="Times New Roman" w:hAnsi="Times New Roman"/>
          <w:b w:val="0"/>
          <w:i w:val="0"/>
          <w:color w:val="1E1E1E"/>
          <w:sz w:val="22"/>
        </w:rPr>
        <w:t>El trazado experimental revela que tras 8 épocas de calentamiento lineal (Linear Warmup) los gradientes alcanzaron estabilidad numérica. Más adelante, bajo el régimen de descenso cosenoidal, la pérdida de validación continuó reduciéndose hasta situarse en 0.4329 en la época 81, donde la exactitud alcanzó el 68.97 %, confirmando el control del sobreajuste mediante Mixup y sobremuestreo.</w:t>
      </w:r>
    </w:p>
    <w:p>
      <w:pPr>
        <w:spacing w:before="0" w:after="120" w:line="276" w:lineRule="auto"/>
        <w:jc w:val="both"/>
      </w:pPr>
      <w:r>
        <w:rPr>
          <w:rFonts w:ascii="Times New Roman" w:hAnsi="Times New Roman"/>
          <w:b w:val="0"/>
          <w:i w:val="0"/>
          <w:color w:val="1E1E1E"/>
          <w:sz w:val="22"/>
        </w:rPr>
        <w:t>La formulación algorítmica diseñada para compensar el desbalance muestral severo se implementó en PyTorch mediante una clase modular (descrita en la Figura 2).</w:t>
      </w:r>
    </w:p>
    <w:p>
      <w:pPr>
        <w:keepNext/>
        <w:spacing w:before="280" w:after="40"/>
        <w:jc w:val="left"/>
      </w:pPr>
      <w:r>
        <w:rPr>
          <w:rFonts w:ascii="Times New Roman" w:hAnsi="Times New Roman"/>
          <w:b/>
          <w:color w:val="000000"/>
          <w:sz w:val="20"/>
        </w:rPr>
        <w:t>Figura 2</w:t>
      </w:r>
    </w:p>
    <w:p>
      <w:pPr>
        <w:keepNext/>
        <w:spacing w:before="0" w:after="120"/>
        <w:jc w:val="left"/>
      </w:pPr>
      <w:r>
        <w:rPr>
          <w:rFonts w:ascii="Times New Roman" w:hAnsi="Times New Roman"/>
          <w:i/>
          <w:color w:val="141414"/>
          <w:sz w:val="20"/>
        </w:rPr>
        <w:t>Implementación en PyTorch de la función de costo adaptativa Focal Loss</w:t>
      </w:r>
    </w:p>
    <w:p>
      <w:pPr>
        <w:keepNext/>
        <w:spacing w:before="40" w:after="80"/>
        <w:jc w:val="center"/>
      </w:pPr>
      <w:r>
        <w:drawing>
          <wp:inline xmlns:a="http://schemas.openxmlformats.org/drawingml/2006/main" xmlns:pic="http://schemas.openxmlformats.org/drawingml/2006/picture">
            <wp:extent cx="5486400" cy="3722469"/>
            <wp:docPr id="2" name="Picture 2"/>
            <wp:cNvGraphicFramePr>
              <a:graphicFrameLocks noChangeAspect="1"/>
            </wp:cNvGraphicFramePr>
            <a:graphic>
              <a:graphicData uri="http://schemas.openxmlformats.org/drawingml/2006/picture">
                <pic:pic>
                  <pic:nvPicPr>
                    <pic:cNvPr id="0" name="codigo_figura_focalloss.png"/>
                    <pic:cNvPicPr/>
                  </pic:nvPicPr>
                  <pic:blipFill>
                    <a:blip r:embed="rId10"/>
                    <a:stretch>
                      <a:fillRect/>
                    </a:stretch>
                  </pic:blipFill>
                  <pic:spPr>
                    <a:xfrm>
                      <a:off x="0" y="0"/>
                      <a:ext cx="5486400" cy="3722469"/>
                    </a:xfrm>
                    <a:prstGeom prst="rect"/>
                  </pic:spPr>
                </pic:pic>
              </a:graphicData>
            </a:graphic>
          </wp:inline>
        </w:drawing>
      </w:r>
    </w:p>
    <w:p>
      <w:pPr>
        <w:spacing w:before="60" w:after="280" w:line="252" w:lineRule="auto"/>
        <w:jc w:val="left"/>
      </w:pPr>
      <w:r>
        <w:rPr>
          <w:rFonts w:ascii="Times New Roman" w:hAnsi="Times New Roman"/>
          <w:i/>
          <w:color w:val="282828"/>
          <w:sz w:val="17"/>
        </w:rPr>
        <w:t xml:space="preserve">Nota. </w:t>
      </w:r>
      <w:r>
        <w:rPr>
          <w:rFonts w:ascii="Times New Roman" w:hAnsi="Times New Roman"/>
          <w:color w:val="323232"/>
          <w:sz w:val="17"/>
        </w:rPr>
        <w:t>Código fuente del módulo FocalLoss con factor de modulación gamma=2.0, ponderación inversa alpha y label smoothing. Elaboración propia.</w:t>
      </w:r>
    </w:p>
    <w:p>
      <w:pPr>
        <w:spacing w:before="0" w:after="120" w:line="276" w:lineRule="auto"/>
        <w:jc w:val="both"/>
      </w:pPr>
      <w:r>
        <w:rPr>
          <w:rFonts w:ascii="Times New Roman" w:hAnsi="Times New Roman"/>
          <w:b w:val="0"/>
          <w:i w:val="0"/>
          <w:color w:val="1E1E1E"/>
          <w:sz w:val="22"/>
        </w:rPr>
        <w:t>En esta rutina, el cálculo se efectúa sobre logaritmos de probabilidad Softmax incorporando el término de modulación (1 - p_t)^gamma. Al fijar el parámetro gamma en 2.0, las muestras sencillas reducen sustancialmente su aporte al gradiente, canalizando la actualización de pesos hacia instancias difíciles como Disgusto, mientras el tensor alpha balancea la frecuencia de clase.</w:t>
      </w:r>
    </w:p>
    <w:p>
      <w:pPr>
        <w:keepNext/>
        <w:spacing w:before="160" w:after="60"/>
        <w:jc w:val="left"/>
      </w:pPr>
      <w:r>
        <w:rPr>
          <w:rFonts w:ascii="Times New Roman" w:hAnsi="Times New Roman"/>
          <w:b/>
          <w:i/>
          <w:color w:val="1E1E1E"/>
          <w:sz w:val="21"/>
        </w:rPr>
        <w:t>Resultado OE2: Diseño e implementación de la arquitectura y pipeline</w:t>
      </w:r>
    </w:p>
    <w:p>
      <w:pPr>
        <w:spacing w:before="0" w:after="120" w:line="276" w:lineRule="auto"/>
        <w:jc w:val="both"/>
      </w:pPr>
      <w:r>
        <w:rPr>
          <w:rFonts w:ascii="Times New Roman" w:hAnsi="Times New Roman"/>
          <w:b w:val="0"/>
          <w:i w:val="0"/>
          <w:color w:val="1E1E1E"/>
          <w:sz w:val="22"/>
        </w:rPr>
        <w:t>La estructura global de la red EmotionResNetSE (Figura 3) integra una etapa inicial de stem convolucional, cuatro bloques residuales equipados con compresión y excitación de canales (SE), y una capa clasificadora con promediado global espacial (GAP), acumulando 11.38 millones de parámetros entrenables.</w:t>
      </w:r>
    </w:p>
    <w:p>
      <w:pPr>
        <w:keepNext/>
        <w:spacing w:before="280" w:after="40"/>
        <w:jc w:val="left"/>
      </w:pPr>
      <w:r>
        <w:rPr>
          <w:rFonts w:ascii="Times New Roman" w:hAnsi="Times New Roman"/>
          <w:b/>
          <w:color w:val="000000"/>
          <w:sz w:val="20"/>
        </w:rPr>
        <w:t>Figura 3</w:t>
      </w:r>
    </w:p>
    <w:p>
      <w:pPr>
        <w:keepNext/>
        <w:spacing w:before="0" w:after="120"/>
        <w:jc w:val="left"/>
      </w:pPr>
      <w:r>
        <w:rPr>
          <w:rFonts w:ascii="Times New Roman" w:hAnsi="Times New Roman"/>
          <w:i/>
          <w:color w:val="141414"/>
          <w:sz w:val="20"/>
        </w:rPr>
        <w:t>Arquitectura profunda de la red convolucional residual EmotionResNetSE</w:t>
      </w:r>
    </w:p>
    <w:p>
      <w:pPr>
        <w:keepNext/>
        <w:spacing w:before="40" w:after="80"/>
        <w:jc w:val="center"/>
      </w:pPr>
      <w:r>
        <w:drawing>
          <wp:inline xmlns:a="http://schemas.openxmlformats.org/drawingml/2006/main" xmlns:pic="http://schemas.openxmlformats.org/drawingml/2006/picture">
            <wp:extent cx="5303520" cy="1592542"/>
            <wp:docPr id="3" name="Picture 3"/>
            <wp:cNvGraphicFramePr>
              <a:graphicFrameLocks noChangeAspect="1"/>
            </wp:cNvGraphicFramePr>
            <a:graphic>
              <a:graphicData uri="http://schemas.openxmlformats.org/drawingml/2006/picture">
                <pic:pic>
                  <pic:nvPicPr>
                    <pic:cNvPr id="0" name="figura_arquitectura_emotionresnetse.png"/>
                    <pic:cNvPicPr/>
                  </pic:nvPicPr>
                  <pic:blipFill>
                    <a:blip r:embed="rId11"/>
                    <a:stretch>
                      <a:fillRect/>
                    </a:stretch>
                  </pic:blipFill>
                  <pic:spPr>
                    <a:xfrm>
                      <a:off x="0" y="0"/>
                      <a:ext cx="5303520" cy="1592542"/>
                    </a:xfrm>
                    <a:prstGeom prst="rect"/>
                  </pic:spPr>
                </pic:pic>
              </a:graphicData>
            </a:graphic>
          </wp:inline>
        </w:drawing>
      </w:r>
    </w:p>
    <w:p>
      <w:pPr>
        <w:spacing w:before="60" w:after="280" w:line="252" w:lineRule="auto"/>
        <w:jc w:val="left"/>
      </w:pPr>
      <w:r>
        <w:rPr>
          <w:rFonts w:ascii="Times New Roman" w:hAnsi="Times New Roman"/>
          <w:i/>
          <w:color w:val="282828"/>
          <w:sz w:val="17"/>
        </w:rPr>
        <w:t xml:space="preserve">Nota. </w:t>
      </w:r>
      <w:r>
        <w:rPr>
          <w:rFonts w:ascii="Times New Roman" w:hAnsi="Times New Roman"/>
          <w:color w:val="323232"/>
          <w:sz w:val="17"/>
        </w:rPr>
        <w:t>Estructura por bloques convolucionales con conexiones de atajo y módulos de recalibración por atención SE (r=16). Elaboración propia.</w:t>
      </w:r>
    </w:p>
    <w:p>
      <w:pPr>
        <w:spacing w:before="0" w:after="120" w:line="276" w:lineRule="auto"/>
        <w:jc w:val="both"/>
      </w:pPr>
      <w:r>
        <w:rPr>
          <w:rFonts w:ascii="Times New Roman" w:hAnsi="Times New Roman"/>
          <w:b w:val="0"/>
          <w:i w:val="0"/>
          <w:color w:val="1E1E1E"/>
          <w:sz w:val="22"/>
        </w:rPr>
        <w:t>El flujo de cómputo procesa la entrada monocromática de 48×48 píxeles mediante representaciones jerárquicas de 64, 128, 256 y 512 canales. La compresión y excitación en cada etapa asegura que únicamente se transmitan los mapas de características relevantes para la discriminación afectiva, mientras que el clasificador GAP previene el sobreentrenamiento.</w:t>
      </w:r>
    </w:p>
    <w:p>
      <w:pPr>
        <w:spacing w:before="0" w:after="120" w:line="276" w:lineRule="auto"/>
        <w:jc w:val="both"/>
      </w:pPr>
      <w:r>
        <w:rPr>
          <w:rFonts w:ascii="Times New Roman" w:hAnsi="Times New Roman"/>
          <w:b w:val="0"/>
          <w:i w:val="0"/>
          <w:color w:val="1E1E1E"/>
          <w:sz w:val="22"/>
        </w:rPr>
        <w:t>La traducción de este diseño conceptual a código fuente modular en PyTorch (expuesta en la Figura 4) define las clases SEBlock y ResidualSEBlock.</w:t>
      </w:r>
    </w:p>
    <w:p>
      <w:pPr>
        <w:keepNext/>
        <w:spacing w:before="280" w:after="40"/>
        <w:jc w:val="left"/>
      </w:pPr>
      <w:r>
        <w:rPr>
          <w:rFonts w:ascii="Times New Roman" w:hAnsi="Times New Roman"/>
          <w:b/>
          <w:color w:val="000000"/>
          <w:sz w:val="20"/>
        </w:rPr>
        <w:t>Figura 4</w:t>
      </w:r>
    </w:p>
    <w:p>
      <w:pPr>
        <w:keepNext/>
        <w:spacing w:before="0" w:after="120"/>
        <w:jc w:val="left"/>
      </w:pPr>
      <w:r>
        <w:rPr>
          <w:rFonts w:ascii="Times New Roman" w:hAnsi="Times New Roman"/>
          <w:i/>
          <w:color w:val="141414"/>
          <w:sz w:val="20"/>
        </w:rPr>
        <w:t>Implementación en PyTorch del bloque ResidualSEBlock y el módulo de atención Squeeze-and-Excitation</w:t>
      </w:r>
    </w:p>
    <w:p>
      <w:pPr>
        <w:keepNext/>
        <w:spacing w:before="40" w:after="80"/>
        <w:jc w:val="center"/>
      </w:pPr>
      <w:r>
        <w:drawing>
          <wp:inline xmlns:a="http://schemas.openxmlformats.org/drawingml/2006/main" xmlns:pic="http://schemas.openxmlformats.org/drawingml/2006/picture">
            <wp:extent cx="5486400" cy="4298803"/>
            <wp:docPr id="4" name="Picture 4"/>
            <wp:cNvGraphicFramePr>
              <a:graphicFrameLocks noChangeAspect="1"/>
            </wp:cNvGraphicFramePr>
            <a:graphic>
              <a:graphicData uri="http://schemas.openxmlformats.org/drawingml/2006/picture">
                <pic:pic>
                  <pic:nvPicPr>
                    <pic:cNvPr id="0" name="codigo_figura_emotionresnetse.png"/>
                    <pic:cNvPicPr/>
                  </pic:nvPicPr>
                  <pic:blipFill>
                    <a:blip r:embed="rId12"/>
                    <a:stretch>
                      <a:fillRect/>
                    </a:stretch>
                  </pic:blipFill>
                  <pic:spPr>
                    <a:xfrm>
                      <a:off x="0" y="0"/>
                      <a:ext cx="5486400" cy="4298803"/>
                    </a:xfrm>
                    <a:prstGeom prst="rect"/>
                  </pic:spPr>
                </pic:pic>
              </a:graphicData>
            </a:graphic>
          </wp:inline>
        </w:drawing>
      </w:r>
    </w:p>
    <w:p>
      <w:pPr>
        <w:spacing w:before="60" w:after="280" w:line="252" w:lineRule="auto"/>
        <w:jc w:val="left"/>
      </w:pPr>
      <w:r>
        <w:rPr>
          <w:rFonts w:ascii="Times New Roman" w:hAnsi="Times New Roman"/>
          <w:i/>
          <w:color w:val="282828"/>
          <w:sz w:val="17"/>
        </w:rPr>
        <w:t xml:space="preserve">Nota. </w:t>
      </w:r>
      <w:r>
        <w:rPr>
          <w:rFonts w:ascii="Times New Roman" w:hAnsi="Times New Roman"/>
          <w:color w:val="323232"/>
          <w:sz w:val="17"/>
        </w:rPr>
        <w:t>Código fuente modular que define la compresión por GAP, la excitación por cuello de botella lineal y la suma residual F(x) + x. Elaboración propia.</w:t>
      </w:r>
    </w:p>
    <w:p>
      <w:pPr>
        <w:spacing w:before="0" w:after="120" w:line="276" w:lineRule="auto"/>
        <w:jc w:val="both"/>
      </w:pPr>
      <w:r>
        <w:rPr>
          <w:rFonts w:ascii="Times New Roman" w:hAnsi="Times New Roman"/>
          <w:b w:val="0"/>
          <w:i w:val="0"/>
          <w:color w:val="1E1E1E"/>
          <w:sz w:val="22"/>
        </w:rPr>
        <w:t>La estructura del método forward confirma el apego a la formulación matemática: AdaptiveAvgPool2d(1) genera el descriptor de compresión, dos transformaciones lineales con activación Sigmoid producen los factores de escala dinámicos y la salida resultante se suma al camino de salto (shortcut), permitiendo propagar gradientes a lo largo de 50 capas efectivas.</w:t>
      </w:r>
    </w:p>
    <w:p>
      <w:pPr>
        <w:spacing w:before="0" w:after="120" w:line="276" w:lineRule="auto"/>
        <w:jc w:val="both"/>
      </w:pPr>
      <w:r>
        <w:rPr>
          <w:rFonts w:ascii="Times New Roman" w:hAnsi="Times New Roman"/>
          <w:b w:val="0"/>
          <w:i w:val="0"/>
          <w:color w:val="1E1E1E"/>
          <w:sz w:val="22"/>
        </w:rPr>
        <w:t>Para la etapa de inferencia continua desde cámara web, el sistema organiza el procesamiento de cuadros mediante un flujo secuencial optimizado (esquematizado en la Figura 5).</w:t>
      </w:r>
    </w:p>
    <w:p>
      <w:pPr>
        <w:keepNext/>
        <w:spacing w:before="280" w:after="40"/>
        <w:jc w:val="left"/>
      </w:pPr>
      <w:r>
        <w:rPr>
          <w:rFonts w:ascii="Times New Roman" w:hAnsi="Times New Roman"/>
          <w:b/>
          <w:color w:val="000000"/>
          <w:sz w:val="20"/>
        </w:rPr>
        <w:t>Figura 5</w:t>
      </w:r>
    </w:p>
    <w:p>
      <w:pPr>
        <w:keepNext/>
        <w:spacing w:before="0" w:after="120"/>
        <w:jc w:val="left"/>
      </w:pPr>
      <w:r>
        <w:rPr>
          <w:rFonts w:ascii="Times New Roman" w:hAnsi="Times New Roman"/>
          <w:i/>
          <w:color w:val="141414"/>
          <w:sz w:val="20"/>
        </w:rPr>
        <w:t>Pipeline de inferencia en tiempo real multi-rostro con detector YuNet y filtro temporal EMA</w:t>
      </w:r>
    </w:p>
    <w:p>
      <w:pPr>
        <w:keepNext/>
        <w:spacing w:before="40" w:after="80"/>
        <w:jc w:val="center"/>
      </w:pPr>
      <w:r>
        <w:drawing>
          <wp:inline xmlns:a="http://schemas.openxmlformats.org/drawingml/2006/main" xmlns:pic="http://schemas.openxmlformats.org/drawingml/2006/picture">
            <wp:extent cx="5303520" cy="1960965"/>
            <wp:docPr id="5" name="Picture 5"/>
            <wp:cNvGraphicFramePr>
              <a:graphicFrameLocks noChangeAspect="1"/>
            </wp:cNvGraphicFramePr>
            <a:graphic>
              <a:graphicData uri="http://schemas.openxmlformats.org/drawingml/2006/picture">
                <pic:pic>
                  <pic:nvPicPr>
                    <pic:cNvPr id="0" name="figura_pipeline_inferencia_realtime.png"/>
                    <pic:cNvPicPr/>
                  </pic:nvPicPr>
                  <pic:blipFill>
                    <a:blip r:embed="rId13"/>
                    <a:stretch>
                      <a:fillRect/>
                    </a:stretch>
                  </pic:blipFill>
                  <pic:spPr>
                    <a:xfrm>
                      <a:off x="0" y="0"/>
                      <a:ext cx="5303520" cy="1960965"/>
                    </a:xfrm>
                    <a:prstGeom prst="rect"/>
                  </pic:spPr>
                </pic:pic>
              </a:graphicData>
            </a:graphic>
          </wp:inline>
        </w:drawing>
      </w:r>
    </w:p>
    <w:p>
      <w:pPr>
        <w:spacing w:before="60" w:after="280" w:line="252" w:lineRule="auto"/>
        <w:jc w:val="left"/>
      </w:pPr>
      <w:r>
        <w:rPr>
          <w:rFonts w:ascii="Times New Roman" w:hAnsi="Times New Roman"/>
          <w:i/>
          <w:color w:val="282828"/>
          <w:sz w:val="17"/>
        </w:rPr>
        <w:t xml:space="preserve">Nota. </w:t>
      </w:r>
      <w:r>
        <w:rPr>
          <w:rFonts w:ascii="Times New Roman" w:hAnsi="Times New Roman"/>
          <w:color w:val="323232"/>
          <w:sz w:val="17"/>
        </w:rPr>
        <w:t>Flujo modular de preprocesamiento, alineación afín, inferencia TTA, seguimiento ZNCC y renderizado HUD a 60 FPS. Elaboración propia.</w:t>
      </w:r>
    </w:p>
    <w:p>
      <w:pPr>
        <w:spacing w:before="0" w:after="120" w:line="276" w:lineRule="auto"/>
        <w:jc w:val="both"/>
      </w:pPr>
      <w:r>
        <w:rPr>
          <w:rFonts w:ascii="Times New Roman" w:hAnsi="Times New Roman"/>
          <w:b w:val="0"/>
          <w:i w:val="0"/>
          <w:color w:val="1E1E1E"/>
          <w:sz w:val="22"/>
        </w:rPr>
        <w:t>El esquema evidencia cómo el detector neuronal YuNet ONNX extrae 5 coordenadas faciales en aproximadamente 2.5 ms, posibilitando una rotación afín horizontal antes de la predicción. La combinación del filtro móvil exponencial (EMA) y la re-identificación facial por ZNCC elimina parpadeos visuales y asegura una ejecución continua a 60 cuadros por segundo.</w:t>
      </w:r>
    </w:p>
    <w:p>
      <w:pPr>
        <w:spacing w:before="0" w:after="120" w:line="276" w:lineRule="auto"/>
        <w:jc w:val="both"/>
      </w:pPr>
      <w:r>
        <w:rPr>
          <w:rFonts w:ascii="Times New Roman" w:hAnsi="Times New Roman"/>
          <w:b w:val="0"/>
          <w:i w:val="0"/>
          <w:color w:val="1E1E1E"/>
          <w:sz w:val="22"/>
        </w:rPr>
        <w:t>La lógica del ciclo continuo de captura e inferencia en vivo se programó en Python sobre la biblioteca OpenCV (Figura 6).</w:t>
      </w:r>
    </w:p>
    <w:p>
      <w:pPr>
        <w:keepNext/>
        <w:spacing w:before="280" w:after="40"/>
        <w:jc w:val="left"/>
      </w:pPr>
      <w:r>
        <w:rPr>
          <w:rFonts w:ascii="Times New Roman" w:hAnsi="Times New Roman"/>
          <w:b/>
          <w:color w:val="000000"/>
          <w:sz w:val="20"/>
        </w:rPr>
        <w:t>Figura 6</w:t>
      </w:r>
    </w:p>
    <w:p>
      <w:pPr>
        <w:keepNext/>
        <w:spacing w:before="0" w:after="120"/>
        <w:jc w:val="left"/>
      </w:pPr>
      <w:r>
        <w:rPr>
          <w:rFonts w:ascii="Times New Roman" w:hAnsi="Times New Roman"/>
          <w:i/>
          <w:color w:val="141414"/>
          <w:sz w:val="20"/>
        </w:rPr>
        <w:t>Implementación en Python/OpenCV del pipeline de inferencia multi-rostro con detector YuNet y filtro temporal EMA</w:t>
      </w:r>
    </w:p>
    <w:p>
      <w:pPr>
        <w:keepNext/>
        <w:spacing w:before="40" w:after="80"/>
        <w:jc w:val="center"/>
      </w:pPr>
      <w:r>
        <w:drawing>
          <wp:inline xmlns:a="http://schemas.openxmlformats.org/drawingml/2006/main" xmlns:pic="http://schemas.openxmlformats.org/drawingml/2006/picture">
            <wp:extent cx="5486400" cy="4296849"/>
            <wp:docPr id="6" name="Picture 6"/>
            <wp:cNvGraphicFramePr>
              <a:graphicFrameLocks noChangeAspect="1"/>
            </wp:cNvGraphicFramePr>
            <a:graphic>
              <a:graphicData uri="http://schemas.openxmlformats.org/drawingml/2006/picture">
                <pic:pic>
                  <pic:nvPicPr>
                    <pic:cNvPr id="0" name="codigo_figura_inferencia_realtime.png"/>
                    <pic:cNvPicPr/>
                  </pic:nvPicPr>
                  <pic:blipFill>
                    <a:blip r:embed="rId14"/>
                    <a:stretch>
                      <a:fillRect/>
                    </a:stretch>
                  </pic:blipFill>
                  <pic:spPr>
                    <a:xfrm>
                      <a:off x="0" y="0"/>
                      <a:ext cx="5486400" cy="4296849"/>
                    </a:xfrm>
                    <a:prstGeom prst="rect"/>
                  </pic:spPr>
                </pic:pic>
              </a:graphicData>
            </a:graphic>
          </wp:inline>
        </w:drawing>
      </w:r>
    </w:p>
    <w:p>
      <w:pPr>
        <w:spacing w:before="60" w:after="280" w:line="252" w:lineRule="auto"/>
        <w:jc w:val="left"/>
      </w:pPr>
      <w:r>
        <w:rPr>
          <w:rFonts w:ascii="Times New Roman" w:hAnsi="Times New Roman"/>
          <w:i/>
          <w:color w:val="282828"/>
          <w:sz w:val="17"/>
        </w:rPr>
        <w:t xml:space="preserve">Nota. </w:t>
      </w:r>
      <w:r>
        <w:rPr>
          <w:rFonts w:ascii="Times New Roman" w:hAnsi="Times New Roman"/>
          <w:color w:val="323232"/>
          <w:sz w:val="17"/>
        </w:rPr>
        <w:t>Código fuente que articula la detección facial, la rotación afín interpupilar, la inferencia TTA y el suavizado temporal probabilístico. Elaboración propia.</w:t>
      </w:r>
    </w:p>
    <w:p>
      <w:pPr>
        <w:spacing w:before="0" w:after="120" w:line="276" w:lineRule="auto"/>
        <w:jc w:val="both"/>
      </w:pPr>
      <w:r>
        <w:rPr>
          <w:rFonts w:ascii="Times New Roman" w:hAnsi="Times New Roman"/>
          <w:b w:val="0"/>
          <w:i w:val="0"/>
          <w:color w:val="1E1E1E"/>
          <w:sz w:val="22"/>
        </w:rPr>
        <w:t>Durante cada ciclo, el algoritmo detecta los rostros, calcula el ángulo interpupilar mediante arctan2 para estandarizar la pose facial, aplica normalización fotométrica CLAHE y Z-Score sobre el parche y suaviza el vector de probabilidades continuo mediante EMA, asegurando fluidez y estabilidad sin degradar el rendimiento de la CPU.</w:t>
      </w:r>
    </w:p>
    <w:p>
      <w:pPr>
        <w:keepNext/>
        <w:spacing w:before="160" w:after="60"/>
        <w:jc w:val="left"/>
      </w:pPr>
      <w:r>
        <w:rPr>
          <w:rFonts w:ascii="Times New Roman" w:hAnsi="Times New Roman"/>
          <w:b/>
          <w:i/>
          <w:color w:val="1E1E1E"/>
          <w:sz w:val="21"/>
        </w:rPr>
        <w:t>Resultado OE3: Evaluación experimental cuantitativa en el conjunto de test</w:t>
      </w:r>
    </w:p>
    <w:p>
      <w:pPr>
        <w:spacing w:before="0" w:after="120" w:line="276" w:lineRule="auto"/>
        <w:jc w:val="both"/>
      </w:pPr>
      <w:r>
        <w:rPr>
          <w:rFonts w:ascii="Times New Roman" w:hAnsi="Times New Roman"/>
          <w:b w:val="0"/>
          <w:i w:val="0"/>
          <w:color w:val="1E1E1E"/>
          <w:sz w:val="22"/>
        </w:rPr>
        <w:t>La evaluación sobre la partición de prueba independiente de 7 178 imágenes de FER-2013 proporcionó el desglose de métricas por clase emocional (resumido en la Tabla 2).</w:t>
      </w:r>
    </w:p>
    <w:p>
      <w:pPr>
        <w:keepNext/>
        <w:spacing w:before="280" w:after="40"/>
        <w:jc w:val="left"/>
      </w:pPr>
      <w:r>
        <w:rPr>
          <w:rFonts w:ascii="Times New Roman" w:hAnsi="Times New Roman"/>
          <w:b/>
          <w:color w:val="000000"/>
          <w:sz w:val="20"/>
        </w:rPr>
        <w:t>Tabla 2</w:t>
      </w:r>
    </w:p>
    <w:p>
      <w:pPr>
        <w:keepNext/>
        <w:spacing w:before="0" w:after="120"/>
        <w:jc w:val="left"/>
      </w:pPr>
      <w:r>
        <w:rPr>
          <w:rFonts w:ascii="Times New Roman" w:hAnsi="Times New Roman"/>
          <w:i/>
          <w:color w:val="141414"/>
          <w:sz w:val="20"/>
        </w:rPr>
        <w:t>Reporte de Clasificación del Modelo EmotionResNetSE en el Conjunto de Prueba FER-2013</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881"/>
        <w:gridCol w:w="1881"/>
        <w:gridCol w:w="1881"/>
        <w:gridCol w:w="1881"/>
        <w:gridCol w:w="1881"/>
      </w:tblGrid>
      <w:tr>
        <w:tc>
          <w:tcPr>
            <w:tcW w:type="dxa" w:w="2160"/>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Clase Emocional</w:t>
            </w:r>
          </w:p>
        </w:tc>
        <w:tc>
          <w:tcPr>
            <w:tcW w:type="dxa" w:w="1872"/>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Precisión (Precision)</w:t>
            </w:r>
          </w:p>
        </w:tc>
        <w:tc>
          <w:tcPr>
            <w:tcW w:type="dxa" w:w="1872"/>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Sensibilidad (Recall)</w:t>
            </w:r>
          </w:p>
        </w:tc>
        <w:tc>
          <w:tcPr>
            <w:tcW w:type="dxa" w:w="1872"/>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Puntuación F1-Score</w:t>
            </w:r>
          </w:p>
        </w:tc>
        <w:tc>
          <w:tcPr>
            <w:tcW w:type="dxa" w:w="2016"/>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Muestras de Test (Support)</w:t>
            </w:r>
          </w:p>
        </w:tc>
      </w:tr>
      <w:tr>
        <w:tc>
          <w:tcPr>
            <w:tcW w:type="dxa" w:w="216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Enojo</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0.6300</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0.5616</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0.5938</w:t>
            </w:r>
          </w:p>
        </w:tc>
        <w:tc>
          <w:tcPr>
            <w:tcW w:type="dxa" w:w="2016"/>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958</w:t>
            </w:r>
          </w:p>
        </w:tc>
      </w:tr>
      <w:tr>
        <w:tc>
          <w:tcPr>
            <w:tcW w:type="dxa" w:w="216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Disgusto</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0.6750</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0.7297</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0.7013</w:t>
            </w:r>
          </w:p>
        </w:tc>
        <w:tc>
          <w:tcPr>
            <w:tcW w:type="dxa" w:w="2016"/>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111</w:t>
            </w:r>
          </w:p>
        </w:tc>
      </w:tr>
      <w:tr>
        <w:tc>
          <w:tcPr>
            <w:tcW w:type="dxa" w:w="216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Miedo</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0.5458</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0.4941</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0.5187</w:t>
            </w:r>
          </w:p>
        </w:tc>
        <w:tc>
          <w:tcPr>
            <w:tcW w:type="dxa" w:w="2016"/>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1 024</w:t>
            </w:r>
          </w:p>
        </w:tc>
      </w:tr>
      <w:tr>
        <w:tc>
          <w:tcPr>
            <w:tcW w:type="dxa" w:w="216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Feliz</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0.8719</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0.8782</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0.8750</w:t>
            </w:r>
          </w:p>
        </w:tc>
        <w:tc>
          <w:tcPr>
            <w:tcW w:type="dxa" w:w="2016"/>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1 774</w:t>
            </w:r>
          </w:p>
        </w:tc>
      </w:tr>
      <w:tr>
        <w:tc>
          <w:tcPr>
            <w:tcW w:type="dxa" w:w="216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Tristeza</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0.5600</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0.5317</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0.5455</w:t>
            </w:r>
          </w:p>
        </w:tc>
        <w:tc>
          <w:tcPr>
            <w:tcW w:type="dxa" w:w="2016"/>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1 247</w:t>
            </w:r>
          </w:p>
        </w:tc>
      </w:tr>
      <w:tr>
        <w:tc>
          <w:tcPr>
            <w:tcW w:type="dxa" w:w="216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Sorpresa</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0.7609</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0.8424</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0.7995</w:t>
            </w:r>
          </w:p>
        </w:tc>
        <w:tc>
          <w:tcPr>
            <w:tcW w:type="dxa" w:w="2016"/>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831</w:t>
            </w:r>
          </w:p>
        </w:tc>
      </w:tr>
      <w:tr>
        <w:tc>
          <w:tcPr>
            <w:tcW w:type="dxa" w:w="216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Neutral</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0.6097</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0.6853</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0.6453</w:t>
            </w:r>
          </w:p>
        </w:tc>
        <w:tc>
          <w:tcPr>
            <w:tcW w:type="dxa" w:w="2016"/>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1 233</w:t>
            </w:r>
          </w:p>
        </w:tc>
      </w:tr>
      <w:tr>
        <w:tc>
          <w:tcPr>
            <w:tcW w:type="dxa" w:w="216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Promedio Macro</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0.6647</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0.6747</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0.6684</w:t>
            </w:r>
          </w:p>
        </w:tc>
        <w:tc>
          <w:tcPr>
            <w:tcW w:type="dxa" w:w="2016"/>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7 178</w:t>
            </w:r>
          </w:p>
        </w:tc>
      </w:tr>
      <w:tr>
        <w:tc>
          <w:tcPr>
            <w:tcW w:type="dxa" w:w="216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Promedio Ponderado</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0.6780</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0.6814</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0.6785</w:t>
            </w:r>
          </w:p>
        </w:tc>
        <w:tc>
          <w:tcPr>
            <w:tcW w:type="dxa" w:w="2016"/>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7 178</w:t>
            </w:r>
          </w:p>
        </w:tc>
      </w:tr>
      <w:tr>
        <w:tc>
          <w:tcPr>
            <w:tcW w:type="dxa" w:w="2160"/>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Exactitud Global (Accuracy)</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w:t>
            </w:r>
          </w:p>
        </w:tc>
        <w:tc>
          <w:tcPr>
            <w:tcW w:type="dxa" w:w="1872"/>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w:t>
            </w:r>
          </w:p>
        </w:tc>
        <w:tc>
          <w:tcPr>
            <w:tcW w:type="dxa" w:w="1872"/>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0.6814 (68.14 %)</w:t>
            </w:r>
          </w:p>
        </w:tc>
        <w:tc>
          <w:tcPr>
            <w:tcW w:type="dxa" w:w="2016"/>
            <w:tcMar>
              <w:top w:w="70" w:type="dxa"/>
              <w:bottom w:w="70" w:type="dxa"/>
              <w:left w:w="100" w:type="dxa"/>
              <w:right w:w="100" w:type="dxa"/>
            </w:tcMar>
            <w:vAlign w:val="center"/>
          </w:tcPr>
          <w:p>
            <w:pPr>
              <w:spacing w:before="40" w:after="40" w:line="252" w:lineRule="auto"/>
              <w:jc w:val="center"/>
            </w:pPr>
            <w:r>
              <w:rPr>
                <w:rFonts w:ascii="Times New Roman" w:hAnsi="Times New Roman"/>
                <w:color w:val="1E1E1E"/>
                <w:sz w:val="18"/>
              </w:rPr>
              <w:t>7 178</w:t>
            </w:r>
          </w:p>
        </w:tc>
      </w:tr>
    </w:tbl>
    <w:p>
      <w:pPr>
        <w:spacing w:before="60" w:after="240" w:line="252" w:lineRule="auto"/>
        <w:jc w:val="left"/>
      </w:pPr>
      <w:r>
        <w:rPr>
          <w:rFonts w:ascii="Times New Roman" w:hAnsi="Times New Roman"/>
          <w:i/>
          <w:color w:val="282828"/>
          <w:sz w:val="17"/>
        </w:rPr>
        <w:t xml:space="preserve">Nota. </w:t>
      </w:r>
      <w:r>
        <w:rPr>
          <w:rFonts w:ascii="Times New Roman" w:hAnsi="Times New Roman"/>
          <w:color w:val="323232"/>
          <w:sz w:val="17"/>
        </w:rPr>
        <w:t>Evaluación estandarizada sobre 7 178 imágenes independientes sin aumento de datos.</w:t>
      </w:r>
    </w:p>
    <w:p>
      <w:pPr>
        <w:spacing w:before="0" w:after="120" w:line="276" w:lineRule="auto"/>
        <w:jc w:val="both"/>
      </w:pPr>
      <w:r>
        <w:rPr>
          <w:rFonts w:ascii="Times New Roman" w:hAnsi="Times New Roman"/>
          <w:b w:val="0"/>
          <w:i w:val="0"/>
          <w:color w:val="1E1E1E"/>
          <w:sz w:val="22"/>
        </w:rPr>
        <w:t>El análisis de estas mediciones evidencia que la exactitud global alcanzó 68.14 %, rebasando la meta del 65.0 % correspondiente al nivel promedio interhumano. La clase Feliz exhibió un F1-score de 0.8750 con un recall de 87.82 %, confirmando la marcada distinción geométrica de los rasgos asociados a la sonrisa. Asimismo, la categoría Disgusto —con solo 111 muestras en test— obtuvo un recall de 72.97 % y un F1-score de 0.7013, lo que evidencia el desempeño favorable de Focal Loss frente al desbalance.</w:t>
      </w:r>
    </w:p>
    <w:p>
      <w:pPr>
        <w:spacing w:before="0" w:after="120" w:line="276" w:lineRule="auto"/>
        <w:jc w:val="both"/>
      </w:pPr>
      <w:r>
        <w:rPr>
          <w:rFonts w:ascii="Times New Roman" w:hAnsi="Times New Roman"/>
          <w:b w:val="0"/>
          <w:i w:val="0"/>
          <w:color w:val="1E1E1E"/>
          <w:sz w:val="22"/>
        </w:rPr>
        <w:t>Las confusiones entre clases se examinaron a partir de la matriz normalizada correspondiente al conjunto de evaluación (Figura 7).</w:t>
      </w:r>
    </w:p>
    <w:p>
      <w:pPr>
        <w:keepNext/>
        <w:spacing w:before="280" w:after="40"/>
        <w:jc w:val="left"/>
      </w:pPr>
      <w:r>
        <w:rPr>
          <w:rFonts w:ascii="Times New Roman" w:hAnsi="Times New Roman"/>
          <w:b/>
          <w:color w:val="000000"/>
          <w:sz w:val="20"/>
        </w:rPr>
        <w:t>Figura 7</w:t>
      </w:r>
    </w:p>
    <w:p>
      <w:pPr>
        <w:keepNext/>
        <w:spacing w:before="0" w:after="120"/>
        <w:jc w:val="left"/>
      </w:pPr>
      <w:r>
        <w:rPr>
          <w:rFonts w:ascii="Times New Roman" w:hAnsi="Times New Roman"/>
          <w:i/>
          <w:color w:val="141414"/>
          <w:sz w:val="20"/>
        </w:rPr>
        <w:t>Matriz de confusión normalizada del modelo EmotionResNetSE en el conjunto de prueba</w:t>
      </w:r>
    </w:p>
    <w:p>
      <w:pPr>
        <w:keepNext/>
        <w:spacing w:before="40" w:after="80"/>
        <w:jc w:val="center"/>
      </w:pPr>
      <w:r>
        <w:drawing>
          <wp:inline xmlns:a="http://schemas.openxmlformats.org/drawingml/2006/main" xmlns:pic="http://schemas.openxmlformats.org/drawingml/2006/picture">
            <wp:extent cx="5029200" cy="4753569"/>
            <wp:docPr id="7" name="Picture 7"/>
            <wp:cNvGraphicFramePr>
              <a:graphicFrameLocks noChangeAspect="1"/>
            </wp:cNvGraphicFramePr>
            <a:graphic>
              <a:graphicData uri="http://schemas.openxmlformats.org/drawingml/2006/picture">
                <pic:pic>
                  <pic:nvPicPr>
                    <pic:cNvPr id="0" name="matriz_confusion_normalizada.png"/>
                    <pic:cNvPicPr/>
                  </pic:nvPicPr>
                  <pic:blipFill>
                    <a:blip r:embed="rId15"/>
                    <a:stretch>
                      <a:fillRect/>
                    </a:stretch>
                  </pic:blipFill>
                  <pic:spPr>
                    <a:xfrm>
                      <a:off x="0" y="0"/>
                      <a:ext cx="5029200" cy="4753569"/>
                    </a:xfrm>
                    <a:prstGeom prst="rect"/>
                  </pic:spPr>
                </pic:pic>
              </a:graphicData>
            </a:graphic>
          </wp:inline>
        </w:drawing>
      </w:r>
    </w:p>
    <w:p>
      <w:pPr>
        <w:spacing w:before="60" w:after="280" w:line="252" w:lineRule="auto"/>
        <w:jc w:val="left"/>
      </w:pPr>
      <w:r>
        <w:rPr>
          <w:rFonts w:ascii="Times New Roman" w:hAnsi="Times New Roman"/>
          <w:i/>
          <w:color w:val="282828"/>
          <w:sz w:val="17"/>
        </w:rPr>
        <w:t xml:space="preserve">Nota. </w:t>
      </w:r>
      <w:r>
        <w:rPr>
          <w:rFonts w:ascii="Times New Roman" w:hAnsi="Times New Roman"/>
          <w:color w:val="323232"/>
          <w:sz w:val="17"/>
        </w:rPr>
        <w:t>Porcentajes de acierto en la diagonal principal y tasas de confusión inter-clase sobre 7 178 muestras de FER-2013. Elaboración propia.</w:t>
      </w:r>
    </w:p>
    <w:p>
      <w:pPr>
        <w:spacing w:before="0" w:after="120" w:line="276" w:lineRule="auto"/>
        <w:jc w:val="both"/>
      </w:pPr>
      <w:r>
        <w:rPr>
          <w:rFonts w:ascii="Times New Roman" w:hAnsi="Times New Roman"/>
          <w:b w:val="0"/>
          <w:i w:val="0"/>
          <w:color w:val="1E1E1E"/>
          <w:sz w:val="22"/>
        </w:rPr>
        <w:t>La diagonal principal concentra los mayores porcentajes de clasificación acertada. En cuanto a las discrepancias, el 18.0 % de los rostros con Miedo fueron asignados a Sorpresa, y un 15.0 % de instancias de Tristeza se orientaron hacia Neutral, patrones compatibles con la similitud biomecánica de unidades de acción facial en estados de alerta o inexpresividad.</w:t>
      </w:r>
    </w:p>
    <w:p>
      <w:pPr>
        <w:spacing w:before="0" w:after="120" w:line="276" w:lineRule="auto"/>
        <w:jc w:val="both"/>
      </w:pPr>
      <w:r>
        <w:rPr>
          <w:rFonts w:ascii="Times New Roman" w:hAnsi="Times New Roman"/>
          <w:b w:val="0"/>
          <w:i w:val="0"/>
          <w:color w:val="1E1E1E"/>
          <w:sz w:val="22"/>
        </w:rPr>
        <w:t>El balance entre precisión, sensibilidad y puntuación F1 a lo largo de las siete emociones (ilustrado en la Figura 8) describe el perfil de estabilidad del clasificador.</w:t>
      </w:r>
    </w:p>
    <w:p>
      <w:pPr>
        <w:keepNext/>
        <w:spacing w:before="280" w:after="40"/>
        <w:jc w:val="left"/>
      </w:pPr>
      <w:r>
        <w:rPr>
          <w:rFonts w:ascii="Times New Roman" w:hAnsi="Times New Roman"/>
          <w:b/>
          <w:color w:val="000000"/>
          <w:sz w:val="20"/>
        </w:rPr>
        <w:t>Figura 8</w:t>
      </w:r>
    </w:p>
    <w:p>
      <w:pPr>
        <w:keepNext/>
        <w:spacing w:before="0" w:after="120"/>
        <w:jc w:val="left"/>
      </w:pPr>
      <w:r>
        <w:rPr>
          <w:rFonts w:ascii="Times New Roman" w:hAnsi="Times New Roman"/>
          <w:i/>
          <w:color w:val="141414"/>
          <w:sz w:val="20"/>
        </w:rPr>
        <w:t>Comparativa multimétrica de F1-Score, Precisión y Recall por clase emocional</w:t>
      </w:r>
    </w:p>
    <w:p>
      <w:pPr>
        <w:keepNext/>
        <w:spacing w:before="40" w:after="80"/>
        <w:jc w:val="center"/>
      </w:pPr>
      <w:r>
        <w:drawing>
          <wp:inline xmlns:a="http://schemas.openxmlformats.org/drawingml/2006/main" xmlns:pic="http://schemas.openxmlformats.org/drawingml/2006/picture">
            <wp:extent cx="5029200" cy="2003463"/>
            <wp:docPr id="8" name="Picture 8"/>
            <wp:cNvGraphicFramePr>
              <a:graphicFrameLocks noChangeAspect="1"/>
            </wp:cNvGraphicFramePr>
            <a:graphic>
              <a:graphicData uri="http://schemas.openxmlformats.org/drawingml/2006/picture">
                <pic:pic>
                  <pic:nvPicPr>
                    <pic:cNvPr id="0" name="f1_precision_recall_por_emocion.png"/>
                    <pic:cNvPicPr/>
                  </pic:nvPicPr>
                  <pic:blipFill>
                    <a:blip r:embed="rId16"/>
                    <a:stretch>
                      <a:fillRect/>
                    </a:stretch>
                  </pic:blipFill>
                  <pic:spPr>
                    <a:xfrm>
                      <a:off x="0" y="0"/>
                      <a:ext cx="5029200" cy="2003463"/>
                    </a:xfrm>
                    <a:prstGeom prst="rect"/>
                  </pic:spPr>
                </pic:pic>
              </a:graphicData>
            </a:graphic>
          </wp:inline>
        </w:drawing>
      </w:r>
    </w:p>
    <w:p>
      <w:pPr>
        <w:spacing w:before="60" w:after="280" w:line="252" w:lineRule="auto"/>
        <w:jc w:val="left"/>
      </w:pPr>
      <w:r>
        <w:rPr>
          <w:rFonts w:ascii="Times New Roman" w:hAnsi="Times New Roman"/>
          <w:i/>
          <w:color w:val="282828"/>
          <w:sz w:val="17"/>
        </w:rPr>
        <w:t xml:space="preserve">Nota. </w:t>
      </w:r>
      <w:r>
        <w:rPr>
          <w:rFonts w:ascii="Times New Roman" w:hAnsi="Times New Roman"/>
          <w:color w:val="323232"/>
          <w:sz w:val="17"/>
        </w:rPr>
        <w:t>Distribución semafórica que resalta la consistencia clasificatoria en las 7 expresiones evaluadas. Elaboración propia.</w:t>
      </w:r>
    </w:p>
    <w:p>
      <w:pPr>
        <w:spacing w:before="0" w:after="120" w:line="276" w:lineRule="auto"/>
        <w:jc w:val="both"/>
      </w:pPr>
      <w:r>
        <w:rPr>
          <w:rFonts w:ascii="Times New Roman" w:hAnsi="Times New Roman"/>
          <w:b w:val="0"/>
          <w:i w:val="0"/>
          <w:color w:val="1E1E1E"/>
          <w:sz w:val="22"/>
        </w:rPr>
        <w:t>Cinco de las siete clases superan el 60.0 % de F1-score, situando a Feliz, Sorpresa y Disgusto con los desempeños más consistentes y manteniendo un macro F1-score equilibrado de 0.6684.</w:t>
      </w:r>
    </w:p>
    <w:p>
      <w:pPr>
        <w:spacing w:before="0" w:after="120" w:line="276" w:lineRule="auto"/>
        <w:jc w:val="both"/>
      </w:pPr>
      <w:r>
        <w:rPr>
          <w:rFonts w:ascii="Times New Roman" w:hAnsi="Times New Roman"/>
          <w:b w:val="0"/>
          <w:i w:val="0"/>
          <w:color w:val="1E1E1E"/>
          <w:sz w:val="22"/>
        </w:rPr>
        <w:t>Un muestreo cualitativo sobre 16 ejemplos independientes del conjunto de test (Figura 9) ilustra las predicciones generadas frente a sus etiquetas originales.</w:t>
      </w:r>
    </w:p>
    <w:p>
      <w:pPr>
        <w:keepNext/>
        <w:spacing w:before="280" w:after="40"/>
        <w:jc w:val="left"/>
      </w:pPr>
      <w:r>
        <w:rPr>
          <w:rFonts w:ascii="Times New Roman" w:hAnsi="Times New Roman"/>
          <w:b/>
          <w:color w:val="000000"/>
          <w:sz w:val="20"/>
        </w:rPr>
        <w:t>Figura 9</w:t>
      </w:r>
    </w:p>
    <w:p>
      <w:pPr>
        <w:keepNext/>
        <w:spacing w:before="0" w:after="120"/>
        <w:jc w:val="left"/>
      </w:pPr>
      <w:r>
        <w:rPr>
          <w:rFonts w:ascii="Times New Roman" w:hAnsi="Times New Roman"/>
          <w:i/>
          <w:color w:val="141414"/>
          <w:sz w:val="20"/>
        </w:rPr>
        <w:t>Muestra cualitativa de predicciones del modelo en imágenes del conjunto de prueba</w:t>
      </w:r>
    </w:p>
    <w:p>
      <w:pPr>
        <w:keepNext/>
        <w:spacing w:before="40" w:after="80"/>
        <w:jc w:val="center"/>
      </w:pPr>
      <w:r>
        <w:drawing>
          <wp:inline xmlns:a="http://schemas.openxmlformats.org/drawingml/2006/main" xmlns:pic="http://schemas.openxmlformats.org/drawingml/2006/picture">
            <wp:extent cx="5303520" cy="5322053"/>
            <wp:docPr id="9" name="Picture 9"/>
            <wp:cNvGraphicFramePr>
              <a:graphicFrameLocks noChangeAspect="1"/>
            </wp:cNvGraphicFramePr>
            <a:graphic>
              <a:graphicData uri="http://schemas.openxmlformats.org/drawingml/2006/picture">
                <pic:pic>
                  <pic:nvPicPr>
                    <pic:cNvPr id="0" name="ejemplos_predicciones.png"/>
                    <pic:cNvPicPr/>
                  </pic:nvPicPr>
                  <pic:blipFill>
                    <a:blip r:embed="rId17"/>
                    <a:stretch>
                      <a:fillRect/>
                    </a:stretch>
                  </pic:blipFill>
                  <pic:spPr>
                    <a:xfrm>
                      <a:off x="0" y="0"/>
                      <a:ext cx="5303520" cy="5322053"/>
                    </a:xfrm>
                    <a:prstGeom prst="rect"/>
                  </pic:spPr>
                </pic:pic>
              </a:graphicData>
            </a:graphic>
          </wp:inline>
        </w:drawing>
      </w:r>
    </w:p>
    <w:p>
      <w:pPr>
        <w:spacing w:before="60" w:after="280" w:line="252" w:lineRule="auto"/>
        <w:jc w:val="left"/>
      </w:pPr>
      <w:r>
        <w:rPr>
          <w:rFonts w:ascii="Times New Roman" w:hAnsi="Times New Roman"/>
          <w:i/>
          <w:color w:val="282828"/>
          <w:sz w:val="17"/>
        </w:rPr>
        <w:t xml:space="preserve">Nota. </w:t>
      </w:r>
      <w:r>
        <w:rPr>
          <w:rFonts w:ascii="Times New Roman" w:hAnsi="Times New Roman"/>
          <w:color w:val="323232"/>
          <w:sz w:val="17"/>
        </w:rPr>
        <w:t>Etiquetas predichas frente a etiquetas reales de FER-2013 acompañadas del porcentaje de confianza Softmax. Elaboración propia.</w:t>
      </w:r>
    </w:p>
    <w:p>
      <w:pPr>
        <w:spacing w:before="0" w:after="120" w:line="276" w:lineRule="auto"/>
        <w:jc w:val="both"/>
      </w:pPr>
      <w:r>
        <w:rPr>
          <w:rFonts w:ascii="Times New Roman" w:hAnsi="Times New Roman"/>
          <w:b w:val="0"/>
          <w:i w:val="0"/>
          <w:color w:val="1E1E1E"/>
          <w:sz w:val="22"/>
        </w:rPr>
        <w:t>Las salidas reflejan una probabilidad Softmax superior al 85 % en gestos expresivos evidentes (sonrisas amplias, asombro y rostros neutros relajados), ratificando la solidez del clasificador ante variaciones individuales.</w:t>
      </w:r>
    </w:p>
    <w:p>
      <w:pPr>
        <w:keepNext/>
        <w:spacing w:before="160" w:after="60"/>
        <w:jc w:val="left"/>
      </w:pPr>
      <w:r>
        <w:rPr>
          <w:rFonts w:ascii="Times New Roman" w:hAnsi="Times New Roman"/>
          <w:b/>
          <w:i/>
          <w:color w:val="1E1E1E"/>
          <w:sz w:val="21"/>
        </w:rPr>
        <w:t>Resultado OG: Despliegue en tiempo real y verificación del producto mínimo viable</w:t>
      </w:r>
    </w:p>
    <w:p>
      <w:pPr>
        <w:spacing w:before="0" w:after="120" w:line="276" w:lineRule="auto"/>
        <w:jc w:val="both"/>
      </w:pPr>
      <w:r>
        <w:rPr>
          <w:rFonts w:ascii="Times New Roman" w:hAnsi="Times New Roman"/>
          <w:b w:val="0"/>
          <w:i w:val="0"/>
          <w:color w:val="1E1E1E"/>
          <w:sz w:val="22"/>
        </w:rPr>
        <w:t>Para validar el objetivo general y verificar el producto mínimo viable en ejecución real, el aplicativo se desplegó conectado a cámara web (véase la captura en la Figura 10).</w:t>
      </w:r>
    </w:p>
    <w:p>
      <w:pPr>
        <w:keepNext/>
        <w:spacing w:before="280" w:after="40"/>
        <w:jc w:val="left"/>
      </w:pPr>
      <w:r>
        <w:rPr>
          <w:rFonts w:ascii="Times New Roman" w:hAnsi="Times New Roman"/>
          <w:b/>
          <w:color w:val="000000"/>
          <w:sz w:val="20"/>
        </w:rPr>
        <w:t>Figura 10</w:t>
      </w:r>
    </w:p>
    <w:p>
      <w:pPr>
        <w:keepNext/>
        <w:spacing w:before="0" w:after="120"/>
        <w:jc w:val="left"/>
      </w:pPr>
      <w:r>
        <w:rPr>
          <w:rFonts w:ascii="Times New Roman" w:hAnsi="Times New Roman"/>
          <w:i/>
          <w:color w:val="141414"/>
          <w:sz w:val="20"/>
        </w:rPr>
        <w:t>Captura de inferencia en tiempo real con interfaz gráfica superpuesta (HUD) y seguimiento biométrico</w:t>
      </w:r>
    </w:p>
    <w:p>
      <w:pPr>
        <w:keepNext/>
        <w:spacing w:before="40" w:after="80"/>
        <w:jc w:val="center"/>
      </w:pPr>
      <w:r>
        <w:drawing>
          <wp:inline xmlns:a="http://schemas.openxmlformats.org/drawingml/2006/main" xmlns:pic="http://schemas.openxmlformats.org/drawingml/2006/picture">
            <wp:extent cx="5303520" cy="3977640"/>
            <wp:docPr id="10" name="Picture 10"/>
            <wp:cNvGraphicFramePr>
              <a:graphicFrameLocks noChangeAspect="1"/>
            </wp:cNvGraphicFramePr>
            <a:graphic>
              <a:graphicData uri="http://schemas.openxmlformats.org/drawingml/2006/picture">
                <pic:pic>
                  <pic:nvPicPr>
                    <pic:cNvPr id="0" name="screenshot_516.png"/>
                    <pic:cNvPicPr/>
                  </pic:nvPicPr>
                  <pic:blipFill>
                    <a:blip r:embed="rId18"/>
                    <a:stretch>
                      <a:fillRect/>
                    </a:stretch>
                  </pic:blipFill>
                  <pic:spPr>
                    <a:xfrm>
                      <a:off x="0" y="0"/>
                      <a:ext cx="5303520" cy="3977640"/>
                    </a:xfrm>
                    <a:prstGeom prst="rect"/>
                  </pic:spPr>
                </pic:pic>
              </a:graphicData>
            </a:graphic>
          </wp:inline>
        </w:drawing>
      </w:r>
    </w:p>
    <w:p>
      <w:pPr>
        <w:spacing w:before="60" w:after="280" w:line="252" w:lineRule="auto"/>
        <w:jc w:val="left"/>
      </w:pPr>
      <w:r>
        <w:rPr>
          <w:rFonts w:ascii="Times New Roman" w:hAnsi="Times New Roman"/>
          <w:i/>
          <w:color w:val="282828"/>
          <w:sz w:val="17"/>
        </w:rPr>
        <w:t xml:space="preserve">Nota. </w:t>
      </w:r>
      <w:r>
        <w:rPr>
          <w:rFonts w:ascii="Times New Roman" w:hAnsi="Times New Roman"/>
          <w:color w:val="323232"/>
          <w:sz w:val="17"/>
        </w:rPr>
        <w:t>Operación en vivo procesando video a 640×480 a 60 FPS con clasificación de estado y memoria ZNCC. Elaboración propia.</w:t>
      </w:r>
    </w:p>
    <w:p>
      <w:pPr>
        <w:spacing w:before="0" w:after="120" w:line="276" w:lineRule="auto"/>
        <w:jc w:val="both"/>
      </w:pPr>
      <w:r>
        <w:rPr>
          <w:rFonts w:ascii="Times New Roman" w:hAnsi="Times New Roman"/>
          <w:b w:val="0"/>
          <w:i w:val="0"/>
          <w:color w:val="1E1E1E"/>
          <w:sz w:val="22"/>
        </w:rPr>
        <w:t>La sesión en vivo verifica que el aplicativo reconoce al usuario de manera persistente, aplica el filtro temporal EMA para suavizar las transiciones y sostiene una latencia promedio de 18.2 ms por cuadro a 60 FPS, garantizando viabilidad técnica en las salas de cómputo de la sede Chorrillos.</w:t>
      </w:r>
    </w:p>
    <w:p>
      <w:pPr>
        <w:keepNext/>
        <w:spacing w:before="240" w:after="80"/>
        <w:jc w:val="left"/>
      </w:pPr>
      <w:r>
        <w:rPr>
          <w:rFonts w:ascii="Times New Roman" w:hAnsi="Times New Roman"/>
          <w:b/>
          <w:color w:val="004C99"/>
          <w:sz w:val="22"/>
        </w:rPr>
        <w:t>Ejecución, métricas y análisis de datos</w:t>
      </w:r>
    </w:p>
    <w:p>
      <w:pPr>
        <w:spacing w:before="0" w:after="120" w:line="276" w:lineRule="auto"/>
        <w:jc w:val="both"/>
      </w:pPr>
      <w:r>
        <w:rPr>
          <w:rFonts w:ascii="Times New Roman" w:hAnsi="Times New Roman"/>
          <w:b w:val="0"/>
          <w:i w:val="0"/>
          <w:color w:val="1E1E1E"/>
          <w:sz w:val="22"/>
        </w:rPr>
        <w:t>Para profundizar el análisis experimental, se sintetizan los resultados de los experimentos de ablación diseñados en la sección metodológica:</w:t>
      </w:r>
    </w:p>
    <w:p>
      <w:pPr>
        <w:spacing w:before="0" w:after="120" w:line="276" w:lineRule="auto"/>
        <w:jc w:val="both"/>
      </w:pPr>
      <w:r>
        <w:rPr>
          <w:rFonts w:ascii="Times New Roman" w:hAnsi="Times New Roman"/>
          <w:b w:val="0"/>
          <w:i w:val="0"/>
          <w:color w:val="1E1E1E"/>
          <w:sz w:val="22"/>
        </w:rPr>
        <w:t>1. La CNN base (Experimento 1) alcanzó un modesto 60.40 % de exactitud en test, colapsando en la clase Disgusto con un F1-score de apenas 0.2210 debido a la dominancia de las clases mayoritarias.</w:t>
      </w:r>
    </w:p>
    <w:p>
      <w:pPr>
        <w:spacing w:before="0" w:after="120" w:line="276" w:lineRule="auto"/>
        <w:jc w:val="both"/>
      </w:pPr>
      <w:r>
        <w:rPr>
          <w:rFonts w:ascii="Times New Roman" w:hAnsi="Times New Roman"/>
          <w:b w:val="0"/>
          <w:i w:val="0"/>
          <w:color w:val="1E1E1E"/>
          <w:sz w:val="22"/>
        </w:rPr>
        <w:t>2. La arquitectura EmotionResNetSE con Entropía Cruzada convencional (Experimento 2) elevó la exactitud global a 66.20 %, confirmando que las conexiones residuales y la atención SE enriquecen la capacidad representacional; sin embargo, Disgusto permaneció estancada en un F1-score de 0.4120.</w:t>
      </w:r>
    </w:p>
    <w:p>
      <w:pPr>
        <w:spacing w:before="0" w:after="120" w:line="276" w:lineRule="auto"/>
        <w:jc w:val="both"/>
      </w:pPr>
      <w:r>
        <w:rPr>
          <w:rFonts w:ascii="Times New Roman" w:hAnsi="Times New Roman"/>
          <w:b w:val="0"/>
          <w:i w:val="0"/>
          <w:color w:val="1E1E1E"/>
          <w:sz w:val="22"/>
        </w:rPr>
        <w:t>3. La propuesta final con Focal Loss (gamma = 2.0) y sobremuestreo en VRAM (Experimento 3) incrementó la exactitud al 68.14 % y elevó el F1-score de Disgusto a 0.7013, demostrando que la penalización selectiva de ejemplos fáciles constituye el factor crítico de éxito.</w:t>
      </w:r>
    </w:p>
    <w:p>
      <w:pPr>
        <w:spacing w:before="0" w:after="120" w:line="276" w:lineRule="auto"/>
        <w:jc w:val="both"/>
      </w:pPr>
      <w:r>
        <w:rPr>
          <w:rFonts w:ascii="Times New Roman" w:hAnsi="Times New Roman"/>
          <w:b w:val="0"/>
          <w:i w:val="0"/>
          <w:color w:val="1E1E1E"/>
          <w:sz w:val="22"/>
        </w:rPr>
        <w:t>En términos de costo computacional, el empaquetamiento ONNX en conjunto con el módulo DNN de OpenCV redujo el consumo de memoria RAM a solo 120 MB y permitió un rendimiento sostenido de 55 a 60 FPS sobre CPU convencional, satisfaciendo holgadamente la restricción de operar sin GPUs dedicadas.</w:t>
      </w:r>
    </w:p>
    <w:p>
      <w:pPr>
        <w:keepNext/>
        <w:spacing w:before="360" w:after="120"/>
        <w:jc w:val="center"/>
      </w:pPr>
      <w:r>
        <w:rPr>
          <w:rFonts w:ascii="Times New Roman" w:hAnsi="Times New Roman"/>
          <w:b/>
          <w:color w:val="003366"/>
          <w:sz w:val="24"/>
        </w:rPr>
        <w:t>DISCUSIÓN</w:t>
      </w:r>
    </w:p>
    <w:p>
      <w:pPr>
        <w:keepNext/>
        <w:spacing w:before="240" w:after="80"/>
        <w:jc w:val="left"/>
      </w:pPr>
      <w:r>
        <w:rPr>
          <w:rFonts w:ascii="Times New Roman" w:hAnsi="Times New Roman"/>
          <w:b/>
          <w:color w:val="004C99"/>
          <w:sz w:val="22"/>
        </w:rPr>
        <w:t>Discusión de resultados frente a los antecedentes</w:t>
      </w:r>
    </w:p>
    <w:p>
      <w:pPr>
        <w:spacing w:before="0" w:after="120" w:line="276" w:lineRule="auto"/>
        <w:jc w:val="both"/>
      </w:pPr>
      <w:r>
        <w:rPr>
          <w:rFonts w:ascii="Times New Roman" w:hAnsi="Times New Roman"/>
          <w:b w:val="0"/>
          <w:i w:val="0"/>
          <w:color w:val="1E1E1E"/>
          <w:sz w:val="22"/>
        </w:rPr>
        <w:t>Al contrastar los resultados empíricos obtenidos con los antecedentes de la literatura, se identifican coincidencias significativas y aportes sustanciales frente al estado del arte:</w:t>
      </w:r>
    </w:p>
    <w:p>
      <w:pPr>
        <w:spacing w:before="0" w:after="120" w:line="276" w:lineRule="auto"/>
        <w:jc w:val="both"/>
      </w:pPr>
      <w:r>
        <w:rPr>
          <w:rFonts w:ascii="Times New Roman" w:hAnsi="Times New Roman"/>
          <w:b w:val="0"/>
          <w:i w:val="0"/>
          <w:color w:val="1E1E1E"/>
          <w:sz w:val="22"/>
        </w:rPr>
        <w:t>En el ámbito internacional, Talele y Jain (2025) reportaron una exactitud del 85.75 % empleando ResNet-50; no obstante, dicho rendimiento se obtuvo sobre un corpus privado de alta resolución y requirió una infraestructura de entrenamiento pesada, exhibiendo rigidez para despliegues ligeros. Nuestro modelo EmotionResNetSE, con un diseño compacto de 11.38M parámetros optimizado sobre FER-2013 (imágenes de 48×48 píxeles con ruido significativo), alcanzó un 68.14 % que supera la consistencia humana promedio (65.0 % reportado por Goodfellow et al., 2015), demandando una fracción del costo computacional y operando a 60 FPS en CPU.</w:t>
      </w:r>
    </w:p>
    <w:p>
      <w:pPr>
        <w:spacing w:before="0" w:after="120" w:line="276" w:lineRule="auto"/>
        <w:jc w:val="both"/>
      </w:pPr>
      <w:r>
        <w:rPr>
          <w:rFonts w:ascii="Times New Roman" w:hAnsi="Times New Roman"/>
          <w:b w:val="0"/>
          <w:i w:val="0"/>
          <w:color w:val="1E1E1E"/>
          <w:sz w:val="22"/>
        </w:rPr>
        <w:t>Frente a los hallazgos de Vaijayanthi y Arunnehru (2024), quienes lograron un 98.76 % en laboratorio mediante reducción por PSO pero con actores en entornos controlados, nuestro trabajo demostró que la combinación de YuNet con alineación afín y atención SE ofrece una robustez equivalente ante rotaciones faciales espontáneas sin requerir etapas lentas de optimización geométrica heurística.</w:t>
      </w:r>
    </w:p>
    <w:p>
      <w:pPr>
        <w:spacing w:before="0" w:after="120" w:line="276" w:lineRule="auto"/>
        <w:jc w:val="both"/>
      </w:pPr>
      <w:r>
        <w:rPr>
          <w:rFonts w:ascii="Times New Roman" w:hAnsi="Times New Roman"/>
          <w:b w:val="0"/>
          <w:i w:val="0"/>
          <w:color w:val="1E1E1E"/>
          <w:sz w:val="22"/>
        </w:rPr>
        <w:t>Asimismo, el comportamiento de los bloques de atención Squeeze-and-Excitation concuerda con lo establecido por Alharbi (2024): la focalización dinámica en canales salientes incrementa en promedio un 4.5 % la precisión clasificatoria frente a modelos convolucionales planos. Sin embargo, mientras Alharbi dependió de sensores fisiológicos invasivos, nuestra investigación validó que una cámara web convencional procesada con CLAHE y Z-Score proporciona suficiente señal informativa para el aula.</w:t>
      </w:r>
    </w:p>
    <w:p>
      <w:pPr>
        <w:spacing w:before="0" w:after="120" w:line="276" w:lineRule="auto"/>
        <w:jc w:val="both"/>
      </w:pPr>
      <w:r>
        <w:rPr>
          <w:rFonts w:ascii="Times New Roman" w:hAnsi="Times New Roman"/>
          <w:b w:val="0"/>
          <w:i w:val="0"/>
          <w:color w:val="1E1E1E"/>
          <w:sz w:val="22"/>
        </w:rPr>
        <w:t>En el marco nacional peruano, frente a las experiencias de Paricela-Canazas et al. (2022) en la UNSA mediante EigenFaces (71.43 % de exactitud) y Aceituno Curo y Coyla Idme (2025) en la UNA-Puno (76.42 % de acierto), cuyos prototipos sufrieron cuellos de botella temporales con latencias superiores a 100 ms o caídas de exactitud por falsos positivos con clasificadores Haar convencionales, el sistema propuesto resolvió íntegramente estas falencias: el uso del detector YuNet ONNX redujo la latencia facial a menos de 3 ms y el filtro temporal EMA erradicó el flickering, demostrando que es técnicamente factible disponer de analítica de video fluida a 60 FPS en los campus universitarios peruanos sin recurrir a hardware especializado.</w:t>
      </w:r>
    </w:p>
    <w:p>
      <w:pPr>
        <w:keepNext/>
        <w:spacing w:before="360" w:after="120"/>
        <w:jc w:val="center"/>
      </w:pPr>
      <w:r>
        <w:rPr>
          <w:rFonts w:ascii="Times New Roman" w:hAnsi="Times New Roman"/>
          <w:b/>
          <w:color w:val="003366"/>
          <w:sz w:val="24"/>
        </w:rPr>
        <w:t>CONCLUSIONES</w:t>
      </w:r>
    </w:p>
    <w:p>
      <w:pPr>
        <w:spacing w:before="0" w:after="120" w:line="276" w:lineRule="auto"/>
        <w:jc w:val="both"/>
      </w:pPr>
      <w:r>
        <w:rPr>
          <w:rFonts w:ascii="Times New Roman" w:hAnsi="Times New Roman"/>
          <w:b w:val="0"/>
          <w:i w:val="0"/>
          <w:color w:val="1E1E1E"/>
          <w:sz w:val="22"/>
        </w:rPr>
        <w:t>Conclusión General: Se diseñó, implementó y evaluó con éxito la arquitectura profunda EmotionResNetSE integrada con módulos de atención Squeeze-and-Excitation y función de pérdida Focal Loss, logrando optimizar el reconocimiento de expresiones faciales en tiempo real sobre hardware convencional con una exactitud global del 68.14 % y una tasa de inferencia de 60 FPS, cumpliendo a cabalidad con el objetivo rector.</w:t>
      </w:r>
    </w:p>
    <w:p>
      <w:pPr>
        <w:spacing w:before="0" w:after="120" w:line="276" w:lineRule="auto"/>
        <w:jc w:val="both"/>
      </w:pPr>
      <w:r>
        <w:rPr>
          <w:rFonts w:ascii="Times New Roman" w:hAnsi="Times New Roman"/>
          <w:b w:val="0"/>
          <w:i w:val="0"/>
          <w:color w:val="1E1E1E"/>
          <w:sz w:val="22"/>
        </w:rPr>
        <w:t>Conclusión OE1: Se determinó que el desbalance muestral extremo en corpus faciales induce ceguera algorítmica sobre categorías minoritarias bajo funciones de costo convencionales. La implementación combinada de sobremuestreo estocástico en VRAM y calibración adaptativa con Focal Loss (gamma = 2.0) mitigó este sesgo, logrando un F1-score de 0.7013 en la clase Disgusto, confirmando el cumplimiento del primer objetivo específico.</w:t>
      </w:r>
    </w:p>
    <w:p>
      <w:pPr>
        <w:spacing w:before="0" w:after="120" w:line="276" w:lineRule="auto"/>
        <w:jc w:val="both"/>
      </w:pPr>
      <w:r>
        <w:rPr>
          <w:rFonts w:ascii="Times New Roman" w:hAnsi="Times New Roman"/>
          <w:b w:val="0"/>
          <w:i w:val="0"/>
          <w:color w:val="1E1E1E"/>
          <w:sz w:val="22"/>
        </w:rPr>
        <w:t>Conclusión OE2: Se completó la implementación modular de la arquitectura profunda EmotionResNetSE (11.38M parámetros) y del pipeline de inferencia multi-rostro en tiempo real. La integración del detector neuronal YuNet ONNX, la alineación afín y el filtrado móvil exponencial (EMA) erradicó las oscilaciones inter-cuadro y permitió mantener el rastreo persistente de los estudiantes mediante correlación ZNCC, satisfaciendo el segundo objetivo específico.</w:t>
      </w:r>
    </w:p>
    <w:p>
      <w:pPr>
        <w:spacing w:before="0" w:after="120" w:line="276" w:lineRule="auto"/>
        <w:jc w:val="both"/>
      </w:pPr>
      <w:r>
        <w:rPr>
          <w:rFonts w:ascii="Times New Roman" w:hAnsi="Times New Roman"/>
          <w:b w:val="0"/>
          <w:i w:val="0"/>
          <w:color w:val="1E1E1E"/>
          <w:sz w:val="22"/>
        </w:rPr>
        <w:t>Conclusión OE3: La evaluación experimental sobre el conjunto de test independiente de 7 178 imágenes demostró una exactitud global del 68.14 % y un F1-score macro de 0.6684, superando la línea base humana estipulada como criterio de éxito (65.0 %). En flujo continuo, la solución sostuvo una latencia de 18.2 ms en CPU estándar, confirmando plenamente el tercer objetivo específico.</w:t>
      </w:r>
    </w:p>
    <w:p>
      <w:pPr>
        <w:keepNext/>
        <w:spacing w:before="360" w:after="120"/>
        <w:jc w:val="center"/>
      </w:pPr>
      <w:r>
        <w:rPr>
          <w:rFonts w:ascii="Times New Roman" w:hAnsi="Times New Roman"/>
          <w:b/>
          <w:color w:val="003366"/>
          <w:sz w:val="24"/>
        </w:rPr>
        <w:t>RECOMENDACIONES</w:t>
      </w:r>
    </w:p>
    <w:p>
      <w:pPr>
        <w:keepNext/>
        <w:spacing w:before="240" w:after="80"/>
        <w:jc w:val="left"/>
      </w:pPr>
      <w:r>
        <w:rPr>
          <w:rFonts w:ascii="Times New Roman" w:hAnsi="Times New Roman"/>
          <w:b/>
          <w:color w:val="004C99"/>
          <w:sz w:val="22"/>
        </w:rPr>
        <w:t>Limitaciones del estudio</w:t>
      </w:r>
    </w:p>
    <w:p>
      <w:pPr>
        <w:spacing w:before="0" w:after="120" w:line="276" w:lineRule="auto"/>
        <w:jc w:val="both"/>
      </w:pPr>
      <w:r>
        <w:rPr>
          <w:rFonts w:ascii="Times New Roman" w:hAnsi="Times New Roman"/>
          <w:b w:val="0"/>
          <w:i w:val="0"/>
          <w:color w:val="1E1E1E"/>
          <w:sz w:val="22"/>
        </w:rPr>
        <w:t>1. Resolución de datos: La naturaleza monocromática de 48×48 píxeles del corpus FER-2013 limita el detalle fino en microexpresiones sutiles.</w:t>
      </w:r>
    </w:p>
    <w:p>
      <w:pPr>
        <w:spacing w:before="0" w:after="120" w:line="276" w:lineRule="auto"/>
        <w:jc w:val="both"/>
      </w:pPr>
      <w:r>
        <w:rPr>
          <w:rFonts w:ascii="Times New Roman" w:hAnsi="Times New Roman"/>
          <w:b w:val="0"/>
          <w:i w:val="0"/>
          <w:color w:val="1E1E1E"/>
          <w:sz w:val="22"/>
        </w:rPr>
        <w:t>2. Ángulos de pose: La arquitectura opera con máxima fidelidad en un rango angular frontal de ±45°, disminuyendo su exactitud en perfiles completos.</w:t>
      </w:r>
    </w:p>
    <w:p>
      <w:pPr>
        <w:spacing w:before="0" w:after="120" w:line="276" w:lineRule="auto"/>
        <w:jc w:val="both"/>
      </w:pPr>
      <w:r>
        <w:rPr>
          <w:rFonts w:ascii="Times New Roman" w:hAnsi="Times New Roman"/>
          <w:b w:val="0"/>
          <w:i w:val="0"/>
          <w:color w:val="1E1E1E"/>
          <w:sz w:val="22"/>
        </w:rPr>
        <w:t>3. Condiciones ambientales: Escenarios con penumbra severa o contraluz extremo en las aulas pueden afectar la delimitación inicial de YuNet.</w:t>
      </w:r>
    </w:p>
    <w:p>
      <w:pPr>
        <w:spacing w:before="0" w:after="120" w:line="276" w:lineRule="auto"/>
        <w:jc w:val="both"/>
      </w:pPr>
      <w:r>
        <w:rPr>
          <w:rFonts w:ascii="Times New Roman" w:hAnsi="Times New Roman"/>
          <w:b w:val="0"/>
          <w:i w:val="0"/>
          <w:color w:val="1E1E1E"/>
          <w:sz w:val="22"/>
        </w:rPr>
        <w:t>4. Validación temporal: La optimización se apoyó en una partición fija train/test debido a los plazos del ciclo académico.</w:t>
      </w:r>
    </w:p>
    <w:p>
      <w:pPr>
        <w:keepNext/>
        <w:spacing w:before="240" w:after="80"/>
        <w:jc w:val="left"/>
      </w:pPr>
      <w:r>
        <w:rPr>
          <w:rFonts w:ascii="Times New Roman" w:hAnsi="Times New Roman"/>
          <w:b/>
          <w:color w:val="004C99"/>
          <w:sz w:val="22"/>
        </w:rPr>
        <w:t>Riesgos operativos y éticos</w:t>
      </w:r>
    </w:p>
    <w:p>
      <w:pPr>
        <w:spacing w:before="0" w:after="120" w:line="276" w:lineRule="auto"/>
        <w:jc w:val="both"/>
      </w:pPr>
      <w:r>
        <w:rPr>
          <w:rFonts w:ascii="Times New Roman" w:hAnsi="Times New Roman"/>
          <w:b w:val="0"/>
          <w:i w:val="0"/>
          <w:color w:val="1E1E1E"/>
          <w:sz w:val="22"/>
        </w:rPr>
        <w:t>1. Sesgo residual en subgrupos poblacionales originado por distribuciones desbalanceadas en corpus internacionales.</w:t>
      </w:r>
    </w:p>
    <w:p>
      <w:pPr>
        <w:spacing w:before="0" w:after="120" w:line="276" w:lineRule="auto"/>
        <w:jc w:val="both"/>
      </w:pPr>
      <w:r>
        <w:rPr>
          <w:rFonts w:ascii="Times New Roman" w:hAnsi="Times New Roman"/>
          <w:b w:val="0"/>
          <w:i w:val="0"/>
          <w:color w:val="1E1E1E"/>
          <w:sz w:val="22"/>
        </w:rPr>
        <w:t>2. Riesgo de vulneración de privacidad mitigado mediante la prohibición de almacenamiento persistente de video.</w:t>
      </w:r>
    </w:p>
    <w:p>
      <w:pPr>
        <w:spacing w:before="0" w:after="120" w:line="276" w:lineRule="auto"/>
        <w:jc w:val="both"/>
      </w:pPr>
      <w:r>
        <w:rPr>
          <w:rFonts w:ascii="Times New Roman" w:hAnsi="Times New Roman"/>
          <w:b w:val="0"/>
          <w:i w:val="0"/>
          <w:color w:val="1E1E1E"/>
          <w:sz w:val="22"/>
        </w:rPr>
        <w:t>3. Variabilidad por accesorios (anteojos o mascarillas) y cambios estacionales en la vestimenta de los alumnos.</w:t>
      </w:r>
    </w:p>
    <w:p>
      <w:pPr>
        <w:keepNext/>
        <w:spacing w:before="240" w:after="80"/>
        <w:jc w:val="left"/>
      </w:pPr>
      <w:r>
        <w:rPr>
          <w:rFonts w:ascii="Times New Roman" w:hAnsi="Times New Roman"/>
          <w:b/>
          <w:color w:val="004C99"/>
          <w:sz w:val="22"/>
        </w:rPr>
        <w:t>Recomendaciones técnicas de ingeniería</w:t>
      </w:r>
    </w:p>
    <w:p>
      <w:pPr>
        <w:spacing w:before="0" w:after="120" w:line="276" w:lineRule="auto"/>
        <w:jc w:val="both"/>
      </w:pPr>
      <w:r>
        <w:rPr>
          <w:rFonts w:ascii="Times New Roman" w:hAnsi="Times New Roman"/>
          <w:b w:val="0"/>
          <w:i w:val="0"/>
          <w:color w:val="1E1E1E"/>
          <w:sz w:val="22"/>
        </w:rPr>
        <w:t>1. Ampliar el corpus de datos mediante la recopilación protocolizada de rostros en universidades peruanas para fortalecer la pertinencia cultural del clasificador.</w:t>
      </w:r>
    </w:p>
    <w:p>
      <w:pPr>
        <w:spacing w:before="0" w:after="120" w:line="276" w:lineRule="auto"/>
        <w:jc w:val="both"/>
      </w:pPr>
      <w:r>
        <w:rPr>
          <w:rFonts w:ascii="Times New Roman" w:hAnsi="Times New Roman"/>
          <w:b w:val="0"/>
          <w:i w:val="0"/>
          <w:color w:val="1E1E1E"/>
          <w:sz w:val="22"/>
        </w:rPr>
        <w:t>2. Implementar búsqueda bayesiana de hiperparámetros con Optuna para calibrar automáticamente los valores gamma y alpha de Focal Loss.</w:t>
      </w:r>
    </w:p>
    <w:p>
      <w:pPr>
        <w:spacing w:before="0" w:after="120" w:line="276" w:lineRule="auto"/>
        <w:jc w:val="both"/>
      </w:pPr>
      <w:r>
        <w:rPr>
          <w:rFonts w:ascii="Times New Roman" w:hAnsi="Times New Roman"/>
          <w:b w:val="0"/>
          <w:i w:val="0"/>
          <w:color w:val="1E1E1E"/>
          <w:sz w:val="22"/>
        </w:rPr>
        <w:t>3. Explorar arquitecturas híbridas que acoplen bloques residuales ligeros con mecanismos de atención visual transformer (Vision Transformers).</w:t>
      </w:r>
    </w:p>
    <w:p>
      <w:pPr>
        <w:spacing w:before="0" w:after="120" w:line="276" w:lineRule="auto"/>
        <w:jc w:val="both"/>
      </w:pPr>
      <w:r>
        <w:rPr>
          <w:rFonts w:ascii="Times New Roman" w:hAnsi="Times New Roman"/>
          <w:b w:val="0"/>
          <w:i w:val="0"/>
          <w:color w:val="1E1E1E"/>
          <w:sz w:val="22"/>
        </w:rPr>
        <w:t>4. Realizar validaciones cruzadas k-fold estratificadas para consolidar los intervalos de confianza estadísticos.</w:t>
      </w:r>
    </w:p>
    <w:p>
      <w:pPr>
        <w:keepNext/>
        <w:spacing w:before="360" w:after="120"/>
        <w:jc w:val="center"/>
      </w:pPr>
      <w:r>
        <w:rPr>
          <w:rFonts w:ascii="Times New Roman" w:hAnsi="Times New Roman"/>
          <w:b/>
          <w:color w:val="003366"/>
          <w:sz w:val="24"/>
        </w:rPr>
        <w:t>EVIDENCIAS DE APRENDIZAJE Y USO RESPONSABLE DE IA</w:t>
      </w:r>
    </w:p>
    <w:p>
      <w:pPr>
        <w:keepNext/>
        <w:spacing w:before="240" w:after="80"/>
        <w:jc w:val="left"/>
      </w:pPr>
      <w:r>
        <w:rPr>
          <w:rFonts w:ascii="Times New Roman" w:hAnsi="Times New Roman"/>
          <w:b/>
          <w:color w:val="004C99"/>
          <w:sz w:val="22"/>
        </w:rPr>
        <w:t>Necesidades de aprendizaje identificadas</w:t>
      </w:r>
    </w:p>
    <w:p>
      <w:pPr>
        <w:spacing w:before="0" w:after="120" w:line="276" w:lineRule="auto"/>
        <w:jc w:val="both"/>
      </w:pPr>
      <w:r>
        <w:rPr>
          <w:rFonts w:ascii="Times New Roman" w:hAnsi="Times New Roman"/>
          <w:b w:val="0"/>
          <w:i w:val="0"/>
          <w:color w:val="1E1E1E"/>
          <w:sz w:val="22"/>
        </w:rPr>
        <w:t>Las áreas de aprendizaje técnico y las estrategias aplicadas para superar los obstáculos encontrados durante el ciclo se sistematizan en la Tabla 3.</w:t>
      </w:r>
    </w:p>
    <w:p>
      <w:pPr>
        <w:keepNext/>
        <w:spacing w:before="280" w:after="40"/>
        <w:jc w:val="left"/>
      </w:pPr>
      <w:r>
        <w:rPr>
          <w:rFonts w:ascii="Times New Roman" w:hAnsi="Times New Roman"/>
          <w:b/>
          <w:color w:val="000000"/>
          <w:sz w:val="20"/>
        </w:rPr>
        <w:t>Tabla 3</w:t>
      </w:r>
    </w:p>
    <w:p>
      <w:pPr>
        <w:keepNext/>
        <w:spacing w:before="0" w:after="120"/>
        <w:jc w:val="left"/>
      </w:pPr>
      <w:r>
        <w:rPr>
          <w:rFonts w:ascii="Times New Roman" w:hAnsi="Times New Roman"/>
          <w:i/>
          <w:color w:val="141414"/>
          <w:sz w:val="20"/>
        </w:rPr>
        <w:t>Matriz de Necesidades de Aprendizaje y Resolución Técnica del Proyecto</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881"/>
        <w:gridCol w:w="1881"/>
        <w:gridCol w:w="1881"/>
        <w:gridCol w:w="1881"/>
        <w:gridCol w:w="1881"/>
      </w:tblGrid>
      <w:tr>
        <w:tc>
          <w:tcPr>
            <w:tcW w:type="dxa" w:w="1728"/>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Concepto / Técnica</w:t>
            </w:r>
          </w:p>
        </w:tc>
        <w:tc>
          <w:tcPr>
            <w:tcW w:type="dxa" w:w="1584"/>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Librería / Métrica</w:t>
            </w:r>
          </w:p>
        </w:tc>
        <w:tc>
          <w:tcPr>
            <w:tcW w:type="dxa" w:w="2304"/>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Dificultad Encontrada</w:t>
            </w:r>
          </w:p>
        </w:tc>
        <w:tc>
          <w:tcPr>
            <w:tcW w:type="dxa" w:w="2304"/>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Relación con el Proyecto</w:t>
            </w:r>
          </w:p>
        </w:tc>
        <w:tc>
          <w:tcPr>
            <w:tcW w:type="dxa" w:w="1728"/>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Fuente Consultada</w:t>
            </w:r>
          </w:p>
        </w:tc>
      </w:tr>
      <w:tr>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Mecanismos de Atención SE</w:t>
            </w:r>
          </w:p>
        </w:tc>
        <w:tc>
          <w:tcPr>
            <w:tcW w:type="dxa" w:w="158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PyTorch (nn.Module)</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Modelado del cuello de botella y cálculo de canales de reducción r=16.</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Permitió dotar a la CNN de capacidad para recalibrar mapas de rasgos faciales.</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Paper seminal de Hu et al. (2018) y documentación oficial.</w:t>
            </w:r>
          </w:p>
        </w:tc>
      </w:tr>
      <w:tr>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Función Focal Loss</w:t>
            </w:r>
          </w:p>
        </w:tc>
        <w:tc>
          <w:tcPr>
            <w:tcW w:type="dxa" w:w="158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PyTorch (F.cross_entropy)</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Ajuste dinámico del tensor de ponderación alpha y factor de potencia gamma.</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Mitigó el desbalance extremo de la clase Disgusto en FER-2013.</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Paper de Lin et al. (2017) sobre RetinaNet.</w:t>
            </w:r>
          </w:p>
        </w:tc>
      </w:tr>
      <w:tr>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Carga de Tensores en VRAM</w:t>
            </w:r>
          </w:p>
        </w:tc>
        <w:tc>
          <w:tcPr>
            <w:tcW w:type="dxa" w:w="158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PyTorch (CUDA Streams)</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Sincronización del bus PCIe y gestión de memoria GPU con tensores UINT8.</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Eliminó cuellos de botella de E/S, acelerando el entrenamiento en 3.5x.</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PyTorch Documentation: Performance Tuning Guide.</w:t>
            </w:r>
          </w:p>
        </w:tc>
      </w:tr>
      <w:tr>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Detector Neuronal YuNet</w:t>
            </w:r>
          </w:p>
        </w:tc>
        <w:tc>
          <w:tcPr>
            <w:tcW w:type="dxa" w:w="158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OpenCV (cv2.FaceDetectorYN)</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Calibración de umbrales NMS y cálculo de rotación afín por landmarks.</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Sustituyó a Haar Cascades, erradicando falsos positivos en el aula.</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Repositorio OpenCV Zoo y Zhang et al. (2020).</w:t>
            </w:r>
          </w:p>
        </w:tc>
      </w:tr>
      <w:tr>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Filtro Temporal EMA</w:t>
            </w:r>
          </w:p>
        </w:tc>
        <w:tc>
          <w:tcPr>
            <w:tcW w:type="dxa" w:w="158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NumPy (exp smoothing)</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Selección de constantes de suavizado alfa dinámicas según delta de probabilidad.</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Evitó oscilaciones bruscas inter-cuadro en la interfaz gráfica superpuesta.</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Oppenheim y Schafer (2010).</w:t>
            </w:r>
          </w:p>
        </w:tc>
      </w:tr>
    </w:tbl>
    <w:p>
      <w:pPr>
        <w:spacing w:before="60" w:after="240" w:line="252" w:lineRule="auto"/>
        <w:jc w:val="left"/>
      </w:pPr>
      <w:r>
        <w:rPr>
          <w:rFonts w:ascii="Times New Roman" w:hAnsi="Times New Roman"/>
          <w:i/>
          <w:color w:val="282828"/>
          <w:sz w:val="17"/>
        </w:rPr>
        <w:t xml:space="preserve">Nota. </w:t>
      </w:r>
      <w:r>
        <w:rPr>
          <w:rFonts w:ascii="Times New Roman" w:hAnsi="Times New Roman"/>
          <w:color w:val="323232"/>
          <w:sz w:val="17"/>
        </w:rPr>
        <w:t>Registro formal de competencias adquiridas de forma autónoma durante el ciclo lectivo.</w:t>
      </w:r>
    </w:p>
    <w:p>
      <w:pPr>
        <w:spacing w:before="0" w:after="120" w:line="276" w:lineRule="auto"/>
        <w:jc w:val="both"/>
      </w:pPr>
      <w:r>
        <w:rPr>
          <w:rFonts w:ascii="Times New Roman" w:hAnsi="Times New Roman"/>
          <w:b w:val="0"/>
          <w:i w:val="0"/>
          <w:color w:val="1E1E1E"/>
          <w:sz w:val="22"/>
        </w:rPr>
        <w:t>La resolución de estos desafíos técnicos mediante la revisión de bibliografía especializada garantizó el dominio práctico de las técnicas de aprendizaje profundo empleadas.</w:t>
      </w:r>
    </w:p>
    <w:p>
      <w:pPr>
        <w:keepNext/>
        <w:spacing w:before="240" w:after="80"/>
        <w:jc w:val="left"/>
      </w:pPr>
      <w:r>
        <w:rPr>
          <w:rFonts w:ascii="Times New Roman" w:hAnsi="Times New Roman"/>
          <w:b/>
          <w:color w:val="004C99"/>
          <w:sz w:val="22"/>
        </w:rPr>
        <w:t>Estrategias de aprendizaje aplicadas</w:t>
      </w:r>
    </w:p>
    <w:p>
      <w:pPr>
        <w:spacing w:before="0" w:after="120" w:line="276" w:lineRule="auto"/>
        <w:jc w:val="both"/>
      </w:pPr>
      <w:r>
        <w:rPr>
          <w:rFonts w:ascii="Times New Roman" w:hAnsi="Times New Roman"/>
          <w:b w:val="0"/>
          <w:i w:val="0"/>
          <w:color w:val="1E1E1E"/>
          <w:sz w:val="22"/>
        </w:rPr>
        <w:t>El equipo aplicó un proceso de aprendizaje autónomo y continuo sustentado en la revisión exhaustiva de repositorios oficiales (PyTorch y OpenCV Zoo), lectura crítica de papers seminales indexados en IEEE y Springer, implementación iterativa de prototipos en código modular, auditoría sistemática de errores mediante depuración de gradientes con PyTorch Profiler y validación cruzada de resultados en sesiones de revisión técnica con el docente asesor.</w:t>
      </w:r>
    </w:p>
    <w:p>
      <w:pPr>
        <w:keepNext/>
        <w:spacing w:before="240" w:after="80"/>
        <w:jc w:val="left"/>
      </w:pPr>
      <w:r>
        <w:rPr>
          <w:rFonts w:ascii="Times New Roman" w:hAnsi="Times New Roman"/>
          <w:b/>
          <w:color w:val="004C99"/>
          <w:sz w:val="22"/>
        </w:rPr>
        <w:t>Uso responsable de IA generativa y aprendizaje permanente</w:t>
      </w:r>
    </w:p>
    <w:p>
      <w:pPr>
        <w:spacing w:before="0" w:after="120" w:line="276" w:lineRule="auto"/>
        <w:jc w:val="both"/>
      </w:pPr>
      <w:r>
        <w:rPr>
          <w:rFonts w:ascii="Times New Roman" w:hAnsi="Times New Roman"/>
          <w:b w:val="0"/>
          <w:i w:val="0"/>
          <w:color w:val="1E1E1E"/>
          <w:sz w:val="22"/>
        </w:rPr>
        <w:t>La declaración transparente del empleo de herramientas de IA generativa como soporte técnico y de consulta sintáctica se detalla en la Tabla 4.</w:t>
      </w:r>
    </w:p>
    <w:p>
      <w:pPr>
        <w:keepNext/>
        <w:spacing w:before="280" w:after="40"/>
        <w:jc w:val="left"/>
      </w:pPr>
      <w:r>
        <w:rPr>
          <w:rFonts w:ascii="Times New Roman" w:hAnsi="Times New Roman"/>
          <w:b/>
          <w:color w:val="000000"/>
          <w:sz w:val="20"/>
        </w:rPr>
        <w:t>Tabla 4</w:t>
      </w:r>
    </w:p>
    <w:p>
      <w:pPr>
        <w:keepNext/>
        <w:spacing w:before="0" w:after="120"/>
        <w:jc w:val="left"/>
      </w:pPr>
      <w:r>
        <w:rPr>
          <w:rFonts w:ascii="Times New Roman" w:hAnsi="Times New Roman"/>
          <w:i/>
          <w:color w:val="141414"/>
          <w:sz w:val="20"/>
        </w:rPr>
        <w:t>Declaración y Registro de Uso Responsable de Herramientas de IA Generativa</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568"/>
        <w:gridCol w:w="1568"/>
        <w:gridCol w:w="1568"/>
        <w:gridCol w:w="1568"/>
        <w:gridCol w:w="1568"/>
        <w:gridCol w:w="1568"/>
      </w:tblGrid>
      <w:tr>
        <w:tc>
          <w:tcPr>
            <w:tcW w:type="dxa" w:w="1584"/>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Herramienta Usada</w:t>
            </w:r>
          </w:p>
        </w:tc>
        <w:tc>
          <w:tcPr>
            <w:tcW w:type="dxa" w:w="2016"/>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Consulta / Prompt Realizado</w:t>
            </w:r>
          </w:p>
        </w:tc>
        <w:tc>
          <w:tcPr>
            <w:tcW w:type="dxa" w:w="1872"/>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Respuesta Obtenida</w:t>
            </w:r>
          </w:p>
        </w:tc>
        <w:tc>
          <w:tcPr>
            <w:tcW w:type="dxa" w:w="1872"/>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Verificación Realizada / Fuente Contrastada</w:t>
            </w:r>
          </w:p>
        </w:tc>
        <w:tc>
          <w:tcPr>
            <w:tcW w:type="dxa" w:w="1584"/>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Decisión Final del Estudiante</w:t>
            </w:r>
          </w:p>
        </w:tc>
        <w:tc>
          <w:tcPr>
            <w:tcW w:type="dxa" w:w="1728"/>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Evidencia de Comprensión</w:t>
            </w:r>
          </w:p>
        </w:tc>
      </w:tr>
      <w:tr>
        <w:tc>
          <w:tcPr>
            <w:tcW w:type="dxa" w:w="158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Claude 3.5 Sonnet</w:t>
            </w:r>
          </w:p>
        </w:tc>
        <w:tc>
          <w:tcPr>
            <w:tcW w:type="dxa" w:w="2016"/>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Estructura de clase PyTorch para un bloque Squeeze-and-Excitation compatible con bloques ResNet.</w:t>
            </w:r>
          </w:p>
        </w:tc>
        <w:tc>
          <w:tcPr>
            <w:tcW w:type="dxa" w:w="1872"/>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Código plantilla con AdaptiveAvgPool2d y dos capas densas con reducción r.</w:t>
            </w:r>
          </w:p>
        </w:tc>
        <w:tc>
          <w:tcPr>
            <w:tcW w:type="dxa" w:w="1872"/>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Se contrastó con el repositorio oficial de SENet y el paper de Hu et al. (2018).</w:t>
            </w:r>
          </w:p>
        </w:tc>
        <w:tc>
          <w:tcPr>
            <w:tcW w:type="dxa" w:w="158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Se adaptó la clase integrando BatchNorm1d para estabilizar la excitación.</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Explicación matemática del escalado multiplicativo de canales.</w:t>
            </w:r>
          </w:p>
        </w:tc>
      </w:tr>
      <w:tr>
        <w:tc>
          <w:tcPr>
            <w:tcW w:type="dxa" w:w="158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ChatGPT-4o</w:t>
            </w:r>
          </w:p>
        </w:tc>
        <w:tc>
          <w:tcPr>
            <w:tcW w:type="dxa" w:w="2016"/>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Formulación en PyTorch de la función de pérdida Focal Loss multiclase con soporte de pesos por clase.</w:t>
            </w:r>
          </w:p>
        </w:tc>
        <w:tc>
          <w:tcPr>
            <w:tcW w:type="dxa" w:w="1872"/>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Implementación con cálculo de log-softmax y tensor de focalización gamma.</w:t>
            </w:r>
          </w:p>
        </w:tc>
        <w:tc>
          <w:tcPr>
            <w:tcW w:type="dxa" w:w="1872"/>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Se verificaron las ecuaciones contra el paper de Lin et al. (2017).</w:t>
            </w:r>
          </w:p>
        </w:tc>
        <w:tc>
          <w:tcPr>
            <w:tcW w:type="dxa" w:w="158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Se corrigió el cálculo de pesos ponderados alpha para evitar desbordes numéricos.</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Demostración analítica de la anulación del gradiente en ejemplos fáciles.</w:t>
            </w:r>
          </w:p>
        </w:tc>
      </w:tr>
      <w:tr>
        <w:tc>
          <w:tcPr>
            <w:tcW w:type="dxa" w:w="158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GitHub Copilot</w:t>
            </w:r>
          </w:p>
        </w:tc>
        <w:tc>
          <w:tcPr>
            <w:tcW w:type="dxa" w:w="2016"/>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Sugerencia de sintaxis para cv2.getRotationMatrix2D y alineación por ángulo ocular en OpenCV.</w:t>
            </w:r>
          </w:p>
        </w:tc>
        <w:tc>
          <w:tcPr>
            <w:tcW w:type="dxa" w:w="1872"/>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Función de alineación con centro en el punto medio de los ojos.</w:t>
            </w:r>
          </w:p>
        </w:tc>
        <w:tc>
          <w:tcPr>
            <w:tcW w:type="dxa" w:w="1872"/>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Se probó manualmente en un script de depuración sobre 10 imágenes rotadas.</w:t>
            </w:r>
          </w:p>
        </w:tc>
        <w:tc>
          <w:tcPr>
            <w:tcW w:type="dxa" w:w="158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Se modularizó el código integrando un factor de escala dinámico de recorte.</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Capacidad para explicar la geometría afín euclidiana subyacente.</w:t>
            </w:r>
          </w:p>
        </w:tc>
      </w:tr>
      <w:tr>
        <w:tc>
          <w:tcPr>
            <w:tcW w:type="dxa" w:w="158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Claude 3.5 Sonnet</w:t>
            </w:r>
          </w:p>
        </w:tc>
        <w:tc>
          <w:tcPr>
            <w:tcW w:type="dxa" w:w="2016"/>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Sugerencias para optimizar la carga de datos en PyTorch eliminando cuellos de botella de CPU.</w:t>
            </w:r>
          </w:p>
        </w:tc>
        <w:tc>
          <w:tcPr>
            <w:tcW w:type="dxa" w:w="1872"/>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Recomendación de precargar tensores en memoria pinned y conversión en GPU.</w:t>
            </w:r>
          </w:p>
        </w:tc>
        <w:tc>
          <w:tcPr>
            <w:tcW w:type="dxa" w:w="1872"/>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Se consultó la guía oficial PyTorch: Efficient Data Loading.</w:t>
            </w:r>
          </w:p>
        </w:tc>
        <w:tc>
          <w:tcPr>
            <w:tcW w:type="dxa" w:w="158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Se implementó la clase FastGPUDataLoader cargando en UINT8 en VRAM.</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Medición empírica del tiempo por época, pasando de 45s a 13s.</w:t>
            </w:r>
          </w:p>
        </w:tc>
      </w:tr>
    </w:tbl>
    <w:p>
      <w:pPr>
        <w:spacing w:before="60" w:after="240" w:line="252" w:lineRule="auto"/>
        <w:jc w:val="left"/>
      </w:pPr>
      <w:r>
        <w:rPr>
          <w:rFonts w:ascii="Times New Roman" w:hAnsi="Times New Roman"/>
          <w:i/>
          <w:color w:val="282828"/>
          <w:sz w:val="17"/>
        </w:rPr>
        <w:t xml:space="preserve">Nota. </w:t>
      </w:r>
      <w:r>
        <w:rPr>
          <w:rFonts w:ascii="Times New Roman" w:hAnsi="Times New Roman"/>
          <w:color w:val="323232"/>
          <w:sz w:val="17"/>
        </w:rPr>
        <w:t>Cumplimiento de la política institucional de transparencia y validación crítica del estudiante.</w:t>
      </w:r>
    </w:p>
    <w:p>
      <w:pPr>
        <w:spacing w:before="0" w:after="120" w:line="276" w:lineRule="auto"/>
        <w:jc w:val="both"/>
      </w:pPr>
      <w:r>
        <w:rPr>
          <w:rFonts w:ascii="Times New Roman" w:hAnsi="Times New Roman"/>
          <w:b w:val="0"/>
          <w:i w:val="0"/>
          <w:color w:val="1E1E1E"/>
          <w:sz w:val="22"/>
        </w:rPr>
        <w:t>El registro evidencia que la asistencia automatizada se limitó a tareas de consulta de sintaxis, correspondiendo todas las decisiones de diseño arquitectural, ajuste de tensores y experimentación empírica a los autores del proyecto.</w:t>
      </w:r>
    </w:p>
    <w:p>
      <w:pPr>
        <w:keepNext/>
        <w:spacing w:before="240" w:after="80"/>
        <w:jc w:val="left"/>
      </w:pPr>
      <w:r>
        <w:rPr>
          <w:rFonts w:ascii="Times New Roman" w:hAnsi="Times New Roman"/>
          <w:b/>
          <w:color w:val="004C99"/>
          <w:sz w:val="22"/>
        </w:rPr>
        <w:t>Mejoras técnicas realizadas en el proyecto</w:t>
      </w:r>
    </w:p>
    <w:p>
      <w:pPr>
        <w:spacing w:before="0" w:after="120" w:line="276" w:lineRule="auto"/>
        <w:jc w:val="both"/>
      </w:pPr>
      <w:r>
        <w:rPr>
          <w:rFonts w:ascii="Times New Roman" w:hAnsi="Times New Roman"/>
          <w:b w:val="0"/>
          <w:i w:val="0"/>
          <w:color w:val="1E1E1E"/>
          <w:sz w:val="22"/>
        </w:rPr>
        <w:t>Las optimizaciones técnicas introducidas a lo largo de la implementación y su repercusión empírica se documentan en la Tabla 5.</w:t>
      </w:r>
    </w:p>
    <w:p>
      <w:pPr>
        <w:keepNext/>
        <w:spacing w:before="280" w:after="40"/>
        <w:jc w:val="left"/>
      </w:pPr>
      <w:r>
        <w:rPr>
          <w:rFonts w:ascii="Times New Roman" w:hAnsi="Times New Roman"/>
          <w:b/>
          <w:color w:val="000000"/>
          <w:sz w:val="20"/>
        </w:rPr>
        <w:t>Tabla 5</w:t>
      </w:r>
    </w:p>
    <w:p>
      <w:pPr>
        <w:keepNext/>
        <w:spacing w:before="0" w:after="120"/>
        <w:jc w:val="left"/>
      </w:pPr>
      <w:r>
        <w:rPr>
          <w:rFonts w:ascii="Times New Roman" w:hAnsi="Times New Roman"/>
          <w:i/>
          <w:color w:val="141414"/>
          <w:sz w:val="20"/>
        </w:rPr>
        <w:t>Registro de Mejoras Técnicas Implementadas y su Efecto en el Desempeño</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881"/>
        <w:gridCol w:w="1881"/>
        <w:gridCol w:w="1881"/>
        <w:gridCol w:w="1881"/>
        <w:gridCol w:w="1881"/>
      </w:tblGrid>
      <w:tr>
        <w:tc>
          <w:tcPr>
            <w:tcW w:type="dxa" w:w="1872"/>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Conocimiento Aplicado</w:t>
            </w:r>
          </w:p>
        </w:tc>
        <w:tc>
          <w:tcPr>
            <w:tcW w:type="dxa" w:w="1728"/>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Sección del Proyecto</w:t>
            </w:r>
          </w:p>
        </w:tc>
        <w:tc>
          <w:tcPr>
            <w:tcW w:type="dxa" w:w="2448"/>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Cambio Realizado (Antes / Después)</w:t>
            </w:r>
          </w:p>
        </w:tc>
        <w:tc>
          <w:tcPr>
            <w:tcW w:type="dxa" w:w="1728"/>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Evidencia del Cambio</w:t>
            </w:r>
          </w:p>
        </w:tc>
        <w:tc>
          <w:tcPr>
            <w:tcW w:type="dxa" w:w="1872"/>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Efecto en Métricas / Rendimiento</w:t>
            </w:r>
          </w:p>
        </w:tc>
      </w:tr>
      <w:tr>
        <w:tc>
          <w:tcPr>
            <w:tcW w:type="dxa" w:w="1872"/>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Focal Loss Ponderada</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src/train.py</w:t>
            </w:r>
          </w:p>
        </w:tc>
        <w:tc>
          <w:tcPr>
            <w:tcW w:type="dxa" w:w="244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Antes: CrossEntropyLoss plana. Después: FocalLoss con gamma=2.0 y alpha inversos.</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Script src/train.py líneas 45-78.</w:t>
            </w:r>
          </w:p>
        </w:tc>
        <w:tc>
          <w:tcPr>
            <w:tcW w:type="dxa" w:w="1872"/>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F1-Score en Disgusto se incrementó de 0.221 a 0.7013 (+217 %).</w:t>
            </w:r>
          </w:p>
        </w:tc>
      </w:tr>
      <w:tr>
        <w:tc>
          <w:tcPr>
            <w:tcW w:type="dxa" w:w="1872"/>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Carga VRAM (FastGPU)</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src/dataset.py</w:t>
            </w:r>
          </w:p>
        </w:tc>
        <w:tc>
          <w:tcPr>
            <w:tcW w:type="dxa" w:w="244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Antes: DataLoader estándar con PIL en CPU. Después: Tensores UINT8 en VRAM.</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Clase FastGPUDataLoader en dataset.py.</w:t>
            </w:r>
          </w:p>
        </w:tc>
        <w:tc>
          <w:tcPr>
            <w:tcW w:type="dxa" w:w="1872"/>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Tiempo de entrenamiento reducido de 64 min a 25.2 min (2.5x más rápido).</w:t>
            </w:r>
          </w:p>
        </w:tc>
      </w:tr>
      <w:tr>
        <w:tc>
          <w:tcPr>
            <w:tcW w:type="dxa" w:w="1872"/>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Detector YuNet ONNX</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src/predict.py</w:t>
            </w:r>
          </w:p>
        </w:tc>
        <w:tc>
          <w:tcPr>
            <w:tcW w:type="dxa" w:w="244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Antes: Haar Cascades con alto falsos positivos. Después: YuNet con 5 landmarks.</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Módulo predict.py y modelo yunet.onnx.</w:t>
            </w:r>
          </w:p>
        </w:tc>
        <w:tc>
          <w:tcPr>
            <w:tcW w:type="dxa" w:w="1872"/>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Latencia facial reducida a 2.5 ms con cero falsos positivos en el aula.</w:t>
            </w:r>
          </w:p>
        </w:tc>
      </w:tr>
      <w:tr>
        <w:tc>
          <w:tcPr>
            <w:tcW w:type="dxa" w:w="1872"/>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Filtro Temporal EMA</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src/realtime.py</w:t>
            </w:r>
          </w:p>
        </w:tc>
        <w:tc>
          <w:tcPr>
            <w:tcW w:type="dxa" w:w="244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Antes: Clasificación cuadro a cuadro con flickering. Después: Suavizado EMA adaptativo.</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Bucle interactivo en src/realtime.py.</w:t>
            </w:r>
          </w:p>
        </w:tc>
        <w:tc>
          <w:tcPr>
            <w:tcW w:type="dxa" w:w="1872"/>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Inferencia fluida a 60 FPS sin parpadeo de etiquetas en pantalla.</w:t>
            </w:r>
          </w:p>
        </w:tc>
      </w:tr>
    </w:tbl>
    <w:p>
      <w:pPr>
        <w:spacing w:before="60" w:after="240" w:line="252" w:lineRule="auto"/>
        <w:jc w:val="left"/>
      </w:pPr>
      <w:r>
        <w:rPr>
          <w:rFonts w:ascii="Times New Roman" w:hAnsi="Times New Roman"/>
          <w:i/>
          <w:color w:val="282828"/>
          <w:sz w:val="17"/>
        </w:rPr>
        <w:t xml:space="preserve">Nota. </w:t>
      </w:r>
      <w:r>
        <w:rPr>
          <w:rFonts w:ascii="Times New Roman" w:hAnsi="Times New Roman"/>
          <w:color w:val="323232"/>
          <w:sz w:val="17"/>
        </w:rPr>
        <w:t>Evidencia de optimización progresiva de software y hardware a lo largo del desarrollo.</w:t>
      </w:r>
    </w:p>
    <w:p>
      <w:pPr>
        <w:spacing w:before="0" w:after="120" w:line="276" w:lineRule="auto"/>
        <w:jc w:val="both"/>
      </w:pPr>
      <w:r>
        <w:rPr>
          <w:rFonts w:ascii="Times New Roman" w:hAnsi="Times New Roman"/>
          <w:b w:val="0"/>
          <w:i w:val="0"/>
          <w:color w:val="1E1E1E"/>
          <w:sz w:val="22"/>
        </w:rPr>
        <w:t>Cada ajuste en el código o en la estrategia de procesamiento se tradujo en una ganancia cuantitativa sobre la precisión, la velocidad de entrenamiento o la estabilidad temporal de la inferencia.</w:t>
      </w:r>
    </w:p>
    <w:p>
      <w:pPr>
        <w:keepNext/>
        <w:spacing w:before="360" w:after="120"/>
        <w:jc w:val="center"/>
      </w:pPr>
      <w:r>
        <w:rPr>
          <w:rFonts w:ascii="Times New Roman" w:hAnsi="Times New Roman"/>
          <w:b/>
          <w:color w:val="003366"/>
          <w:sz w:val="24"/>
        </w:rPr>
        <w:t>CONSIDERACIONES ÉTICAS RELACIONADAS CON IA</w:t>
      </w:r>
    </w:p>
    <w:p>
      <w:pPr>
        <w:keepNext/>
        <w:spacing w:before="240" w:after="80"/>
        <w:jc w:val="left"/>
      </w:pPr>
      <w:r>
        <w:rPr>
          <w:rFonts w:ascii="Times New Roman" w:hAnsi="Times New Roman"/>
          <w:b/>
          <w:color w:val="004C99"/>
          <w:sz w:val="22"/>
        </w:rPr>
        <w:t>Marco normativo de protección de datos personales y bioética</w:t>
      </w:r>
    </w:p>
    <w:p>
      <w:pPr>
        <w:spacing w:before="0" w:after="120" w:line="276" w:lineRule="auto"/>
        <w:jc w:val="both"/>
      </w:pPr>
      <w:r>
        <w:rPr>
          <w:rFonts w:ascii="Times New Roman" w:hAnsi="Times New Roman"/>
          <w:b w:val="0"/>
          <w:i w:val="0"/>
          <w:color w:val="1E1E1E"/>
          <w:sz w:val="22"/>
        </w:rPr>
        <w:t>El desarrollo de sistemas de visión computacional y aprendizaje automático en el ámbito pedagógico exige una adherencia incondicional a los principios éticos internacionales y a la normativa legal vigente en el Perú. El proyecto se rige estrictamente por la Ley N.° 29733 (Ley de Protección de Datos Personales en el Perú) y su reglamento aprobado mediante Decreto Supremo N.° 003-2013-JUS, así como por las Recomendaciones sobre la Ética de la Inteligencia Artificial promovidas por la UNESCO (2021).</w:t>
      </w:r>
    </w:p>
    <w:p>
      <w:pPr>
        <w:spacing w:before="0" w:after="120" w:line="276" w:lineRule="auto"/>
        <w:jc w:val="both"/>
      </w:pPr>
      <w:r>
        <w:rPr>
          <w:rFonts w:ascii="Times New Roman" w:hAnsi="Times New Roman"/>
          <w:b w:val="0"/>
          <w:i w:val="0"/>
          <w:color w:val="1E1E1E"/>
          <w:sz w:val="22"/>
        </w:rPr>
        <w:t>En estricta consonancia con este marco normativo, el sistema opera bajo el principio de privacidad por diseño (Privacy by Design): el flujo de video capturado por la cámara web se procesa de forma efímera en la memoria volátil del procesador, descartando inmediatamente cada cuadro tras la extracción de probabilidades agregadas. El sistema no almacena fotografías, grabaciones de video, nombres ni vectores biométricos en disco o servidores remotos, garantizando el anonimato absoluto de los estudiantes.</w:t>
      </w:r>
    </w:p>
    <w:p>
      <w:pPr>
        <w:keepNext/>
        <w:spacing w:before="240" w:after="80"/>
        <w:jc w:val="left"/>
      </w:pPr>
      <w:r>
        <w:rPr>
          <w:rFonts w:ascii="Times New Roman" w:hAnsi="Times New Roman"/>
          <w:b/>
          <w:color w:val="004C99"/>
          <w:sz w:val="22"/>
        </w:rPr>
        <w:t>Matriz de gestión de riesgos éticos y mitigación</w:t>
      </w:r>
    </w:p>
    <w:p>
      <w:pPr>
        <w:spacing w:before="0" w:after="120" w:line="276" w:lineRule="auto"/>
        <w:jc w:val="both"/>
      </w:pPr>
      <w:r>
        <w:rPr>
          <w:rFonts w:ascii="Times New Roman" w:hAnsi="Times New Roman"/>
          <w:b w:val="0"/>
          <w:i w:val="0"/>
          <w:color w:val="1E1E1E"/>
          <w:sz w:val="22"/>
        </w:rPr>
        <w:t>La identificación de riesgos éticos y las medidas preventivas implementadas en conformidad con la normativa legal se presentan en la Tabla 6.</w:t>
      </w:r>
    </w:p>
    <w:p>
      <w:pPr>
        <w:keepNext/>
        <w:spacing w:before="280" w:after="40"/>
        <w:jc w:val="left"/>
      </w:pPr>
      <w:r>
        <w:rPr>
          <w:rFonts w:ascii="Times New Roman" w:hAnsi="Times New Roman"/>
          <w:b/>
          <w:color w:val="000000"/>
          <w:sz w:val="20"/>
        </w:rPr>
        <w:t>Tabla 6</w:t>
      </w:r>
    </w:p>
    <w:p>
      <w:pPr>
        <w:keepNext/>
        <w:spacing w:before="0" w:after="120"/>
        <w:jc w:val="left"/>
      </w:pPr>
      <w:r>
        <w:rPr>
          <w:rFonts w:ascii="Times New Roman" w:hAnsi="Times New Roman"/>
          <w:i/>
          <w:color w:val="141414"/>
          <w:sz w:val="20"/>
        </w:rPr>
        <w:t>Matriz de Gestión de Riesgos Éticos y Acciones de Mitigación del Proyecto</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881"/>
        <w:gridCol w:w="1881"/>
        <w:gridCol w:w="1881"/>
        <w:gridCol w:w="1881"/>
        <w:gridCol w:w="1881"/>
      </w:tblGrid>
      <w:tr>
        <w:tc>
          <w:tcPr>
            <w:tcW w:type="dxa" w:w="1728"/>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Riesgo Ético / Fuente</w:t>
            </w:r>
          </w:p>
        </w:tc>
        <w:tc>
          <w:tcPr>
            <w:tcW w:type="dxa" w:w="2304"/>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Descripción e Impacto Potencial</w:t>
            </w:r>
          </w:p>
        </w:tc>
        <w:tc>
          <w:tcPr>
            <w:tcW w:type="dxa" w:w="1584"/>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Probabilidad / Severidad</w:t>
            </w:r>
          </w:p>
        </w:tc>
        <w:tc>
          <w:tcPr>
            <w:tcW w:type="dxa" w:w="1728"/>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Grupo Afectado</w:t>
            </w:r>
          </w:p>
        </w:tc>
        <w:tc>
          <w:tcPr>
            <w:tcW w:type="dxa" w:w="2304"/>
            <w:tcBorders>
              <w:bottom w:val="single" w:sz="8" w:space="0" w:color="000000"/>
              <w:top w:val="none"/>
              <w:left w:val="none"/>
              <w:right w:val="none"/>
            </w:tcBorders>
            <w:tcMar>
              <w:top w:w="90" w:type="dxa"/>
              <w:bottom w:w="90" w:type="dxa"/>
              <w:left w:w="100" w:type="dxa"/>
              <w:right w:w="100" w:type="dxa"/>
            </w:tcMar>
            <w:vAlign w:val="center"/>
          </w:tcPr>
          <w:p>
            <w:pPr>
              <w:spacing w:before="40" w:after="40" w:line="240" w:lineRule="auto"/>
              <w:jc w:val="center"/>
            </w:pPr>
            <w:r>
              <w:rPr>
                <w:rFonts w:ascii="Times New Roman" w:hAnsi="Times New Roman"/>
                <w:b/>
                <w:color w:val="000000"/>
                <w:sz w:val="19"/>
              </w:rPr>
              <w:t>Acción de Mitigación Implementada</w:t>
            </w:r>
          </w:p>
        </w:tc>
      </w:tr>
      <w:tr>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Privacidad Biométrica</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Captura no autorizada o filtración de rasgos faciales de alumnos.</w:t>
            </w:r>
          </w:p>
        </w:tc>
        <w:tc>
          <w:tcPr>
            <w:tcW w:type="dxa" w:w="158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Baja / Crítica</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Estudiantes de la UPN sede Chorrillos.</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Procesamiento efímero en memoria volátil; cero almacenamiento de imágenes o identificadores nominales.</w:t>
            </w:r>
          </w:p>
        </w:tc>
      </w:tr>
      <w:tr>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Sesgo Muestral (Bias)</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Rendimiento asimétrico según etnia, género o expresiones faciales particulares.</w:t>
            </w:r>
          </w:p>
        </w:tc>
        <w:tc>
          <w:tcPr>
            <w:tcW w:type="dxa" w:w="158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Media / Alta</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Estudiantes con rasgos minoritarios.</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Inclusión de Focal Loss, sobremuestreo y técnicas fotométricas CLAHE para estandarizar contraste.</w:t>
            </w:r>
          </w:p>
        </w:tc>
      </w:tr>
      <w:tr>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Uso Punitivo del Sistema</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Interpretación errónea de la emoción para sancionar o calificar negativamente a un alumno.</w:t>
            </w:r>
          </w:p>
        </w:tc>
        <w:tc>
          <w:tcPr>
            <w:tcW w:type="dxa" w:w="158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Baja / Alta</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Alumnos en evaluaciones.</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El sistema reporta métricas colectivas del clima de aula; prohibición explícita de calificación individual.</w:t>
            </w:r>
          </w:p>
        </w:tc>
      </w:tr>
      <w:tr>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Opacidad Algorítmica</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Efecto de 'caja negra' donde el docente desconoce el fundamento de la predicción.</w:t>
            </w:r>
          </w:p>
        </w:tc>
        <w:tc>
          <w:tcPr>
            <w:tcW w:type="dxa" w:w="158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Media / Media</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Docentes y directivos.</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Visualización HUD de probabilidades continuas y desglose de métricas por matriz de confusión.</w:t>
            </w:r>
          </w:p>
        </w:tc>
      </w:tr>
      <w:tr>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Degradación por Drift</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Pérdida de precisión ante cambios estacionales o uso de lentes y mascarillas.</w:t>
            </w:r>
          </w:p>
        </w:tc>
        <w:tc>
          <w:tcPr>
            <w:tcW w:type="dxa" w:w="158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Media / Media</w:t>
            </w:r>
          </w:p>
        </w:tc>
        <w:tc>
          <w:tcPr>
            <w:tcW w:type="dxa" w:w="1728"/>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Usuarios del aula.</w:t>
            </w:r>
          </w:p>
        </w:tc>
        <w:tc>
          <w:tcPr>
            <w:tcW w:type="dxa" w:w="2304"/>
            <w:tcMar>
              <w:top w:w="70" w:type="dxa"/>
              <w:bottom w:w="70" w:type="dxa"/>
              <w:left w:w="100" w:type="dxa"/>
              <w:right w:w="100" w:type="dxa"/>
            </w:tcMar>
            <w:vAlign w:val="center"/>
          </w:tcPr>
          <w:p>
            <w:pPr>
              <w:spacing w:before="40" w:after="40" w:line="252" w:lineRule="auto"/>
              <w:jc w:val="left"/>
            </w:pPr>
            <w:r>
              <w:rPr>
                <w:rFonts w:ascii="Times New Roman" w:hAnsi="Times New Roman"/>
                <w:color w:val="1E1E1E"/>
                <w:sz w:val="18"/>
              </w:rPr>
              <w:t>Detección neuronal robusta con YuNet e incorporación de Test-Time Augmentation (TTA).</w:t>
            </w:r>
          </w:p>
        </w:tc>
      </w:tr>
    </w:tbl>
    <w:p>
      <w:pPr>
        <w:spacing w:before="60" w:after="240" w:line="252" w:lineRule="auto"/>
        <w:jc w:val="left"/>
      </w:pPr>
      <w:r>
        <w:rPr>
          <w:rFonts w:ascii="Times New Roman" w:hAnsi="Times New Roman"/>
          <w:i/>
          <w:color w:val="282828"/>
          <w:sz w:val="17"/>
        </w:rPr>
        <w:t xml:space="preserve">Nota. </w:t>
      </w:r>
      <w:r>
        <w:rPr>
          <w:rFonts w:ascii="Times New Roman" w:hAnsi="Times New Roman"/>
          <w:color w:val="323232"/>
          <w:sz w:val="17"/>
        </w:rPr>
        <w:t>Alineamiento con la Ley N.° 29733 de Protección de Datos Personales, Decreto Supremo N.° 003-2013-JUS y directrices de UNESCO.</w:t>
      </w:r>
    </w:p>
    <w:p>
      <w:pPr>
        <w:spacing w:before="0" w:after="120" w:line="276" w:lineRule="auto"/>
        <w:jc w:val="both"/>
      </w:pPr>
      <w:r>
        <w:rPr>
          <w:rFonts w:ascii="Times New Roman" w:hAnsi="Times New Roman"/>
          <w:b w:val="0"/>
          <w:i w:val="0"/>
          <w:color w:val="1E1E1E"/>
          <w:sz w:val="22"/>
        </w:rPr>
        <w:t>Este conjunto de medidas ratifica el compromiso con un despliegue transparente, enfocado exclusivamente en métricas agregadas del aula y respetuoso de la privacidad estudiantil.</w:t>
      </w:r>
    </w:p>
    <w:p>
      <w:pPr>
        <w:keepNext/>
        <w:spacing w:before="360" w:after="120"/>
        <w:jc w:val="center"/>
      </w:pPr>
      <w:r>
        <w:rPr>
          <w:rFonts w:ascii="Times New Roman" w:hAnsi="Times New Roman"/>
          <w:b/>
          <w:color w:val="003366"/>
          <w:sz w:val="24"/>
        </w:rPr>
        <w:t>ACTIVIDADES ADICIONALES Y CERTIFICACIONES</w:t>
      </w:r>
    </w:p>
    <w:p>
      <w:pPr>
        <w:keepNext/>
        <w:spacing w:before="240" w:after="80"/>
        <w:jc w:val="left"/>
      </w:pPr>
      <w:r>
        <w:rPr>
          <w:rFonts w:ascii="Times New Roman" w:hAnsi="Times New Roman"/>
          <w:b/>
          <w:color w:val="004C99"/>
          <w:sz w:val="22"/>
        </w:rPr>
        <w:t>Certificados de culminación de curso IBM Watson</w:t>
      </w:r>
    </w:p>
    <w:p>
      <w:pPr>
        <w:spacing w:before="0" w:after="120" w:line="276" w:lineRule="auto"/>
        <w:jc w:val="both"/>
      </w:pPr>
      <w:r>
        <w:rPr>
          <w:rFonts w:ascii="Times New Roman" w:hAnsi="Times New Roman"/>
          <w:b w:val="0"/>
          <w:i w:val="0"/>
          <w:color w:val="1E1E1E"/>
          <w:sz w:val="22"/>
        </w:rPr>
        <w:t>Los integrantes del equipo formativo culminaron satisfactoriamente los módulos de especialización tecnológica en computación cognitiva y visión artificial:</w:t>
      </w:r>
    </w:p>
    <w:p>
      <w:pPr>
        <w:spacing w:before="0" w:after="120" w:line="276" w:lineRule="auto"/>
        <w:jc w:val="both"/>
      </w:pPr>
      <w:r>
        <w:rPr>
          <w:rFonts w:ascii="Times New Roman" w:hAnsi="Times New Roman"/>
          <w:b w:val="0"/>
          <w:i w:val="0"/>
          <w:color w:val="1E1E1E"/>
          <w:sz w:val="22"/>
        </w:rPr>
        <w:t>• Integrante 1: Manuel Fabrizzio Risco Gil — Certificación 'IBM Watson: Machine Learning and Deep Learning with Python', acreditando competencias en diseño de clasificadores neuronales y pipelines de datos.</w:t>
      </w:r>
    </w:p>
    <w:p>
      <w:pPr>
        <w:spacing w:before="0" w:after="120" w:line="276" w:lineRule="auto"/>
        <w:jc w:val="both"/>
      </w:pPr>
      <w:r>
        <w:rPr>
          <w:rFonts w:ascii="Times New Roman" w:hAnsi="Times New Roman"/>
          <w:b w:val="0"/>
          <w:i w:val="0"/>
          <w:color w:val="1E1E1E"/>
          <w:sz w:val="22"/>
        </w:rPr>
        <w:t>• Integrante 2: Mario Julian Alejandro Choquihuayta — Certificación 'IBM Watson: Applied AI and Natural Interactions', validando destrezas en computación cognitiva y análisis de patrones afectivos.</w:t>
      </w:r>
    </w:p>
    <w:p>
      <w:pPr>
        <w:keepNext/>
        <w:spacing w:before="240" w:after="80"/>
        <w:jc w:val="left"/>
      </w:pPr>
      <w:r>
        <w:rPr>
          <w:rFonts w:ascii="Times New Roman" w:hAnsi="Times New Roman"/>
          <w:b/>
          <w:color w:val="004C99"/>
          <w:sz w:val="22"/>
        </w:rPr>
        <w:t>Certificados de culminación de curso Microsoft</w:t>
      </w:r>
    </w:p>
    <w:p>
      <w:pPr>
        <w:spacing w:before="0" w:after="120" w:line="276" w:lineRule="auto"/>
        <w:jc w:val="both"/>
      </w:pPr>
      <w:r>
        <w:rPr>
          <w:rFonts w:ascii="Times New Roman" w:hAnsi="Times New Roman"/>
          <w:b w:val="0"/>
          <w:i w:val="0"/>
          <w:color w:val="1E1E1E"/>
          <w:sz w:val="22"/>
        </w:rPr>
        <w:t>• Integrante 1: Manuel Fabrizzio Risco Gil — Certificación 'Microsoft Certified: Azure AI Fundamentals (AI-900)', abarcando principios de Computer Vision, clasificación de imágenes y ética en IA.</w:t>
      </w:r>
    </w:p>
    <w:p>
      <w:pPr>
        <w:spacing w:before="0" w:after="120" w:line="276" w:lineRule="auto"/>
        <w:jc w:val="both"/>
      </w:pPr>
      <w:r>
        <w:rPr>
          <w:rFonts w:ascii="Times New Roman" w:hAnsi="Times New Roman"/>
          <w:b w:val="0"/>
          <w:i w:val="0"/>
          <w:color w:val="1E1E1E"/>
          <w:sz w:val="22"/>
        </w:rPr>
        <w:t>• Integrante 2: Mario Julian Alejandro Choquihuayta — Certificación 'Microsoft AI Engineer Associate (AI-102)', cubriendo desarrollo de soluciones de visión artificial y modelos predictivos en la nube.</w:t>
      </w:r>
    </w:p>
    <w:p>
      <w:pPr>
        <w:keepNext/>
        <w:spacing w:before="240" w:after="80"/>
        <w:jc w:val="left"/>
      </w:pPr>
      <w:r>
        <w:rPr>
          <w:rFonts w:ascii="Times New Roman" w:hAnsi="Times New Roman"/>
          <w:b/>
          <w:color w:val="004C99"/>
          <w:sz w:val="22"/>
        </w:rPr>
        <w:t>Certificados de culminación de curso AWS</w:t>
      </w:r>
    </w:p>
    <w:p>
      <w:pPr>
        <w:spacing w:before="0" w:after="120" w:line="276" w:lineRule="auto"/>
        <w:jc w:val="both"/>
      </w:pPr>
      <w:r>
        <w:rPr>
          <w:rFonts w:ascii="Times New Roman" w:hAnsi="Times New Roman"/>
          <w:b w:val="0"/>
          <w:i w:val="0"/>
          <w:color w:val="1E1E1E"/>
          <w:sz w:val="22"/>
        </w:rPr>
        <w:t>• Integrante 1: Manuel Fabrizzio Risco Gil — Certificación 'AWS Certified AI Practitioner', acreditando destrezas en aceleración de modelos de Machine Learning con hardware dedicado y despliegue de microservicios.</w:t>
      </w:r>
    </w:p>
    <w:p>
      <w:pPr>
        <w:spacing w:before="0" w:after="120" w:line="276" w:lineRule="auto"/>
        <w:jc w:val="both"/>
      </w:pPr>
      <w:r>
        <w:rPr>
          <w:rFonts w:ascii="Times New Roman" w:hAnsi="Times New Roman"/>
          <w:b w:val="0"/>
          <w:i w:val="0"/>
          <w:color w:val="1E1E1E"/>
          <w:sz w:val="22"/>
        </w:rPr>
        <w:t>• Integrante 2: Mario Julian Alejandro Choquihuayta — Certificación 'AWS Certified Machine Learning - Specialty', validando competencias avanzadas en optimización de tensores y arquitecturas profundas.</w:t>
      </w:r>
    </w:p>
    <w:p>
      <w:pPr>
        <w:keepNext/>
        <w:spacing w:before="240" w:after="80"/>
        <w:jc w:val="left"/>
      </w:pPr>
      <w:r>
        <w:rPr>
          <w:rFonts w:ascii="Times New Roman" w:hAnsi="Times New Roman"/>
          <w:b/>
          <w:color w:val="004C99"/>
          <w:sz w:val="22"/>
        </w:rPr>
        <w:t>Producto mínimo viable (MVP) y evidencias operativas</w:t>
      </w:r>
    </w:p>
    <w:p>
      <w:pPr>
        <w:spacing w:before="0" w:after="120" w:line="276" w:lineRule="auto"/>
        <w:jc w:val="both"/>
      </w:pPr>
      <w:r>
        <w:rPr>
          <w:rFonts w:ascii="Times New Roman" w:hAnsi="Times New Roman"/>
          <w:b w:val="0"/>
          <w:i w:val="0"/>
          <w:color w:val="1E1E1E"/>
          <w:sz w:val="22"/>
        </w:rPr>
        <w:t>Como evidencia del producto mínimo viable (MVP) completamente funcional, el sistema se encuentra integrado en un repositorio portable estructurado con lanzador autónomo en Windows (run_demo.bat), permitiendo la ejecución inmediata de la interfaz de monitoreo HUD a 60 FPS sin requerir dependencias preinstaladas de Python o CUDA en la estación cliente.</w:t>
      </w:r>
    </w:p>
    <w:p>
      <w:pPr>
        <w:keepNext/>
        <w:spacing w:before="360" w:after="120"/>
        <w:jc w:val="center"/>
      </w:pPr>
      <w:r>
        <w:rPr>
          <w:rFonts w:ascii="Times New Roman" w:hAnsi="Times New Roman"/>
          <w:b/>
          <w:color w:val="003366"/>
          <w:sz w:val="24"/>
        </w:rPr>
        <w:t>REFERENCIAS BIBLIOGRÁFICAS</w:t>
      </w:r>
    </w:p>
    <w:p>
      <w:pPr>
        <w:spacing w:before="0" w:after="160" w:line="276" w:lineRule="auto"/>
        <w:jc w:val="both"/>
      </w:pPr>
      <w:r>
        <w:rPr>
          <w:rFonts w:ascii="Times New Roman" w:hAnsi="Times New Roman"/>
          <w:b w:val="0"/>
          <w:i/>
          <w:color w:val="1E1E1E"/>
          <w:sz w:val="19"/>
        </w:rPr>
        <w:t>A continuación se presenta la lista de referencias bibliográficas conforme a las normas APA (7.ª edición) en español:</w:t>
      </w:r>
    </w:p>
    <w:p>
      <w:pPr>
        <w:spacing w:before="40" w:after="120" w:line="276" w:lineRule="auto"/>
        <w:ind w:left="720" w:hanging="720"/>
        <w:jc w:val="both"/>
      </w:pPr>
      <w:r>
        <w:rPr>
          <w:rFonts w:ascii="Times New Roman" w:hAnsi="Times New Roman"/>
          <w:color w:val="282828"/>
          <w:sz w:val="19"/>
        </w:rPr>
        <w:t>Aceituno Curo, S. C. y Coyla Idme, L. (2025). Reconocimiento facial de emociones como herramienta para auxiliar al docente universitario en el desarrollo de su sesión de aprendizaje basado en redes neuronales convolucionales en la UNA-Puno [Tesis de pregrado, Universidad Nacional del Altiplano]. Repositorio Institucional UNAP / ALICIA CONCYTEC.</w:t>
      </w:r>
    </w:p>
    <w:p>
      <w:pPr>
        <w:spacing w:before="40" w:after="120" w:line="276" w:lineRule="auto"/>
        <w:ind w:left="720" w:hanging="720"/>
        <w:jc w:val="both"/>
      </w:pPr>
      <w:r>
        <w:rPr>
          <w:rFonts w:ascii="Times New Roman" w:hAnsi="Times New Roman"/>
          <w:color w:val="282828"/>
          <w:sz w:val="19"/>
        </w:rPr>
        <w:t>Alharbi, H. (2024). Explainable feature selection and deep learning based emotion recognition in virtual reality using eye tracker and physiological data. Frontiers in Medicine, 11, Artículo 1438720. https://doi.org/10.3389/fmed.2024.1438720</w:t>
      </w:r>
    </w:p>
    <w:p>
      <w:pPr>
        <w:spacing w:before="40" w:after="120" w:line="276" w:lineRule="auto"/>
        <w:ind w:left="720" w:hanging="720"/>
        <w:jc w:val="both"/>
      </w:pPr>
      <w:r>
        <w:rPr>
          <w:rFonts w:ascii="Times New Roman" w:hAnsi="Times New Roman"/>
          <w:color w:val="282828"/>
          <w:sz w:val="19"/>
        </w:rPr>
        <w:t>Angulo Yampufe, J. A. y Panta Chira, A. L. (2024). Implementación de un software de reconocimiento facial para mejorar el control de asistencia de los estudiantes de la I.E. 6090 José Olaya Balandra de Lima, 2024 [Tesis de pregrado, Universidad Privada del Norte]. Repositorio Institucional UPN.</w:t>
      </w:r>
    </w:p>
    <w:p>
      <w:pPr>
        <w:spacing w:before="40" w:after="120" w:line="276" w:lineRule="auto"/>
        <w:ind w:left="720" w:hanging="720"/>
        <w:jc w:val="both"/>
      </w:pPr>
      <w:r>
        <w:rPr>
          <w:rFonts w:ascii="Times New Roman" w:hAnsi="Times New Roman"/>
          <w:color w:val="282828"/>
          <w:sz w:val="19"/>
        </w:rPr>
        <w:t>Arias, F. G. (2012). El proyecto de investigación: Introducción a la metodología científica (6.ª ed.). Editorial Episteme.</w:t>
      </w:r>
    </w:p>
    <w:p>
      <w:pPr>
        <w:spacing w:before="40" w:after="120" w:line="276" w:lineRule="auto"/>
        <w:ind w:left="720" w:hanging="720"/>
        <w:jc w:val="both"/>
      </w:pPr>
      <w:r>
        <w:rPr>
          <w:rFonts w:ascii="Times New Roman" w:hAnsi="Times New Roman"/>
          <w:color w:val="282828"/>
          <w:sz w:val="19"/>
        </w:rPr>
        <w:t>Balbuena Galván, J. G. (2022). Modelos de detección de emociones en texto y rostros para agentes conversacionales multimodales [Tesis de maestría, Pontificia Universidad Católica del Perú]. Repositorio Digital PUCP / ALICIA CONCYTEC.</w:t>
      </w:r>
    </w:p>
    <w:p>
      <w:pPr>
        <w:spacing w:before="40" w:after="120" w:line="276" w:lineRule="auto"/>
        <w:ind w:left="720" w:hanging="720"/>
        <w:jc w:val="both"/>
      </w:pPr>
      <w:r>
        <w:rPr>
          <w:rFonts w:ascii="Times New Roman" w:hAnsi="Times New Roman"/>
          <w:color w:val="282828"/>
          <w:sz w:val="19"/>
        </w:rPr>
        <w:t>Bandlapalli, S., Kamineni, M., Malineni, S. y Deevi, P. (2026). Facial emotion recognition using CNN, VGGNet, and ResNet. En 2026 6th International Conference on Inventive Computation and Information Technologies (ICICIT) (pp. 312-317). IEEE.</w:t>
      </w:r>
    </w:p>
    <w:p>
      <w:pPr>
        <w:spacing w:before="40" w:after="120" w:line="276" w:lineRule="auto"/>
        <w:ind w:left="720" w:hanging="720"/>
        <w:jc w:val="both"/>
      </w:pPr>
      <w:r>
        <w:rPr>
          <w:rFonts w:ascii="Times New Roman" w:hAnsi="Times New Roman"/>
          <w:color w:val="282828"/>
          <w:sz w:val="19"/>
        </w:rPr>
        <w:t>Bernal, C. A. (2016). Metodología de la investigación: Administración, economía, humanidades y ciencias sociales (4.ª ed.). Pearson Educación.</w:t>
      </w:r>
    </w:p>
    <w:p>
      <w:pPr>
        <w:spacing w:before="40" w:after="120" w:line="276" w:lineRule="auto"/>
        <w:ind w:left="720" w:hanging="720"/>
        <w:jc w:val="both"/>
      </w:pPr>
      <w:r>
        <w:rPr>
          <w:rFonts w:ascii="Times New Roman" w:hAnsi="Times New Roman"/>
          <w:color w:val="282828"/>
          <w:sz w:val="19"/>
        </w:rPr>
        <w:t>Decreto Supremo N.° 003-2013-JUS. Reglamento de la Ley N.° 29733. (2013, 22 de marzo). Presidencia del Consejo de Ministros. Diario Oficial El Peruano.</w:t>
      </w:r>
    </w:p>
    <w:p>
      <w:pPr>
        <w:spacing w:before="40" w:after="120" w:line="276" w:lineRule="auto"/>
        <w:ind w:left="720" w:hanging="720"/>
        <w:jc w:val="both"/>
      </w:pPr>
      <w:r>
        <w:rPr>
          <w:rFonts w:ascii="Times New Roman" w:hAnsi="Times New Roman"/>
          <w:color w:val="282828"/>
          <w:sz w:val="19"/>
        </w:rPr>
        <w:t>Defensoría del Pueblo. (2022). Avances y limitaciones en el proceso de desinstitucionalización en los servicios de salud mental a nivel nacional, en el contexto de emergencia sanitaria por coronavirus (Serie de Informes Especiales N.° 004-2022-DP). Defensoría del Pueblo del Perú. https://www.defensoria.gob.pe/informes/serie-de-informes-especiales-n-004-2022-dp/</w:t>
      </w:r>
    </w:p>
    <w:p>
      <w:pPr>
        <w:spacing w:before="40" w:after="120" w:line="276" w:lineRule="auto"/>
        <w:ind w:left="720" w:hanging="720"/>
        <w:jc w:val="both"/>
      </w:pPr>
      <w:r>
        <w:rPr>
          <w:rFonts w:ascii="Times New Roman" w:hAnsi="Times New Roman"/>
          <w:color w:val="282828"/>
          <w:sz w:val="19"/>
        </w:rPr>
        <w:t>Ekman, P. (1992). An argument for basic emotions. Cognition &amp; Emotion, 6(3-4), 169-200. https://doi.org/10.1080/02699939208411068</w:t>
      </w:r>
    </w:p>
    <w:p>
      <w:pPr>
        <w:spacing w:before="40" w:after="120" w:line="276" w:lineRule="auto"/>
        <w:ind w:left="720" w:hanging="720"/>
        <w:jc w:val="both"/>
      </w:pPr>
      <w:r>
        <w:rPr>
          <w:rFonts w:ascii="Times New Roman" w:hAnsi="Times New Roman"/>
          <w:color w:val="282828"/>
          <w:sz w:val="19"/>
        </w:rPr>
        <w:t>Goodfellow, I. J., Erhan, D., Carrier, P. L., Courville, A., Mirza, M., Hamner, B., Cukierski, W., Tang, Y., Thaler, D., Lee, D.-H., Zhou, Y., Ramaiah, C., Feng, F., Li, R., Wang, X., Athanasakis, D., Shawe-Taylor, J., Milakov, M., Park, J., ... Bengio, Y. (2015). Challenges in representation learning: A report on three machine learning contests. Neural Networks, 64, 59-63. https://doi.org/10.1016/j.neunet.2014.09.005</w:t>
      </w:r>
    </w:p>
    <w:p>
      <w:pPr>
        <w:spacing w:before="40" w:after="120" w:line="276" w:lineRule="auto"/>
        <w:ind w:left="720" w:hanging="720"/>
        <w:jc w:val="both"/>
      </w:pPr>
      <w:r>
        <w:rPr>
          <w:rFonts w:ascii="Times New Roman" w:hAnsi="Times New Roman"/>
          <w:color w:val="282828"/>
          <w:sz w:val="19"/>
        </w:rPr>
        <w:t>He, K., Zhang, X., Ren, S. y Sun, J. (2016). Deep residual learning for image recognition. En Proceedings of the IEEE Conference on Computer Vision and Pattern Recognition (CVPR) (pp. 770-778). IEEE. https://doi.org/10.1109/CVPR.2016.90</w:t>
      </w:r>
    </w:p>
    <w:p>
      <w:pPr>
        <w:spacing w:before="40" w:after="120" w:line="276" w:lineRule="auto"/>
        <w:ind w:left="720" w:hanging="720"/>
        <w:jc w:val="both"/>
      </w:pPr>
      <w:r>
        <w:rPr>
          <w:rFonts w:ascii="Times New Roman" w:hAnsi="Times New Roman"/>
          <w:color w:val="282828"/>
          <w:sz w:val="19"/>
        </w:rPr>
        <w:t>Hernández-Sampieri, R., Fernández-Collado, C. y Baptista, P. (2014). Metodología de la investigación (6.ª ed.). McGraw-Hill Education.</w:t>
      </w:r>
    </w:p>
    <w:p>
      <w:pPr>
        <w:spacing w:before="40" w:after="120" w:line="276" w:lineRule="auto"/>
        <w:ind w:left="720" w:hanging="720"/>
        <w:jc w:val="both"/>
      </w:pPr>
      <w:r>
        <w:rPr>
          <w:rFonts w:ascii="Times New Roman" w:hAnsi="Times New Roman"/>
          <w:color w:val="282828"/>
          <w:sz w:val="19"/>
        </w:rPr>
        <w:t>Hu, J., Shen, L. y Sun, G. (2018). Squeeze-and-excitation networks. En Proceedings of the IEEE Conference on Computer Vision and Pattern Recognition (CVPR) (pp. 7132-7141). IEEE. https://doi.org/10.1109/CVPR.2018.00745</w:t>
      </w:r>
    </w:p>
    <w:p>
      <w:pPr>
        <w:spacing w:before="40" w:after="120" w:line="276" w:lineRule="auto"/>
        <w:ind w:left="720" w:hanging="720"/>
        <w:jc w:val="both"/>
      </w:pPr>
      <w:r>
        <w:rPr>
          <w:rFonts w:ascii="Times New Roman" w:hAnsi="Times New Roman"/>
          <w:color w:val="282828"/>
          <w:sz w:val="19"/>
        </w:rPr>
        <w:t>Instituto Nacional de Estadística e Informática. (2023). Perú: Enfermedades no transmisibles y transmisibles, 2022. INEI.</w:t>
      </w:r>
    </w:p>
    <w:p>
      <w:pPr>
        <w:spacing w:before="40" w:after="120" w:line="276" w:lineRule="auto"/>
        <w:ind w:left="720" w:hanging="720"/>
        <w:jc w:val="both"/>
      </w:pPr>
      <w:r>
        <w:rPr>
          <w:rFonts w:ascii="Times New Roman" w:hAnsi="Times New Roman"/>
          <w:color w:val="282828"/>
          <w:sz w:val="19"/>
        </w:rPr>
        <w:t>Kerlinger, F. N. y Lee, H. B. (2002). Investigación del comportamiento: Métodos de investigación en ciencias sociales (4.ª ed.). McGraw-Hill Interamericana.</w:t>
      </w:r>
    </w:p>
    <w:p>
      <w:pPr>
        <w:spacing w:before="40" w:after="120" w:line="276" w:lineRule="auto"/>
        <w:ind w:left="720" w:hanging="720"/>
        <w:jc w:val="both"/>
      </w:pPr>
      <w:r>
        <w:rPr>
          <w:rFonts w:ascii="Times New Roman" w:hAnsi="Times New Roman"/>
          <w:color w:val="282828"/>
          <w:sz w:val="19"/>
        </w:rPr>
        <w:t>Khaireddin, Y. y Chen, Z. (2021). Facial emotion recognition: State of the art performance on FER2013. arXiv preprint arXiv:2105.03588. https://doi.org/10.48550/arXiv.2105.03588</w:t>
      </w:r>
    </w:p>
    <w:p>
      <w:pPr>
        <w:spacing w:before="40" w:after="120" w:line="276" w:lineRule="auto"/>
        <w:ind w:left="720" w:hanging="720"/>
        <w:jc w:val="both"/>
      </w:pPr>
      <w:r>
        <w:rPr>
          <w:rFonts w:ascii="Times New Roman" w:hAnsi="Times New Roman"/>
          <w:color w:val="282828"/>
          <w:sz w:val="19"/>
        </w:rPr>
        <w:t>Ley N.° 29733. Ley de Protección de Datos Personales. (2011, 3 de julio). Congreso de la República del Perú. Diario Oficial El Peruano.</w:t>
      </w:r>
    </w:p>
    <w:p>
      <w:pPr>
        <w:spacing w:before="40" w:after="120" w:line="276" w:lineRule="auto"/>
        <w:ind w:left="720" w:hanging="720"/>
        <w:jc w:val="both"/>
      </w:pPr>
      <w:r>
        <w:rPr>
          <w:rFonts w:ascii="Times New Roman" w:hAnsi="Times New Roman"/>
          <w:color w:val="282828"/>
          <w:sz w:val="19"/>
        </w:rPr>
        <w:t>Li, S. y Deng, W. (2020). Deep facial expression recognition: A survey. IEEE Transactions on Affective Computing, 13(3), 1195-1215. https://doi.org/10.1109/TAFFC.2020.2981446</w:t>
      </w:r>
    </w:p>
    <w:p>
      <w:pPr>
        <w:spacing w:before="40" w:after="120" w:line="276" w:lineRule="auto"/>
        <w:ind w:left="720" w:hanging="720"/>
        <w:jc w:val="both"/>
      </w:pPr>
      <w:r>
        <w:rPr>
          <w:rFonts w:ascii="Times New Roman" w:hAnsi="Times New Roman"/>
          <w:color w:val="282828"/>
          <w:sz w:val="19"/>
        </w:rPr>
        <w:t>Lin, T. Y., Goyal, P., Girshick, R., He, K. y Dollár, P. (2017). Focal loss for dense object detection. En Proceedings of the IEEE International Conference on Computer Vision (ICCV) (pp. 2980-2988). IEEE. https://doi.org/10.1109/ICCV.2017.324</w:t>
      </w:r>
    </w:p>
    <w:p>
      <w:pPr>
        <w:spacing w:before="40" w:after="120" w:line="276" w:lineRule="auto"/>
        <w:ind w:left="720" w:hanging="720"/>
        <w:jc w:val="both"/>
      </w:pPr>
      <w:r>
        <w:rPr>
          <w:rFonts w:ascii="Times New Roman" w:hAnsi="Times New Roman"/>
          <w:color w:val="282828"/>
          <w:sz w:val="19"/>
        </w:rPr>
        <w:t>Loshchilov, I. y Hutter, F. (2019). Decoupled weight decay regularization. En International Conference on Learning Representations (ICLR) (pp. 1-10). OpenReview.net.</w:t>
      </w:r>
    </w:p>
    <w:p>
      <w:pPr>
        <w:spacing w:before="40" w:after="120" w:line="276" w:lineRule="auto"/>
        <w:ind w:left="720" w:hanging="720"/>
        <w:jc w:val="both"/>
      </w:pPr>
      <w:r>
        <w:rPr>
          <w:rFonts w:ascii="Times New Roman" w:hAnsi="Times New Roman"/>
          <w:color w:val="282828"/>
          <w:sz w:val="19"/>
        </w:rPr>
        <w:t>Martinez, A., Berrospi, F., Porras, V. y Portocarrero, M. (2022). Using facial landmarks to detect driver fatigue. En 2022 IEEE XXIX International Conference on Electronics, Electrical Engineering and Computing (INTERCON) (pp. 1-4). IEEE. https://doi.org/10.1109/INTERCON55795.2022.9870046</w:t>
      </w:r>
    </w:p>
    <w:p>
      <w:pPr>
        <w:spacing w:before="40" w:after="120" w:line="276" w:lineRule="auto"/>
        <w:ind w:left="720" w:hanging="720"/>
        <w:jc w:val="both"/>
      </w:pPr>
      <w:r>
        <w:rPr>
          <w:rFonts w:ascii="Times New Roman" w:hAnsi="Times New Roman"/>
          <w:color w:val="282828"/>
          <w:sz w:val="19"/>
        </w:rPr>
        <w:t>Méndez, C. E. (2001). Metodología: Diseño y desarrollo del proceso de investigación (3.ª ed.). McGraw-Hill Interamericana.</w:t>
      </w:r>
    </w:p>
    <w:p>
      <w:pPr>
        <w:spacing w:before="40" w:after="120" w:line="276" w:lineRule="auto"/>
        <w:ind w:left="720" w:hanging="720"/>
        <w:jc w:val="both"/>
      </w:pPr>
      <w:r>
        <w:rPr>
          <w:rFonts w:ascii="Times New Roman" w:hAnsi="Times New Roman"/>
          <w:color w:val="282828"/>
          <w:sz w:val="19"/>
        </w:rPr>
        <w:t>Ministerio de Salud. (2022). Lineamientos de política sectorial en salud mental y diagnóstico situacional en el Perú. Dirección de Salud Mental – MINSA. https://www.gob.pe/minsa</w:t>
      </w:r>
    </w:p>
    <w:p>
      <w:pPr>
        <w:spacing w:before="40" w:after="120" w:line="276" w:lineRule="auto"/>
        <w:ind w:left="720" w:hanging="720"/>
        <w:jc w:val="both"/>
      </w:pPr>
      <w:r>
        <w:rPr>
          <w:rFonts w:ascii="Times New Roman" w:hAnsi="Times New Roman"/>
          <w:color w:val="282828"/>
          <w:sz w:val="19"/>
        </w:rPr>
        <w:t>Ogosi-Auqui, J. A. (2021). Chatbot del proceso de aprendizaje universitario: Una revisión sistemática. Revista de Investigación Científica y Tecnológica Alpha Centauri, 2(2), 29-43. https://doi.org/10.47422/ac.v2i2.33</w:t>
      </w:r>
    </w:p>
    <w:p>
      <w:pPr>
        <w:spacing w:before="40" w:after="120" w:line="276" w:lineRule="auto"/>
        <w:ind w:left="720" w:hanging="720"/>
        <w:jc w:val="both"/>
      </w:pPr>
      <w:r>
        <w:rPr>
          <w:rFonts w:ascii="Times New Roman" w:hAnsi="Times New Roman"/>
          <w:color w:val="282828"/>
          <w:sz w:val="19"/>
        </w:rPr>
        <w:t>Oppenheim, A. V. y Schafer, R. W. (2010). Procesamiento de señales en tiempo discreto (3.ª ed.). Pearson Educación.</w:t>
      </w:r>
    </w:p>
    <w:p>
      <w:pPr>
        <w:spacing w:before="40" w:after="120" w:line="276" w:lineRule="auto"/>
        <w:ind w:left="720" w:hanging="720"/>
        <w:jc w:val="both"/>
      </w:pPr>
      <w:r>
        <w:rPr>
          <w:rFonts w:ascii="Times New Roman" w:hAnsi="Times New Roman"/>
          <w:color w:val="282828"/>
          <w:sz w:val="19"/>
        </w:rPr>
        <w:t>Paricela-Canazas, A., Ramos-Blaz, J. J., Torres-Martínez, P. D. y Jaquehua-Mamani, X. (2022). Sistema de identificación de emociones a través de reconocimiento facial utilizando inteligencia artificial. Revista Innovación y Software, 3(2), 140-150. https://doi.org/10.48168/innosoft.s9.a74</w:t>
      </w:r>
    </w:p>
    <w:p>
      <w:pPr>
        <w:spacing w:before="40" w:after="120" w:line="276" w:lineRule="auto"/>
        <w:ind w:left="720" w:hanging="720"/>
        <w:jc w:val="both"/>
      </w:pPr>
      <w:r>
        <w:rPr>
          <w:rFonts w:ascii="Times New Roman" w:hAnsi="Times New Roman"/>
          <w:color w:val="282828"/>
          <w:sz w:val="19"/>
        </w:rPr>
        <w:t>Picard, R. W. (1997). Affective computing. MIT Press. https://doi.org/10.7551/mitpress/1140.001.0001</w:t>
      </w:r>
    </w:p>
    <w:p>
      <w:pPr>
        <w:spacing w:before="40" w:after="120" w:line="276" w:lineRule="auto"/>
        <w:ind w:left="720" w:hanging="720"/>
        <w:jc w:val="both"/>
      </w:pPr>
      <w:r>
        <w:rPr>
          <w:rFonts w:ascii="Times New Roman" w:hAnsi="Times New Roman"/>
          <w:color w:val="282828"/>
          <w:sz w:val="19"/>
        </w:rPr>
        <w:t>Superintendencia Nacional de Educación Superior Universitaria. (2022). III Informe bienal sobre la realidad universitaria en el Perú. SUNEDU.</w:t>
      </w:r>
    </w:p>
    <w:p>
      <w:pPr>
        <w:spacing w:before="40" w:after="120" w:line="276" w:lineRule="auto"/>
        <w:ind w:left="720" w:hanging="720"/>
        <w:jc w:val="both"/>
      </w:pPr>
      <w:r>
        <w:rPr>
          <w:rFonts w:ascii="Times New Roman" w:hAnsi="Times New Roman"/>
          <w:color w:val="282828"/>
          <w:sz w:val="19"/>
        </w:rPr>
        <w:t>Talele, M. y Jain, R. (2025). A comparative analysis of CNNs and ResNet50 for facial emotion recognition. Engineering, Technology &amp; Applied Science Research, 15(2), 20693-20701. https://doi.org/10.48084/etasr.9849</w:t>
      </w:r>
    </w:p>
    <w:p>
      <w:pPr>
        <w:spacing w:before="40" w:after="120" w:line="276" w:lineRule="auto"/>
        <w:ind w:left="720" w:hanging="720"/>
        <w:jc w:val="both"/>
      </w:pPr>
      <w:r>
        <w:rPr>
          <w:rFonts w:ascii="Times New Roman" w:hAnsi="Times New Roman"/>
          <w:color w:val="282828"/>
          <w:sz w:val="19"/>
        </w:rPr>
        <w:t>UNESCO. (2021). Recomendación sobre la ética de la inteligencia artificial. Organización de las Naciones Unidas para la Educación, la Ciencia y la Cultura.</w:t>
      </w:r>
    </w:p>
    <w:p>
      <w:pPr>
        <w:spacing w:before="40" w:after="120" w:line="276" w:lineRule="auto"/>
        <w:ind w:left="720" w:hanging="720"/>
        <w:jc w:val="both"/>
      </w:pPr>
      <w:r>
        <w:rPr>
          <w:rFonts w:ascii="Times New Roman" w:hAnsi="Times New Roman"/>
          <w:color w:val="282828"/>
          <w:sz w:val="19"/>
        </w:rPr>
        <w:t>Vaijayanthi, S. y Arunnehru, J. (2024). Deep neural network-based emotion recognition using facial landmark features and particle swarm optimization. Automatika, 65(3), 1088-1099. https://doi.org/10.1080/00051144.2024.2343964</w:t>
      </w:r>
    </w:p>
    <w:p>
      <w:pPr>
        <w:spacing w:before="40" w:after="120" w:line="276" w:lineRule="auto"/>
        <w:ind w:left="720" w:hanging="720"/>
        <w:jc w:val="both"/>
      </w:pPr>
      <w:r>
        <w:rPr>
          <w:rFonts w:ascii="Times New Roman" w:hAnsi="Times New Roman"/>
          <w:color w:val="282828"/>
          <w:sz w:val="19"/>
        </w:rPr>
        <w:t>Vargas, Z. R. (2009). La investigación aplicada: Una forma de conocer las realidades con evidencia científica. Revista Educación, 33(1), 155-165.</w:t>
      </w:r>
    </w:p>
    <w:p>
      <w:pPr>
        <w:spacing w:before="40" w:after="120" w:line="276" w:lineRule="auto"/>
        <w:ind w:left="720" w:hanging="720"/>
        <w:jc w:val="both"/>
      </w:pPr>
      <w:r>
        <w:rPr>
          <w:rFonts w:ascii="Times New Roman" w:hAnsi="Times New Roman"/>
          <w:color w:val="282828"/>
          <w:sz w:val="19"/>
        </w:rPr>
        <w:t>Woo, S., Park, J., Lee, J. Y. y Kweon, I. S. (2018). CBAM: Convolutional block attention module. En Proceedings of the European Conference on Computer Vision (ECCV) (pp. 3-19). Springer. https://doi.org/10.1007/978-3-030-01234-2_1</w:t>
      </w:r>
    </w:p>
    <w:p>
      <w:pPr>
        <w:spacing w:before="40" w:after="120" w:line="276" w:lineRule="auto"/>
        <w:ind w:left="720" w:hanging="720"/>
        <w:jc w:val="both"/>
      </w:pPr>
      <w:r>
        <w:rPr>
          <w:rFonts w:ascii="Times New Roman" w:hAnsi="Times New Roman"/>
          <w:color w:val="282828"/>
          <w:sz w:val="19"/>
        </w:rPr>
        <w:t>Wu, J. y Wang, X. (2025). Label smoothing facial expression recognition method based on Resnet. En 2025 IEEE 7th International Conference on Communications, Information System and Computer Engineering (CISCE) (pp. 523-527). IEEE.</w:t>
      </w:r>
    </w:p>
    <w:p>
      <w:pPr>
        <w:spacing w:before="40" w:after="120" w:line="276" w:lineRule="auto"/>
        <w:ind w:left="720" w:hanging="720"/>
        <w:jc w:val="both"/>
      </w:pPr>
      <w:r>
        <w:rPr>
          <w:rFonts w:ascii="Times New Roman" w:hAnsi="Times New Roman"/>
          <w:color w:val="282828"/>
          <w:sz w:val="19"/>
        </w:rPr>
        <w:t>Wu, W., Peng, H. y Yu, S. (2023). YuNet: A tiny millisecond-level face detector. Machine Intelligence Research, 20(5), 656-665. Springer. https://doi.org/10.1007/s11633-023-1423-y</w:t>
      </w:r>
    </w:p>
    <w:p>
      <w:pPr>
        <w:spacing w:before="40" w:after="120" w:line="276" w:lineRule="auto"/>
        <w:ind w:left="720" w:hanging="720"/>
        <w:jc w:val="both"/>
      </w:pPr>
      <w:r>
        <w:rPr>
          <w:rFonts w:ascii="Times New Roman" w:hAnsi="Times New Roman"/>
          <w:color w:val="282828"/>
          <w:sz w:val="19"/>
        </w:rPr>
        <w:t>Zhang, H., Cisse, M., Dauphin, Y. N. y Lopez-Paz, D. (2018). mixup: Beyond empirical risk minimization. En International Conference on Learning Representations (ICLR) (pp. 1-13). OpenReview.net.</w:t>
      </w:r>
    </w:p>
    <w:p>
      <w:pPr>
        <w:spacing w:before="40" w:after="120" w:line="276" w:lineRule="auto"/>
        <w:ind w:left="720" w:hanging="720"/>
        <w:jc w:val="both"/>
      </w:pPr>
      <w:r>
        <w:rPr>
          <w:rFonts w:ascii="Times New Roman" w:hAnsi="Times New Roman"/>
          <w:color w:val="282828"/>
          <w:sz w:val="19"/>
        </w:rPr>
        <w:t>Zhang, S., Zhu, X., Lei, Z., Shi, H., Wang, X. y Li, S. Z. (2020). FaceBoxes: A rapid and versatile face detector for mobile CPU. IEEE Transactions on Biometrics, Behavior, and Identity Science, 2(2), 171-182. https://doi.org/10.1109/TBIOM.2020.2974486</w:t>
      </w:r>
    </w:p>
    <w:p>
      <w:pPr>
        <w:spacing w:before="40" w:after="120" w:line="276" w:lineRule="auto"/>
        <w:ind w:left="720" w:hanging="720"/>
        <w:jc w:val="both"/>
      </w:pPr>
      <w:r>
        <w:rPr>
          <w:rFonts w:ascii="Times New Roman" w:hAnsi="Times New Roman"/>
          <w:color w:val="282828"/>
          <w:sz w:val="19"/>
        </w:rPr>
        <w:t>Zhong, Z., Zheng, L., Kang, G., Li, S. y Yang, Y. (2020). Random erasing data augmentation. En Proceedings of the AAAI Conference on Artificial Intelligence, 34(07), 13001-13008. https://doi.org/10.1609/aaai.v34i07.7070</w:t>
      </w:r>
    </w:p>
    <w:p>
      <w:pPr>
        <w:keepNext/>
        <w:spacing w:before="360" w:after="120"/>
        <w:jc w:val="center"/>
      </w:pPr>
      <w:r>
        <w:rPr>
          <w:rFonts w:ascii="Times New Roman" w:hAnsi="Times New Roman"/>
          <w:b/>
          <w:color w:val="003366"/>
          <w:sz w:val="24"/>
        </w:rPr>
        <w:t>ANEXOS</w:t>
      </w:r>
    </w:p>
    <w:p>
      <w:pPr>
        <w:keepNext/>
        <w:spacing w:before="240" w:after="80"/>
        <w:jc w:val="left"/>
      </w:pPr>
      <w:r>
        <w:rPr>
          <w:rFonts w:ascii="Times New Roman" w:hAnsi="Times New Roman"/>
          <w:b/>
          <w:color w:val="004C99"/>
          <w:sz w:val="22"/>
        </w:rPr>
        <w:t>Anexo 1: Repositorio oficial de código fuente y artefactos experimentales</w:t>
      </w:r>
    </w:p>
    <w:p>
      <w:pPr>
        <w:spacing w:before="0" w:after="120" w:line="276" w:lineRule="auto"/>
        <w:jc w:val="both"/>
      </w:pPr>
      <w:r>
        <w:rPr>
          <w:rFonts w:ascii="Times New Roman" w:hAnsi="Times New Roman"/>
          <w:b w:val="0"/>
          <w:i w:val="0"/>
          <w:color w:val="1E1E1E"/>
          <w:sz w:val="22"/>
        </w:rPr>
        <w:t>El código fuente íntegro, pesos entrenados del modelo EmotionResNetSE (.pth y .onnx), scripts de preprocesamiento, generadores de gráficos y la versión ejecutable portable se encuentran alojados en el repositorio oficial de GitHub del proyecto:</w:t>
      </w:r>
    </w:p>
    <w:p>
      <w:pPr>
        <w:spacing w:before="0" w:after="120" w:line="276" w:lineRule="auto"/>
        <w:jc w:val="both"/>
      </w:pPr>
      <w:r>
        <w:rPr>
          <w:rFonts w:ascii="Times New Roman" w:hAnsi="Times New Roman"/>
          <w:b w:val="0"/>
          <w:i/>
          <w:color w:val="003366"/>
          <w:sz w:val="20"/>
        </w:rPr>
        <w:t>https://github.com/ManuelRisco/proyecto_emociones</w:t>
      </w:r>
    </w:p>
    <w:p>
      <w:pPr>
        <w:keepNext/>
        <w:spacing w:before="240" w:after="80"/>
        <w:jc w:val="left"/>
      </w:pPr>
      <w:r>
        <w:rPr>
          <w:rFonts w:ascii="Times New Roman" w:hAnsi="Times New Roman"/>
          <w:b/>
          <w:color w:val="004C99"/>
          <w:sz w:val="22"/>
        </w:rPr>
        <w:t>Anexo 2: Requerimientos y procedimiento de ejecución del prototipo portable</w:t>
      </w:r>
    </w:p>
    <w:p>
      <w:pPr>
        <w:spacing w:before="0" w:after="120" w:line="276" w:lineRule="auto"/>
        <w:jc w:val="both"/>
      </w:pPr>
      <w:r>
        <w:rPr>
          <w:rFonts w:ascii="Times New Roman" w:hAnsi="Times New Roman"/>
          <w:b w:val="0"/>
          <w:i w:val="0"/>
          <w:color w:val="1E1E1E"/>
          <w:sz w:val="22"/>
        </w:rPr>
        <w:t>El prototipo final fue compilado como una solución autónoma que no requiere instalación manual de entornos virtuales de Python ni paquetes de terceros:</w:t>
      </w:r>
    </w:p>
    <w:p>
      <w:pPr>
        <w:spacing w:before="0" w:after="120" w:line="276" w:lineRule="auto"/>
        <w:jc w:val="both"/>
      </w:pPr>
      <w:r>
        <w:rPr>
          <w:rFonts w:ascii="Times New Roman" w:hAnsi="Times New Roman"/>
          <w:b w:val="0"/>
          <w:i w:val="0"/>
          <w:color w:val="1E1E1E"/>
          <w:sz w:val="22"/>
        </w:rPr>
        <w:t>1. Descomprimir el archivo EmotionAI_Portable.zip en cualquier directorio local.</w:t>
      </w:r>
    </w:p>
    <w:p>
      <w:pPr>
        <w:spacing w:before="0" w:after="120" w:line="276" w:lineRule="auto"/>
        <w:jc w:val="both"/>
      </w:pPr>
      <w:r>
        <w:rPr>
          <w:rFonts w:ascii="Times New Roman" w:hAnsi="Times New Roman"/>
          <w:b w:val="0"/>
          <w:i w:val="0"/>
          <w:color w:val="1E1E1E"/>
          <w:sz w:val="22"/>
        </w:rPr>
        <w:t>2. Conectar una cámara web estándar (resolución mínima 640×480 a 30 FPS).</w:t>
      </w:r>
    </w:p>
    <w:p>
      <w:pPr>
        <w:spacing w:before="0" w:after="120" w:line="276" w:lineRule="auto"/>
        <w:jc w:val="both"/>
      </w:pPr>
      <w:r>
        <w:rPr>
          <w:rFonts w:ascii="Times New Roman" w:hAnsi="Times New Roman"/>
          <w:b w:val="0"/>
          <w:i w:val="0"/>
          <w:color w:val="1E1E1E"/>
          <w:sz w:val="22"/>
        </w:rPr>
        <w:t>3. Ejecutar el archivo run_demo.bat haciendo doble clic en el explorador.</w:t>
      </w:r>
    </w:p>
    <w:p>
      <w:pPr>
        <w:spacing w:before="0" w:after="120" w:line="276" w:lineRule="auto"/>
        <w:jc w:val="both"/>
      </w:pPr>
      <w:r>
        <w:rPr>
          <w:rFonts w:ascii="Times New Roman" w:hAnsi="Times New Roman"/>
          <w:b w:val="0"/>
          <w:i w:val="0"/>
          <w:color w:val="1E1E1E"/>
          <w:sz w:val="22"/>
        </w:rPr>
        <w:t>4. La interfaz interactiva HUD iniciará automáticamente a 60 FPS con detección multi-rostro continua, presione la tecla 'Q' o 'ESC' para finalizar la sesión.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