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Arial" w:hAnsi="Arial"/>
          <w:b/>
          <w:color w:val="0D9488"/>
          <w:sz w:val="24"/>
        </w:rPr>
        <w:t>TECNOFILM S.A. | SIGPLAST ERP</w:t>
      </w:r>
    </w:p>
    <w:p>
      <w:pPr>
        <w:spacing w:before="200" w:after="240"/>
      </w:pPr>
      <w:r>
        <w:rPr>
          <w:rFonts w:ascii="Arial" w:hAnsi="Arial"/>
          <w:b/>
          <w:color w:val="003A6C"/>
          <w:sz w:val="48"/>
        </w:rPr>
        <w:t>SISTEMA WEB DE TRANSFERENCIA DE ALMACENES</w:t>
      </w:r>
    </w:p>
    <w:p>
      <w:pPr>
        <w:spacing w:after="600"/>
      </w:pPr>
      <w:r>
        <w:rPr>
          <w:rFonts w:ascii="Arial" w:hAnsi="Arial"/>
          <w:i/>
          <w:color w:val="64748B"/>
          <w:sz w:val="26"/>
        </w:rPr>
        <w:t>Documentación Técnica Integral, Manual de Usuario y Guía de Despliegue Local</w:t>
      </w:r>
    </w:p>
    <w:tbl>
      <w:tblPr>
        <w:tblW w:type="auto" w:w="0"/>
        <w:jc w:val="center"/>
        <w:tblLook w:firstColumn="1" w:firstRow="1" w:lastColumn="0" w:lastRow="0" w:noHBand="0" w:noVBand="1" w:val="04A0"/>
      </w:tblPr>
      <w:tblGrid>
        <w:gridCol w:w="4968"/>
        <w:gridCol w:w="4968"/>
      </w:tblGrid>
      <w:tr>
        <w:tc>
          <w:tcPr>
            <w:tcW w:type="dxa" w:w="4968"/>
            <w:shd w:fill="F8FAFC"/>
            <w:tcMar>
              <w:top w:w="80" w:type="dxa"/>
              <w:bottom w:w="80" w:type="dxa"/>
              <w:left w:w="100" w:type="dxa"/>
              <w:right w:w="100" w:type="dxa"/>
            </w:tcMar>
          </w:tcPr>
          <w:p>
            <w:r>
              <w:rPr>
                <w:rFonts w:ascii="Arial" w:hAnsi="Arial"/>
                <w:b/>
                <w:color w:val="003A6C"/>
                <w:sz w:val="19"/>
              </w:rPr>
              <w:t>Proyecto:</w:t>
            </w:r>
          </w:p>
        </w:tc>
        <w:tc>
          <w:tcPr>
            <w:tcW w:type="dxa" w:w="4968"/>
            <w:shd w:fill="FFFFFF"/>
            <w:tcMar>
              <w:top w:w="80" w:type="dxa"/>
              <w:bottom w:w="80" w:type="dxa"/>
              <w:left w:w="100" w:type="dxa"/>
              <w:right w:w="100" w:type="dxa"/>
            </w:tcMar>
          </w:tcPr>
          <w:p>
            <w:r>
              <w:rPr>
                <w:rFonts w:ascii="Arial" w:hAnsi="Arial"/>
                <w:color w:val="1E293B"/>
                <w:sz w:val="19"/>
              </w:rPr>
              <w:t>Sistema Web de Transferencia de Almacenes (SIGPLAST)</w:t>
            </w:r>
          </w:p>
        </w:tc>
      </w:tr>
      <w:tr>
        <w:tc>
          <w:tcPr>
            <w:tcW w:type="dxa" w:w="4968"/>
            <w:shd w:fill="F8FAFC"/>
            <w:tcMar>
              <w:top w:w="80" w:type="dxa"/>
              <w:bottom w:w="80" w:type="dxa"/>
              <w:left w:w="100" w:type="dxa"/>
              <w:right w:w="100" w:type="dxa"/>
            </w:tcMar>
          </w:tcPr>
          <w:p>
            <w:r>
              <w:rPr>
                <w:rFonts w:ascii="Arial" w:hAnsi="Arial"/>
                <w:b/>
                <w:color w:val="003A6C"/>
                <w:sz w:val="19"/>
              </w:rPr>
              <w:t>Cliente / Empresa:</w:t>
            </w:r>
          </w:p>
        </w:tc>
        <w:tc>
          <w:tcPr>
            <w:tcW w:type="dxa" w:w="4968"/>
            <w:shd w:fill="FFFFFF"/>
            <w:tcMar>
              <w:top w:w="80" w:type="dxa"/>
              <w:bottom w:w="80" w:type="dxa"/>
              <w:left w:w="100" w:type="dxa"/>
              <w:right w:w="100" w:type="dxa"/>
            </w:tcMar>
          </w:tcPr>
          <w:p>
            <w:r>
              <w:rPr>
                <w:rFonts w:ascii="Arial" w:hAnsi="Arial"/>
                <w:color w:val="1E293B"/>
                <w:sz w:val="19"/>
              </w:rPr>
              <w:t>Tecnofilm</w:t>
            </w:r>
          </w:p>
        </w:tc>
      </w:tr>
      <w:tr>
        <w:tc>
          <w:tcPr>
            <w:tcW w:type="dxa" w:w="4968"/>
            <w:shd w:fill="F8FAFC"/>
            <w:tcMar>
              <w:top w:w="80" w:type="dxa"/>
              <w:bottom w:w="80" w:type="dxa"/>
              <w:left w:w="100" w:type="dxa"/>
              <w:right w:w="100" w:type="dxa"/>
            </w:tcMar>
          </w:tcPr>
          <w:p>
            <w:r>
              <w:rPr>
                <w:rFonts w:ascii="Arial" w:hAnsi="Arial"/>
                <w:b/>
                <w:color w:val="003A6C"/>
                <w:sz w:val="19"/>
              </w:rPr>
              <w:t>Stack Tecnológico:</w:t>
            </w:r>
          </w:p>
        </w:tc>
        <w:tc>
          <w:tcPr>
            <w:tcW w:type="dxa" w:w="4968"/>
            <w:shd w:fill="FFFFFF"/>
            <w:tcMar>
              <w:top w:w="80" w:type="dxa"/>
              <w:bottom w:w="80" w:type="dxa"/>
              <w:left w:w="100" w:type="dxa"/>
              <w:right w:w="100" w:type="dxa"/>
            </w:tcMar>
          </w:tcPr>
          <w:p>
            <w:r>
              <w:rPr>
                <w:rFonts w:ascii="Arial" w:hAnsi="Arial"/>
                <w:color w:val="1E293B"/>
                <w:sz w:val="19"/>
              </w:rPr>
              <w:t>Angular 22, Tailwind CSS 4.3, PHP 8.2 Native, SQL Server 2022</w:t>
            </w:r>
          </w:p>
        </w:tc>
      </w:tr>
      <w:tr>
        <w:tc>
          <w:tcPr>
            <w:tcW w:type="dxa" w:w="4968"/>
            <w:shd w:fill="F8FAFC"/>
            <w:tcMar>
              <w:top w:w="80" w:type="dxa"/>
              <w:bottom w:w="80" w:type="dxa"/>
              <w:left w:w="100" w:type="dxa"/>
              <w:right w:w="100" w:type="dxa"/>
            </w:tcMar>
          </w:tcPr>
          <w:p>
            <w:r>
              <w:rPr>
                <w:rFonts w:ascii="Arial" w:hAnsi="Arial"/>
                <w:b/>
                <w:color w:val="003A6C"/>
                <w:sz w:val="19"/>
              </w:rPr>
              <w:t>Versión del Sistema:</w:t>
            </w:r>
          </w:p>
        </w:tc>
        <w:tc>
          <w:tcPr>
            <w:tcW w:type="dxa" w:w="4968"/>
            <w:shd w:fill="FFFFFF"/>
            <w:tcMar>
              <w:top w:w="80" w:type="dxa"/>
              <w:bottom w:w="80" w:type="dxa"/>
              <w:left w:w="100" w:type="dxa"/>
              <w:right w:w="100" w:type="dxa"/>
            </w:tcMar>
          </w:tcPr>
          <w:p>
            <w:r>
              <w:rPr>
                <w:rFonts w:ascii="Arial" w:hAnsi="Arial"/>
                <w:color w:val="1E293B"/>
                <w:sz w:val="19"/>
              </w:rPr>
              <w:t>1.0.0 (Producción / Local)</w:t>
            </w:r>
          </w:p>
        </w:tc>
      </w:tr>
      <w:tr>
        <w:tc>
          <w:tcPr>
            <w:tcW w:type="dxa" w:w="4968"/>
            <w:shd w:fill="F8FAFC"/>
            <w:tcMar>
              <w:top w:w="80" w:type="dxa"/>
              <w:bottom w:w="80" w:type="dxa"/>
              <w:left w:w="100" w:type="dxa"/>
              <w:right w:w="100" w:type="dxa"/>
            </w:tcMar>
          </w:tcPr>
          <w:p>
            <w:r>
              <w:rPr>
                <w:rFonts w:ascii="Arial" w:hAnsi="Arial"/>
                <w:b/>
                <w:color w:val="003A6C"/>
                <w:sz w:val="19"/>
              </w:rPr>
              <w:t>Fecha de Emisión:</w:t>
            </w:r>
          </w:p>
        </w:tc>
        <w:tc>
          <w:tcPr>
            <w:tcW w:type="dxa" w:w="4968"/>
            <w:shd w:fill="FFFFFF"/>
            <w:tcMar>
              <w:top w:w="80" w:type="dxa"/>
              <w:bottom w:w="80" w:type="dxa"/>
              <w:left w:w="100" w:type="dxa"/>
              <w:right w:w="100" w:type="dxa"/>
            </w:tcMar>
          </w:tcPr>
          <w:p>
            <w:r>
              <w:rPr>
                <w:rFonts w:ascii="Arial" w:hAnsi="Arial"/>
                <w:color w:val="1E293B"/>
                <w:sz w:val="19"/>
              </w:rPr>
              <w:t>Febrero 2026</w:t>
            </w:r>
          </w:p>
        </w:tc>
      </w:tr>
    </w:tbl>
    <w:p>
      <w:r>
        <w:br w:type="page"/>
      </w:r>
    </w:p>
    <w:p>
      <w:pPr>
        <w:keepNext/>
        <w:spacing w:before="360" w:after="160"/>
      </w:pPr>
      <w:r>
        <w:rPr>
          <w:rFonts w:ascii="Arial" w:hAnsi="Arial"/>
          <w:b/>
          <w:color w:val="003A6C"/>
          <w:sz w:val="32"/>
        </w:rPr>
        <w:t>1. Introducción y Resumen Ejecutivo</w:t>
      </w:r>
    </w:p>
    <w:p>
      <w:pPr>
        <w:spacing w:after="120" w:line="276" w:lineRule="auto"/>
      </w:pPr>
      <w:r>
        <w:rPr>
          <w:rFonts w:ascii="Arial" w:hAnsi="Arial"/>
          <w:b w:val="0"/>
          <w:i w:val="0"/>
          <w:color w:val="1E293B"/>
          <w:sz w:val="20"/>
        </w:rPr>
        <w:t>El presente documento detalla la arquitectura técnica, modelo de datos, ingeniería inversa criptográfica, procedimiento almacenado optimizado, manual de usuario y guía de puesta en marcha del Sistema Web Independiente para la Transferencia de Almacenes desarrollado para Tecnofilm.</w:t>
      </w:r>
    </w:p>
    <w:p>
      <w:pPr>
        <w:keepNext/>
        <w:spacing w:before="280" w:after="120"/>
      </w:pPr>
      <w:r>
        <w:rPr>
          <w:rFonts w:ascii="Arial" w:hAnsi="Arial"/>
          <w:b/>
          <w:color w:val="0D9488"/>
          <w:sz w:val="26"/>
        </w:rPr>
        <w:t>1.1. Diagnóstico del Problema</w:t>
      </w:r>
    </w:p>
    <w:p>
      <w:pPr>
        <w:spacing w:after="120" w:line="276" w:lineRule="auto"/>
      </w:pPr>
      <w:r>
        <w:rPr>
          <w:rFonts w:ascii="Arial" w:hAnsi="Arial"/>
          <w:b w:val="0"/>
          <w:i w:val="0"/>
          <w:color w:val="1E293B"/>
          <w:sz w:val="20"/>
        </w:rPr>
        <w:t>El ERP central de la empresa Tecnofilm opera sobre una infraestructura cliente-servidor basada en una aplicación de escritorio Windows. Dicho esquema presentaba las siguientes restricciones operativas:</w:t>
      </w:r>
    </w:p>
    <w:p>
      <w:pPr>
        <w:pStyle w:val="ListBullet"/>
        <w:spacing w:after="80" w:line="276" w:lineRule="auto"/>
      </w:pPr>
      <w:r>
        <w:rPr>
          <w:rFonts w:ascii="Arial" w:hAnsi="Arial"/>
          <w:b/>
          <w:color w:val="1E293B"/>
          <w:sz w:val="19"/>
        </w:rPr>
        <w:t>Dependencia de Terminales Fijos:</w:t>
      </w:r>
      <w:r>
        <w:rPr>
          <w:rFonts w:ascii="Arial" w:hAnsi="Arial"/>
          <w:color w:val="1E293B"/>
          <w:sz w:val="19"/>
        </w:rPr>
        <w:t xml:space="preserve"> Los operarios de almacén y planta debían trasladarse físicamente a terminales de escritorio para consultar existencias, emitir vales o validar movimientos.</w:t>
      </w:r>
    </w:p>
    <w:p>
      <w:pPr>
        <w:pStyle w:val="ListBullet"/>
        <w:spacing w:after="80" w:line="276" w:lineRule="auto"/>
      </w:pPr>
      <w:r>
        <w:rPr>
          <w:rFonts w:ascii="Arial" w:hAnsi="Arial"/>
          <w:b/>
          <w:color w:val="1E293B"/>
          <w:sz w:val="19"/>
        </w:rPr>
        <w:t>Retrasos en Captura de Datos:</w:t>
      </w:r>
      <w:r>
        <w:rPr>
          <w:rFonts w:ascii="Arial" w:hAnsi="Arial"/>
          <w:color w:val="1E293B"/>
          <w:sz w:val="19"/>
        </w:rPr>
        <w:t xml:space="preserve"> La necesidad de apuntar transacciones en papel para luego digitarlas generaba discrepancias temporales en el stock real.</w:t>
      </w:r>
    </w:p>
    <w:p>
      <w:pPr>
        <w:pStyle w:val="ListBullet"/>
        <w:spacing w:after="80" w:line="276" w:lineRule="auto"/>
      </w:pPr>
      <w:r>
        <w:rPr>
          <w:rFonts w:ascii="Arial" w:hAnsi="Arial"/>
          <w:b/>
          <w:color w:val="1E293B"/>
          <w:sz w:val="19"/>
        </w:rPr>
        <w:t>Falta de Movilidad:</w:t>
      </w:r>
      <w:r>
        <w:rPr>
          <w:rFonts w:ascii="Arial" w:hAnsi="Arial"/>
          <w:color w:val="1E293B"/>
          <w:sz w:val="19"/>
        </w:rPr>
        <w:t xml:space="preserve"> No existía una interfaz adaptada a dispositivos móviles, tablets o pistolas colectoras de datos (Handhelds / PDA) para operar a pie de planta.</w:t>
      </w:r>
    </w:p>
    <w:p>
      <w:pPr>
        <w:keepNext/>
        <w:spacing w:before="280" w:after="120"/>
      </w:pPr>
      <w:r>
        <w:rPr>
          <w:rFonts w:ascii="Arial" w:hAnsi="Arial"/>
          <w:b/>
          <w:color w:val="0D9488"/>
          <w:sz w:val="26"/>
        </w:rPr>
        <w:t>1.2. Solución Implementada</w:t>
      </w:r>
    </w:p>
    <w:p>
      <w:pPr>
        <w:spacing w:after="120" w:line="276" w:lineRule="auto"/>
      </w:pPr>
      <w:r>
        <w:rPr>
          <w:rFonts w:ascii="Arial" w:hAnsi="Arial"/>
          <w:b w:val="0"/>
          <w:i w:val="0"/>
          <w:color w:val="1E293B"/>
          <w:sz w:val="20"/>
        </w:rPr>
        <w:t>Se diseñó y construyó un sistema web progresivo (SPA) desacoplado, ligero y responsivo que replica con total fidelidad la lógica de transferencias y notas de salida del ERP de escritorio. La solución se comunica directamente con la base de datos central de SQL Server 2022 sin alterar las tablas ni procedimientos de la empresa.</w:t>
      </w:r>
    </w:p>
    <w:p>
      <w:pPr>
        <w:keepNext/>
        <w:spacing w:before="360" w:after="160"/>
      </w:pPr>
      <w:r>
        <w:rPr>
          <w:rFonts w:ascii="Arial" w:hAnsi="Arial"/>
          <w:b/>
          <w:color w:val="003A6C"/>
          <w:sz w:val="32"/>
        </w:rPr>
        <w:t>2. Stack Tecnológico y Arquitectura del Sistema</w:t>
      </w:r>
    </w:p>
    <w:p>
      <w:pPr>
        <w:spacing w:after="120" w:line="276" w:lineRule="auto"/>
      </w:pPr>
      <w:r>
        <w:rPr>
          <w:rFonts w:ascii="Arial" w:hAnsi="Arial"/>
          <w:b w:val="0"/>
          <w:i w:val="0"/>
          <w:color w:val="1E293B"/>
          <w:sz w:val="20"/>
        </w:rPr>
        <w:t>El sistema está construido bajo una arquitectura cliente-servidor desacoplada mediante APIs REST en formato JSON:</w:t>
      </w:r>
    </w:p>
    <w:tbl>
      <w:tblPr>
        <w:tblW w:type="auto" w:w="0"/>
        <w:jc w:val="center"/>
        <w:tblLook w:firstColumn="1" w:firstRow="1" w:lastColumn="0" w:lastRow="0" w:noHBand="0" w:noVBand="1" w:val="04A0"/>
      </w:tblPr>
      <w:tblGrid>
        <w:gridCol w:w="3312"/>
        <w:gridCol w:w="3312"/>
        <w:gridCol w:w="3312"/>
      </w:tblGrid>
      <w:tr>
        <w:tc>
          <w:tcPr>
            <w:tcW w:type="dxa" w:w="3312"/>
            <w:shd w:fill="003A6C"/>
            <w:tcMar>
              <w:top w:w="100" w:type="dxa"/>
              <w:bottom w:w="100" w:type="dxa"/>
              <w:left w:w="120" w:type="dxa"/>
              <w:right w:w="120" w:type="dxa"/>
            </w:tcMar>
          </w:tcPr>
          <w:p>
            <w:r>
              <w:rPr>
                <w:rFonts w:ascii="Arial" w:hAnsi="Arial"/>
                <w:b/>
                <w:color w:val="FFFFFF"/>
                <w:sz w:val="19"/>
              </w:rPr>
              <w:t>Capa</w:t>
            </w:r>
          </w:p>
        </w:tc>
        <w:tc>
          <w:tcPr>
            <w:tcW w:type="dxa" w:w="3312"/>
            <w:shd w:fill="003A6C"/>
            <w:tcMar>
              <w:top w:w="100" w:type="dxa"/>
              <w:bottom w:w="100" w:type="dxa"/>
              <w:left w:w="120" w:type="dxa"/>
              <w:right w:w="120" w:type="dxa"/>
            </w:tcMar>
          </w:tcPr>
          <w:p>
            <w:r>
              <w:rPr>
                <w:rFonts w:ascii="Arial" w:hAnsi="Arial"/>
                <w:b/>
                <w:color w:val="FFFFFF"/>
                <w:sz w:val="19"/>
              </w:rPr>
              <w:t>Tecnología / Versión</w:t>
            </w:r>
          </w:p>
        </w:tc>
        <w:tc>
          <w:tcPr>
            <w:tcW w:type="dxa" w:w="3312"/>
            <w:shd w:fill="003A6C"/>
            <w:tcMar>
              <w:top w:w="100" w:type="dxa"/>
              <w:bottom w:w="100" w:type="dxa"/>
              <w:left w:w="120" w:type="dxa"/>
              <w:right w:w="120" w:type="dxa"/>
            </w:tcMar>
          </w:tcPr>
          <w:p>
            <w:r>
              <w:rPr>
                <w:rFonts w:ascii="Arial" w:hAnsi="Arial"/>
                <w:b/>
                <w:color w:val="FFFFFF"/>
                <w:sz w:val="19"/>
              </w:rPr>
              <w:t>Rol y Justificación Técnica</w:t>
            </w:r>
          </w:p>
        </w:tc>
      </w:tr>
      <w:tr>
        <w:tc>
          <w:tcPr>
            <w:tcW w:type="dxa" w:w="3312"/>
            <w:shd w:fill="F8FAFC"/>
            <w:tcMar>
              <w:top w:w="80" w:type="dxa"/>
              <w:bottom w:w="80" w:type="dxa"/>
              <w:left w:w="100" w:type="dxa"/>
              <w:right w:w="100" w:type="dxa"/>
            </w:tcMar>
          </w:tcPr>
          <w:p>
            <w:r>
              <w:rPr>
                <w:rFonts w:ascii="Arial" w:hAnsi="Arial"/>
                <w:b/>
                <w:color w:val="1E293B"/>
                <w:sz w:val="18"/>
              </w:rPr>
              <w:t>Frontend</w:t>
            </w:r>
          </w:p>
        </w:tc>
        <w:tc>
          <w:tcPr>
            <w:tcW w:type="dxa" w:w="3312"/>
            <w:shd w:fill="F8FAFC"/>
            <w:tcMar>
              <w:top w:w="80" w:type="dxa"/>
              <w:bottom w:w="80" w:type="dxa"/>
              <w:left w:w="100" w:type="dxa"/>
              <w:right w:w="100" w:type="dxa"/>
            </w:tcMar>
          </w:tcPr>
          <w:p>
            <w:r>
              <w:rPr>
                <w:rFonts w:ascii="Arial" w:hAnsi="Arial"/>
                <w:color w:val="1E293B"/>
                <w:sz w:val="18"/>
              </w:rPr>
              <w:t>Angular 22.0.0</w:t>
            </w:r>
          </w:p>
        </w:tc>
        <w:tc>
          <w:tcPr>
            <w:tcW w:type="dxa" w:w="3312"/>
            <w:shd w:fill="F8FAFC"/>
            <w:tcMar>
              <w:top w:w="80" w:type="dxa"/>
              <w:bottom w:w="80" w:type="dxa"/>
              <w:left w:w="100" w:type="dxa"/>
              <w:right w:w="100" w:type="dxa"/>
            </w:tcMar>
          </w:tcPr>
          <w:p>
            <w:r>
              <w:rPr>
                <w:rFonts w:ascii="Arial" w:hAnsi="Arial"/>
                <w:color w:val="1E293B"/>
                <w:sz w:val="18"/>
              </w:rPr>
              <w:t>Standalone Components, Signals reactivas, Router y ChangeDetectionStrategy OnPush.</w:t>
            </w:r>
          </w:p>
        </w:tc>
      </w:tr>
      <w:tr>
        <w:tc>
          <w:tcPr>
            <w:tcW w:type="dxa" w:w="3312"/>
            <w:shd w:fill="FFFFFF"/>
            <w:tcMar>
              <w:top w:w="80" w:type="dxa"/>
              <w:bottom w:w="80" w:type="dxa"/>
              <w:left w:w="100" w:type="dxa"/>
              <w:right w:w="100" w:type="dxa"/>
            </w:tcMar>
          </w:tcPr>
          <w:p>
            <w:r>
              <w:rPr>
                <w:rFonts w:ascii="Arial" w:hAnsi="Arial"/>
                <w:b/>
                <w:color w:val="1E293B"/>
                <w:sz w:val="18"/>
              </w:rPr>
              <w:t>Estilos UI</w:t>
            </w:r>
          </w:p>
        </w:tc>
        <w:tc>
          <w:tcPr>
            <w:tcW w:type="dxa" w:w="3312"/>
            <w:shd w:fill="FFFFFF"/>
            <w:tcMar>
              <w:top w:w="80" w:type="dxa"/>
              <w:bottom w:w="80" w:type="dxa"/>
              <w:left w:w="100" w:type="dxa"/>
              <w:right w:w="100" w:type="dxa"/>
            </w:tcMar>
          </w:tcPr>
          <w:p>
            <w:r>
              <w:rPr>
                <w:rFonts w:ascii="Arial" w:hAnsi="Arial"/>
                <w:color w:val="1E293B"/>
                <w:sz w:val="18"/>
              </w:rPr>
              <w:t>Tailwind CSS 4.3.3</w:t>
            </w:r>
          </w:p>
        </w:tc>
        <w:tc>
          <w:tcPr>
            <w:tcW w:type="dxa" w:w="3312"/>
            <w:shd w:fill="FFFFFF"/>
            <w:tcMar>
              <w:top w:w="80" w:type="dxa"/>
              <w:bottom w:w="80" w:type="dxa"/>
              <w:left w:w="100" w:type="dxa"/>
              <w:right w:w="100" w:type="dxa"/>
            </w:tcMar>
          </w:tcPr>
          <w:p>
            <w:r>
              <w:rPr>
                <w:rFonts w:ascii="Arial" w:hAnsi="Arial"/>
                <w:color w:val="1E293B"/>
                <w:sz w:val="18"/>
              </w:rPr>
              <w:t>Diseño utilitario moderno, dark mode, personalización de scrollbars y mobile-first.</w:t>
            </w:r>
          </w:p>
        </w:tc>
      </w:tr>
      <w:tr>
        <w:tc>
          <w:tcPr>
            <w:tcW w:type="dxa" w:w="3312"/>
            <w:shd w:fill="F8FAFC"/>
            <w:tcMar>
              <w:top w:w="80" w:type="dxa"/>
              <w:bottom w:w="80" w:type="dxa"/>
              <w:left w:w="100" w:type="dxa"/>
              <w:right w:w="100" w:type="dxa"/>
            </w:tcMar>
          </w:tcPr>
          <w:p>
            <w:r>
              <w:rPr>
                <w:rFonts w:ascii="Arial" w:hAnsi="Arial"/>
                <w:b/>
                <w:color w:val="1E293B"/>
                <w:sz w:val="18"/>
              </w:rPr>
              <w:t>Notificaciones</w:t>
            </w:r>
          </w:p>
        </w:tc>
        <w:tc>
          <w:tcPr>
            <w:tcW w:type="dxa" w:w="3312"/>
            <w:shd w:fill="F8FAFC"/>
            <w:tcMar>
              <w:top w:w="80" w:type="dxa"/>
              <w:bottom w:w="80" w:type="dxa"/>
              <w:left w:w="100" w:type="dxa"/>
              <w:right w:w="100" w:type="dxa"/>
            </w:tcMar>
          </w:tcPr>
          <w:p>
            <w:r>
              <w:rPr>
                <w:rFonts w:ascii="Arial" w:hAnsi="Arial"/>
                <w:color w:val="1E293B"/>
                <w:sz w:val="18"/>
              </w:rPr>
              <w:t>SweetAlert2 11.26.25</w:t>
            </w:r>
          </w:p>
        </w:tc>
        <w:tc>
          <w:tcPr>
            <w:tcW w:type="dxa" w:w="3312"/>
            <w:shd w:fill="F8FAFC"/>
            <w:tcMar>
              <w:top w:w="80" w:type="dxa"/>
              <w:bottom w:w="80" w:type="dxa"/>
              <w:left w:w="100" w:type="dxa"/>
              <w:right w:w="100" w:type="dxa"/>
            </w:tcMar>
          </w:tcPr>
          <w:p>
            <w:r>
              <w:rPr>
                <w:rFonts w:ascii="Arial" w:hAnsi="Arial"/>
                <w:color w:val="1E293B"/>
                <w:sz w:val="18"/>
              </w:rPr>
              <w:t>Modales y confirmaciones asíncronas visuales adaptadas a temas claro y oscuro.</w:t>
            </w:r>
          </w:p>
        </w:tc>
      </w:tr>
      <w:tr>
        <w:tc>
          <w:tcPr>
            <w:tcW w:type="dxa" w:w="3312"/>
            <w:shd w:fill="FFFFFF"/>
            <w:tcMar>
              <w:top w:w="80" w:type="dxa"/>
              <w:bottom w:w="80" w:type="dxa"/>
              <w:left w:w="100" w:type="dxa"/>
              <w:right w:w="100" w:type="dxa"/>
            </w:tcMar>
          </w:tcPr>
          <w:p>
            <w:r>
              <w:rPr>
                <w:rFonts w:ascii="Arial" w:hAnsi="Arial"/>
                <w:b/>
                <w:color w:val="1E293B"/>
                <w:sz w:val="18"/>
              </w:rPr>
              <w:t>Backend API</w:t>
            </w:r>
          </w:p>
        </w:tc>
        <w:tc>
          <w:tcPr>
            <w:tcW w:type="dxa" w:w="3312"/>
            <w:shd w:fill="FFFFFF"/>
            <w:tcMar>
              <w:top w:w="80" w:type="dxa"/>
              <w:bottom w:w="80" w:type="dxa"/>
              <w:left w:w="100" w:type="dxa"/>
              <w:right w:w="100" w:type="dxa"/>
            </w:tcMar>
          </w:tcPr>
          <w:p>
            <w:r>
              <w:rPr>
                <w:rFonts w:ascii="Arial" w:hAnsi="Arial"/>
                <w:color w:val="1E293B"/>
                <w:sz w:val="18"/>
              </w:rPr>
              <w:t>PHP 8.2 Nativo + XAMPP</w:t>
            </w:r>
          </w:p>
        </w:tc>
        <w:tc>
          <w:tcPr>
            <w:tcW w:type="dxa" w:w="3312"/>
            <w:shd w:fill="FFFFFF"/>
            <w:tcMar>
              <w:top w:w="80" w:type="dxa"/>
              <w:bottom w:w="80" w:type="dxa"/>
              <w:left w:w="100" w:type="dxa"/>
              <w:right w:w="100" w:type="dxa"/>
            </w:tcMar>
          </w:tcPr>
          <w:p>
            <w:r>
              <w:rPr>
                <w:rFonts w:ascii="Arial" w:hAnsi="Arial"/>
                <w:color w:val="1E293B"/>
                <w:sz w:val="18"/>
              </w:rPr>
              <w:t>Micro-endpoints REST ligeros con procesamiento nativo de JSON y driver sqlsrv.</w:t>
            </w:r>
          </w:p>
        </w:tc>
      </w:tr>
      <w:tr>
        <w:tc>
          <w:tcPr>
            <w:tcW w:type="dxa" w:w="3312"/>
            <w:shd w:fill="F8FAFC"/>
            <w:tcMar>
              <w:top w:w="80" w:type="dxa"/>
              <w:bottom w:w="80" w:type="dxa"/>
              <w:left w:w="100" w:type="dxa"/>
              <w:right w:w="100" w:type="dxa"/>
            </w:tcMar>
          </w:tcPr>
          <w:p>
            <w:r>
              <w:rPr>
                <w:rFonts w:ascii="Arial" w:hAnsi="Arial"/>
                <w:b/>
                <w:color w:val="1E293B"/>
                <w:sz w:val="18"/>
              </w:rPr>
              <w:t>Base de Datos</w:t>
            </w:r>
          </w:p>
        </w:tc>
        <w:tc>
          <w:tcPr>
            <w:tcW w:type="dxa" w:w="3312"/>
            <w:shd w:fill="F8FAFC"/>
            <w:tcMar>
              <w:top w:w="80" w:type="dxa"/>
              <w:bottom w:w="80" w:type="dxa"/>
              <w:left w:w="100" w:type="dxa"/>
              <w:right w:w="100" w:type="dxa"/>
            </w:tcMar>
          </w:tcPr>
          <w:p>
            <w:r>
              <w:rPr>
                <w:rFonts w:ascii="Arial" w:hAnsi="Arial"/>
                <w:color w:val="1E293B"/>
                <w:sz w:val="18"/>
              </w:rPr>
              <w:t>Microsoft SQL Server 2022</w:t>
            </w:r>
          </w:p>
        </w:tc>
        <w:tc>
          <w:tcPr>
            <w:tcW w:type="dxa" w:w="3312"/>
            <w:shd w:fill="F8FAFC"/>
            <w:tcMar>
              <w:top w:w="80" w:type="dxa"/>
              <w:bottom w:w="80" w:type="dxa"/>
              <w:left w:w="100" w:type="dxa"/>
              <w:right w:w="100" w:type="dxa"/>
            </w:tcMar>
          </w:tcPr>
          <w:p>
            <w:r>
              <w:rPr>
                <w:rFonts w:ascii="Arial" w:hAnsi="Arial"/>
                <w:color w:val="1E293B"/>
                <w:sz w:val="18"/>
              </w:rPr>
              <w:t>Base de datos corporativa TECNOTEST, tablas maestras y procedimientos almacenados ACID.</w:t>
            </w:r>
          </w:p>
        </w:tc>
      </w:tr>
    </w:tbl>
    <w:p>
      <w:pPr>
        <w:spacing w:after="120"/>
      </w:pPr>
    </w:p>
    <w:p>
      <w:pPr>
        <w:keepNext/>
        <w:spacing w:before="360" w:after="160"/>
      </w:pPr>
      <w:r>
        <w:rPr>
          <w:rFonts w:ascii="Arial" w:hAnsi="Arial"/>
          <w:b/>
          <w:color w:val="003A6C"/>
          <w:sz w:val="32"/>
        </w:rPr>
        <w:t>3. Modelo de Datos Heredado (SQL Server 2022)</w:t>
      </w:r>
    </w:p>
    <w:p>
      <w:pPr>
        <w:spacing w:after="120" w:line="276" w:lineRule="auto"/>
      </w:pPr>
      <w:r>
        <w:rPr>
          <w:rFonts w:ascii="Arial" w:hAnsi="Arial"/>
          <w:b w:val="0"/>
          <w:i w:val="0"/>
          <w:color w:val="1E293B"/>
          <w:sz w:val="20"/>
        </w:rPr>
        <w:t>El sistema opera sobre la base de datos corporativa TECNOTEST, interactuando con las siguientes tablas clave:</w:t>
      </w:r>
    </w:p>
    <w:p>
      <w:pPr>
        <w:pStyle w:val="ListBullet"/>
        <w:spacing w:after="80" w:line="276" w:lineRule="auto"/>
      </w:pPr>
      <w:r>
        <w:rPr>
          <w:rFonts w:ascii="Arial" w:hAnsi="Arial"/>
          <w:b/>
          <w:color w:val="1E293B"/>
          <w:sz w:val="19"/>
        </w:rPr>
        <w:t>adm_usuario:</w:t>
      </w:r>
      <w:r>
        <w:rPr>
          <w:rFonts w:ascii="Arial" w:hAnsi="Arial"/>
          <w:color w:val="1E293B"/>
          <w:sz w:val="19"/>
        </w:rPr>
        <w:t xml:space="preserve"> Almacena credenciales de usuarios (usr_codigo, usr_clave, usr_status, pus_codigo).</w:t>
      </w:r>
    </w:p>
    <w:p>
      <w:pPr>
        <w:pStyle w:val="ListBullet"/>
        <w:spacing w:after="80" w:line="276" w:lineRule="auto"/>
      </w:pPr>
      <w:r>
        <w:rPr>
          <w:rFonts w:ascii="Arial" w:hAnsi="Arial"/>
          <w:b/>
          <w:color w:val="1E293B"/>
          <w:sz w:val="19"/>
        </w:rPr>
        <w:t>mae_almacen:</w:t>
      </w:r>
      <w:r>
        <w:rPr>
          <w:rFonts w:ascii="Arial" w:hAnsi="Arial"/>
          <w:color w:val="1E293B"/>
          <w:sz w:val="19"/>
        </w:rPr>
        <w:t xml:space="preserve"> Catálogo de almacenes físicos (001: Almacén Verde MP, 002: Almacén MP 02, 016: Almacén 016).</w:t>
      </w:r>
    </w:p>
    <w:p>
      <w:pPr>
        <w:pStyle w:val="ListBullet"/>
        <w:spacing w:after="80" w:line="276" w:lineRule="auto"/>
      </w:pPr>
      <w:r>
        <w:rPr>
          <w:rFonts w:ascii="Arial" w:hAnsi="Arial"/>
          <w:b/>
          <w:color w:val="1E293B"/>
          <w:sz w:val="19"/>
        </w:rPr>
        <w:t>mae_articulo:</w:t>
      </w:r>
      <w:r>
        <w:rPr>
          <w:rFonts w:ascii="Arial" w:hAnsi="Arial"/>
          <w:color w:val="1E293B"/>
          <w:sz w:val="19"/>
        </w:rPr>
        <w:t xml:space="preserve"> Maestro de artículos, códigos EAN/barras, descripciones y unidades de medida (ume_codigo).</w:t>
      </w:r>
    </w:p>
    <w:p>
      <w:pPr>
        <w:pStyle w:val="ListBullet"/>
        <w:spacing w:after="80" w:line="276" w:lineRule="auto"/>
      </w:pPr>
      <w:r>
        <w:rPr>
          <w:rFonts w:ascii="Arial" w:hAnsi="Arial"/>
          <w:b/>
          <w:color w:val="1E293B"/>
          <w:sz w:val="19"/>
        </w:rPr>
        <w:t>mae_ccostomae:</w:t>
      </w:r>
      <w:r>
        <w:rPr>
          <w:rFonts w:ascii="Arial" w:hAnsi="Arial"/>
          <w:color w:val="1E293B"/>
          <w:sz w:val="19"/>
        </w:rPr>
        <w:t xml:space="preserve"> Catálogo de centros de costos asignables a cada detalle de movimiento (cco_status = 1).</w:t>
      </w:r>
    </w:p>
    <w:p>
      <w:pPr>
        <w:pStyle w:val="ListBullet"/>
        <w:spacing w:after="80" w:line="276" w:lineRule="auto"/>
      </w:pPr>
      <w:r>
        <w:rPr>
          <w:rFonts w:ascii="Arial" w:hAnsi="Arial"/>
          <w:b/>
          <w:color w:val="1E293B"/>
          <w:sz w:val="19"/>
        </w:rPr>
        <w:t>mae_tpomov:</w:t>
      </w:r>
      <w:r>
        <w:rPr>
          <w:rFonts w:ascii="Arial" w:hAnsi="Arial"/>
          <w:color w:val="1E293B"/>
          <w:sz w:val="19"/>
        </w:rPr>
        <w:t xml:space="preserve"> Tipos de movimiento de almacén (102: Salida por Transferencia, 023: Ingreso por Transferencia).</w:t>
      </w:r>
    </w:p>
    <w:p>
      <w:pPr>
        <w:pStyle w:val="ListBullet"/>
        <w:spacing w:after="80" w:line="276" w:lineRule="auto"/>
      </w:pPr>
      <w:r>
        <w:rPr>
          <w:rFonts w:ascii="Arial" w:hAnsi="Arial"/>
          <w:b/>
          <w:color w:val="1E293B"/>
          <w:sz w:val="19"/>
        </w:rPr>
        <w:t>mae_correlativo:</w:t>
      </w:r>
      <w:r>
        <w:rPr>
          <w:rFonts w:ascii="Arial" w:hAnsi="Arial"/>
          <w:color w:val="1E293B"/>
          <w:sz w:val="19"/>
        </w:rPr>
        <w:t xml:space="preserve"> Control de numeración autoincremental de vales por almacén, año y tipo 'MOV'.</w:t>
      </w:r>
    </w:p>
    <w:p>
      <w:pPr>
        <w:pStyle w:val="ListBullet"/>
        <w:spacing w:after="80" w:line="276" w:lineRule="auto"/>
      </w:pPr>
      <w:r>
        <w:rPr>
          <w:rFonts w:ascii="Arial" w:hAnsi="Arial"/>
          <w:b/>
          <w:color w:val="1E293B"/>
          <w:sz w:val="19"/>
        </w:rPr>
        <w:t>log_cabmov:</w:t>
      </w:r>
      <w:r>
        <w:rPr>
          <w:rFonts w:ascii="Arial" w:hAnsi="Arial"/>
          <w:color w:val="1E293B"/>
          <w:sz w:val="19"/>
        </w:rPr>
        <w:t xml:space="preserve"> Cabecera transaccional de movimientos (mov_id, mov_codigo, mov_tipo, fechas, glosa).</w:t>
      </w:r>
    </w:p>
    <w:p>
      <w:pPr>
        <w:pStyle w:val="ListBullet"/>
        <w:spacing w:after="80" w:line="276" w:lineRule="auto"/>
      </w:pPr>
      <w:r>
        <w:rPr>
          <w:rFonts w:ascii="Arial" w:hAnsi="Arial"/>
          <w:b/>
          <w:color w:val="1E293B"/>
          <w:sz w:val="19"/>
        </w:rPr>
        <w:t>log_detmov:</w:t>
      </w:r>
      <w:r>
        <w:rPr>
          <w:rFonts w:ascii="Arial" w:hAnsi="Arial"/>
          <w:color w:val="1E293B"/>
          <w:sz w:val="19"/>
        </w:rPr>
        <w:t xml:space="preserve"> Detalle de artículos por movimiento (art_codigo, lot_codigo, mov_ctdmov, cco_codigo, costos).</w:t>
      </w:r>
    </w:p>
    <w:p>
      <w:pPr>
        <w:pStyle w:val="ListBullet"/>
        <w:spacing w:after="80" w:line="276" w:lineRule="auto"/>
      </w:pPr>
      <w:r>
        <w:rPr>
          <w:rFonts w:ascii="Arial" w:hAnsi="Arial"/>
          <w:b/>
          <w:color w:val="1E293B"/>
          <w:sz w:val="19"/>
        </w:rPr>
        <w:t>log_stkarticulo:</w:t>
      </w:r>
      <w:r>
        <w:rPr>
          <w:rFonts w:ascii="Arial" w:hAnsi="Arial"/>
          <w:color w:val="1E293B"/>
          <w:sz w:val="19"/>
        </w:rPr>
        <w:t xml:space="preserve"> Histórico mensual de saldos y valuación de costos unitarios en soles y dólares.</w:t>
      </w:r>
    </w:p>
    <w:p>
      <w:pPr>
        <w:keepNext/>
        <w:spacing w:before="360" w:after="160"/>
      </w:pPr>
      <w:r>
        <w:rPr>
          <w:rFonts w:ascii="Arial" w:hAnsi="Arial"/>
          <w:b/>
          <w:color w:val="003A6C"/>
          <w:sz w:val="32"/>
        </w:rPr>
        <w:t>4. Procedimiento Almacenado: sp_registrar_transferencia_almacen (Versión Optimizada)</w:t>
      </w:r>
    </w:p>
    <w:p>
      <w:pPr>
        <w:spacing w:after="120" w:line="276" w:lineRule="auto"/>
      </w:pPr>
      <w:r>
        <w:rPr>
          <w:rFonts w:ascii="Arial" w:hAnsi="Arial"/>
          <w:b w:val="0"/>
          <w:i w:val="0"/>
          <w:color w:val="1E293B"/>
          <w:sz w:val="20"/>
        </w:rPr>
        <w:t>Ubicación: backend/api/erp/sp_update_v3.sql</w:t>
      </w:r>
    </w:p>
    <w:p>
      <w:pPr>
        <w:spacing w:after="120" w:line="276" w:lineRule="auto"/>
      </w:pPr>
      <w:r>
        <w:rPr>
          <w:rFonts w:ascii="Arial" w:hAnsi="Arial"/>
          <w:b w:val="0"/>
          <w:i w:val="0"/>
          <w:color w:val="1E293B"/>
          <w:sz w:val="20"/>
        </w:rPr>
        <w:t>Para garantizar la máxima integridad transaccional (ACID), prevenir problemas de concurrencia y optimizar los tiempos de respuesta en el servidor SQL Server 2022, se implementó una versión refactorizada y robustecida del procedimiento almacenado sp_registrar_transferencia_almacen.</w:t>
      </w:r>
    </w:p>
    <w:p>
      <w:pPr>
        <w:keepNext/>
        <w:spacing w:before="280" w:after="120"/>
      </w:pPr>
      <w:r>
        <w:rPr>
          <w:rFonts w:ascii="Arial" w:hAnsi="Arial"/>
          <w:b/>
          <w:color w:val="0D9488"/>
          <w:sz w:val="26"/>
        </w:rPr>
        <w:t>4.1. Cambios y Mejoras Técnicas Aplicadas</w:t>
      </w:r>
    </w:p>
    <w:p>
      <w:pPr>
        <w:pStyle w:val="ListBullet"/>
        <w:spacing w:after="80" w:line="276" w:lineRule="auto"/>
      </w:pPr>
      <w:r>
        <w:rPr>
          <w:rFonts w:ascii="Arial" w:hAnsi="Arial"/>
          <w:b/>
          <w:color w:val="1E293B"/>
          <w:sz w:val="19"/>
        </w:rPr>
        <w:t>1. Bloqueo Exclusivo Controlado (UPDLOCK):</w:t>
      </w:r>
      <w:r>
        <w:rPr>
          <w:rFonts w:ascii="Arial" w:hAnsi="Arial"/>
          <w:color w:val="1E293B"/>
          <w:sz w:val="19"/>
        </w:rPr>
        <w:t xml:space="preserve"> Se implementó el hint WITH (UPDLOCK) en la instrucción MERGE sobre mae_correlativo. Esto previene interbloqueos (deadlocks) en momentos de alta concurrencia, asegurando que la transacción que lee el correlativo sea la única que lo incremente.</w:t>
      </w:r>
    </w:p>
    <w:p>
      <w:pPr>
        <w:pStyle w:val="ListBullet"/>
        <w:spacing w:after="80" w:line="276" w:lineRule="auto"/>
      </w:pPr>
      <w:r>
        <w:rPr>
          <w:rFonts w:ascii="Arial" w:hAnsi="Arial"/>
          <w:b/>
          <w:color w:val="1E293B"/>
          <w:sz w:val="19"/>
        </w:rPr>
        <w:t>2. Optimización en Validación de Stock (CTE PedidoAgrupado):</w:t>
      </w:r>
      <w:r>
        <w:rPr>
          <w:rFonts w:ascii="Arial" w:hAnsi="Arial"/>
          <w:color w:val="1E293B"/>
          <w:sz w:val="19"/>
        </w:rPr>
        <w:t xml:space="preserve"> Se reemplazaron las subconsultas pesadas anidadas por una Expresión de Tabla Común (CTE). Los artículos pedidos se agrupan una sola vez y se calculan contra el saldo físico real mediante OUTER APPLY, reduciendo el costo de CPU y lecturas lógicas.</w:t>
      </w:r>
    </w:p>
    <w:p>
      <w:pPr>
        <w:pStyle w:val="ListBullet"/>
        <w:spacing w:after="80" w:line="276" w:lineRule="auto"/>
      </w:pPr>
      <w:r>
        <w:rPr>
          <w:rFonts w:ascii="Arial" w:hAnsi="Arial"/>
          <w:b/>
          <w:color w:val="1E293B"/>
          <w:sz w:val="19"/>
        </w:rPr>
        <w:t>3. Inserción Masiva Simplificada (Principio DRY con #TempDetalle):</w:t>
      </w:r>
      <w:r>
        <w:rPr>
          <w:rFonts w:ascii="Arial" w:hAnsi="Arial"/>
          <w:color w:val="1E293B"/>
          <w:sz w:val="19"/>
        </w:rPr>
        <w:t xml:space="preserve"> En lugar de procesar el JSON dos veces idénticas para la salida y el ingreso, los datos parseados y sus costos unitarios (obtenidos de log_stkarticulo) se almacenan en una tabla temporal (#TempDetalle). Esto reduce a la mitad el procesamiento de OPENJSON y lecturas a disco.</w:t>
      </w:r>
    </w:p>
    <w:p>
      <w:pPr>
        <w:pStyle w:val="ListBullet"/>
        <w:spacing w:after="80" w:line="276" w:lineRule="auto"/>
      </w:pPr>
      <w:r>
        <w:rPr>
          <w:rFonts w:ascii="Arial" w:hAnsi="Arial"/>
          <w:b/>
          <w:color w:val="1E293B"/>
          <w:sz w:val="19"/>
        </w:rPr>
        <w:t>4. Manejo de Transacciones Seguro (@@TRANCOUNT y Limpieza):</w:t>
      </w:r>
      <w:r>
        <w:rPr>
          <w:rFonts w:ascii="Arial" w:hAnsi="Arial"/>
          <w:color w:val="1E293B"/>
          <w:sz w:val="19"/>
        </w:rPr>
        <w:t xml:space="preserve"> El bloque CATCH verifica el estado transaccional activo (IF @@TRANCOUNT &gt; 0 ROLLBACK TRANSACTION) y garantiza la eliminación de la tabla temporal si ocurre un error inesperado.</w:t>
      </w:r>
    </w:p>
    <w:p>
      <w:pPr>
        <w:pStyle w:val="ListBullet"/>
        <w:spacing w:after="80" w:line="276" w:lineRule="auto"/>
      </w:pPr>
      <w:r>
        <w:rPr>
          <w:rFonts w:ascii="Arial" w:hAnsi="Arial"/>
          <w:b/>
          <w:color w:val="1E293B"/>
          <w:sz w:val="19"/>
        </w:rPr>
        <w:t>5. Formato y Estandarización:</w:t>
      </w:r>
      <w:r>
        <w:rPr>
          <w:rFonts w:ascii="Arial" w:hAnsi="Arial"/>
          <w:color w:val="1E293B"/>
          <w:sz w:val="19"/>
        </w:rPr>
        <w:t xml:space="preserve"> Estandarización de palabras clave SQL en mayúsculas, asignación directa de variables y manejo claro de mensajes de error.</w:t>
      </w:r>
    </w:p>
    <w:p>
      <w:pPr>
        <w:keepNext/>
        <w:spacing w:before="280" w:after="120"/>
      </w:pPr>
      <w:r>
        <w:rPr>
          <w:rFonts w:ascii="Arial" w:hAnsi="Arial"/>
          <w:b/>
          <w:color w:val="0D9488"/>
          <w:sz w:val="26"/>
        </w:rPr>
        <w:t>4.2. Código SQL Completo del Stored Procedure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USE [TECNOTEST]</w:t>
              <w:br/>
              <w:t>GO</w:t>
              <w:br/>
              <w:t>SET ANSI_NULLS ON</w:t>
              <w:br/>
              <w:t>GO</w:t>
              <w:br/>
              <w:t>SET QUOTED_IDENTIFIER ON</w:t>
              <w:br/>
              <w:t>GO</w:t>
              <w:br/>
              <w:br/>
              <w:t>ALTER PROCEDURE [dbo].[sp_registrar_transferencia_almacen]</w:t>
              <w:br/>
              <w:t xml:space="preserve">    @emp_codigo char(3),</w:t>
              <w:br/>
              <w:t xml:space="preserve">    @suc_codigo char(3),</w:t>
              <w:br/>
              <w:t xml:space="preserve">    @alm_origen char(3),</w:t>
              <w:br/>
              <w:t xml:space="preserve">    @alm_destino char(3),</w:t>
              <w:br/>
              <w:t xml:space="preserve">    @fec_emi datetime,</w:t>
              <w:br/>
              <w:t xml:space="preserve">    @usuario varchar(15),</w:t>
              <w:br/>
              <w:t xml:space="preserve">    @detalles_json nvarchar(max),</w:t>
              <w:br/>
              <w:t xml:space="preserve">    @glosa varchar(200)</w:t>
              <w:br/>
              <w:t>AS</w:t>
              <w:br/>
              <w:t xml:space="preserve">BEGIN </w:t>
              <w:br/>
              <w:t xml:space="preserve">    SET NOCOUNT ON;</w:t>
              <w:br/>
              <w:t xml:space="preserve">    SET XACT_ABORT ON;</w:t>
              <w:br/>
              <w:br/>
              <w:t xml:space="preserve">    BEGIN TRY</w:t>
              <w:br/>
              <w:t xml:space="preserve">        -- =============================================</w:t>
              <w:br/>
              <w:t xml:space="preserve">        -- 1. VALIDACIONES INICIALES BÁSICAS</w:t>
              <w:br/>
              <w:t xml:space="preserve">        -- =============================================</w:t>
              <w:br/>
              <w:t xml:space="preserve">        IF @alm_origen = @alm_destino</w:t>
              <w:br/>
              <w:t xml:space="preserve">        BEGIN</w:t>
              <w:br/>
              <w:t xml:space="preserve">            SELECT 0 AS success, 'El almacen origen y destino no pueden ser el mismo' AS message,</w:t>
              <w:br/>
              <w:t xml:space="preserve">                   NULL AS mov_id_salida, NULL AS vale_salida, NULL AS mov_id_ingreso, NULL AS vale_ingreso;</w:t>
              <w:br/>
              <w:t xml:space="preserve">            RETURN;</w:t>
              <w:br/>
              <w:t xml:space="preserve">        END</w:t>
              <w:br/>
              <w:br/>
              <w:t xml:space="preserve">        IF ISNULL(@detalles_json, '') = '' OR @detalles_json = '[]'</w:t>
              <w:br/>
              <w:t xml:space="preserve">        BEGIN</w:t>
              <w:br/>
              <w:t xml:space="preserve">            SELECT 0 AS success, 'Debe incluir al menos un articulo para transferir' AS message,</w:t>
              <w:br/>
              <w:t xml:space="preserve">                   NULL AS mov_id_salida, NULL AS vale_salida, NULL AS mov_id_ingreso, NULL AS vale_ingreso;</w:t>
              <w:br/>
              <w:t xml:space="preserve">            RETURN;</w:t>
              <w:br/>
              <w:t xml:space="preserve">        END</w:t>
              <w:br/>
              <w:br/>
              <w:t xml:space="preserve">        IF EXISTS (</w:t>
              <w:br/>
              <w:t xml:space="preserve">            SELECT 1 </w:t>
              <w:br/>
              <w:t xml:space="preserve">            FROM OPENJSON(@detalles_json) AS item </w:t>
              <w:br/>
              <w:t xml:space="preserve">            WHERE ISNULL(NULLIF(JSON_VALUE(item.value, '$.lot_codigo'), ''), '') = ''</w:t>
              <w:br/>
              <w:t xml:space="preserve">        )</w:t>
              <w:br/>
              <w:t xml:space="preserve">        BEGIN</w:t>
              <w:br/>
              <w:t xml:space="preserve">            SELECT 0 AS success, 'Todos los artículos deben tener asignado un Lote válido' AS message,</w:t>
              <w:br/>
              <w:t xml:space="preserve">                   NULL AS mov_id_salida, NULL AS vale_salida, NULL AS mov_id_ingreso, NULL AS vale_ingreso;</w:t>
              <w:br/>
              <w:t xml:space="preserve">            RETURN;</w:t>
              <w:br/>
              <w:t xml:space="preserve">        END</w:t>
              <w:br/>
              <w:br/>
              <w:t xml:space="preserve">        -- =============================================</w:t>
              <w:br/>
              <w:t xml:space="preserve">        -- 2. DECLARACIÓN DE VARIABLES DE ENTORNO</w:t>
              <w:br/>
              <w:t xml:space="preserve">        -- =============================================</w:t>
              <w:br/>
              <w:t xml:space="preserve">        DECLARE @anho_actual varchar(4) = LTRIM(RTRIM(CONVERT(varchar(4), YEAR(@fec_emi))));</w:t>
              <w:br/>
              <w:t xml:space="preserve">        DECLARE @mes_actual varchar(2)  = RIGHT('0' + LTRIM(RTRIM(CONVERT(varchar(2), MONTH(@fec_emi)))), 2);</w:t>
              <w:br/>
              <w:t xml:space="preserve">        DECLARE @anho_2dig varchar(2)   = RIGHT(@anho_actual, 2);</w:t>
              <w:br/>
              <w:t xml:space="preserve">        DECLARE @errores_stock varchar(max);</w:t>
              <w:br/>
              <w:br/>
              <w:t xml:space="preserve">        -- =============================================</w:t>
              <w:br/>
              <w:t xml:space="preserve">        -- 3. VALIDACIÓN DE STOCK REAL (OPTIMIZADO CON CTE)</w:t>
              <w:br/>
              <w:t xml:space="preserve">        -- =============================================</w:t>
              <w:br/>
              <w:t xml:space="preserve">        -- Sumarizamos lo pedido en el JSON</w:t>
              <w:br/>
              <w:t xml:space="preserve">        WITH PedidoAgrupado AS (</w:t>
              <w:br/>
              <w:t xml:space="preserve">            SELECT </w:t>
              <w:br/>
              <w:t xml:space="preserve">                JSON_VALUE(item.value, '$.art_codigo') AS art_codigo,</w:t>
              <w:br/>
              <w:t xml:space="preserve">                JSON_VALUE(item.value, '$.art_nombre') AS art_nombre,</w:t>
              <w:br/>
              <w:t xml:space="preserve">                ISNULL(NULLIF(JSON_VALUE(item.value, '$.lot_codigo'), ''), '') AS lot_codigo,</w:t>
              <w:br/>
              <w:t xml:space="preserve">                SUM(CAST(JSON_VALUE(item.value, '$.cantidad') AS DECIMAL(18,3))) AS total_pedida</w:t>
              <w:br/>
              <w:t xml:space="preserve">            FROM OPENJSON(@detalles_json) AS item</w:t>
              <w:br/>
              <w:t xml:space="preserve">            GROUP BY </w:t>
              <w:br/>
              <w:t xml:space="preserve">                JSON_VALUE(item.value, '$.art_codigo'),</w:t>
              <w:br/>
              <w:t xml:space="preserve">                JSON_VALUE(item.value, '$.art_nombre'),</w:t>
              <w:br/>
              <w:t xml:space="preserve">                ISNULL(NULLIF(JSON_VALUE(item.value, '$.lot_codigo'), ''), '')</w:t>
              <w:br/>
              <w:t xml:space="preserve">        )</w:t>
              <w:br/>
              <w:t xml:space="preserve">        SELECT @errores_stock = STUFF((</w:t>
              <w:br/>
              <w:t xml:space="preserve">            SELECT CHAR(10) + '- ' + ISNULL(p.art_nombre, p.art_codigo) + </w:t>
              <w:br/>
              <w:t xml:space="preserve">                   ' (Disp: ' + CAST(CAST(ISNULL(stk.stock_real, 0) AS INT) AS VARCHAR) + </w:t>
              <w:br/>
              <w:t xml:space="preserve">                   ', Sol: ' + CAST(CAST(p.total_pedida AS INT) AS VARCHAR) + ')'</w:t>
              <w:br/>
              <w:t xml:space="preserve">            FROM PedidoAgrupado p</w:t>
              <w:br/>
              <w:t xml:space="preserve">            OUTER APPLY (</w:t>
              <w:br/>
              <w:t xml:space="preserve">                SELECT </w:t>
              <w:br/>
              <w:t xml:space="preserve">                    SUM(CASE WHEN b.mov_tipo = 'I' THEN a.mov_ctdmov ELSE 0 END) -</w:t>
              <w:br/>
              <w:t xml:space="preserve">                    SUM(CASE WHEN b.mov_tipo = 'S' THEN a.mov_ctdmov ELSE 0 END) AS stock_real</w:t>
              <w:br/>
              <w:t xml:space="preserve">                FROM log_detmov a</w:t>
              <w:br/>
              <w:t xml:space="preserve">                INNER JOIN log_cabmov b ON a.mov_id = b.mov_id</w:t>
              <w:br/>
              <w:t xml:space="preserve">                WHERE b.mov_flag &lt;&gt; 'A' </w:t>
              <w:br/>
              <w:t xml:space="preserve">                  AND b.alm_codigo = @alm_origen</w:t>
              <w:br/>
              <w:t xml:space="preserve">                  AND b.mov_fecemi &lt;= @fec_emi</w:t>
              <w:br/>
              <w:t xml:space="preserve">                  AND a.art_codigo = p.art_codigo</w:t>
              <w:br/>
              <w:t xml:space="preserve">                  AND ISNULL(a.lot_codigo, '') = p.lot_codigo</w:t>
              <w:br/>
              <w:t xml:space="preserve">            ) stk</w:t>
              <w:br/>
              <w:t xml:space="preserve">            WHERE p.total_pedida &gt; ISNULL(stk.stock_real, 0)</w:t>
              <w:br/>
              <w:t xml:space="preserve">            FOR XML PATH('')</w:t>
              <w:br/>
              <w:t xml:space="preserve">        ), 1, 1, '');</w:t>
              <w:br/>
              <w:br/>
              <w:t xml:space="preserve">        IF @errores_stock IS NOT NULL AND LEN(@errores_stock) &gt; 0</w:t>
              <w:br/>
              <w:t xml:space="preserve">        BEGIN</w:t>
              <w:br/>
              <w:t xml:space="preserve">            SELECT 0 AS success, </w:t>
              <w:br/>
              <w:t xml:space="preserve">                   'Stock insuficiente para los siguientes artículos:' + @errores_stock AS message,</w:t>
              <w:br/>
              <w:t xml:space="preserve">                   NULL AS mov_id_salida, NULL AS vale_salida, NULL AS mov_id_ingreso, NULL AS vale_ingreso;</w:t>
              <w:br/>
              <w:t xml:space="preserve">            RETURN;</w:t>
              <w:br/>
              <w:t xml:space="preserve">        END</w:t>
              <w:br/>
              <w:br/>
              <w:t xml:space="preserve">        -- =============================================</w:t>
              <w:br/>
              <w:t xml:space="preserve">        -- 4. INICIO DE TRANSACCIÓN ATÓMICA</w:t>
              <w:br/>
              <w:t xml:space="preserve">        -- =============================================</w:t>
              <w:br/>
              <w:t xml:space="preserve">        BEGIN TRANSACTION;</w:t>
              <w:br/>
              <w:br/>
              <w:t xml:space="preserve">        -- 4.1. Generación de Correlativo: SALIDA (Almacén Origen con UPDLOCK)</w:t>
              <w:br/>
              <w:t xml:space="preserve">        DECLARE @num_salida int;</w:t>
              <w:br/>
              <w:t xml:space="preserve">        MERGE mae_correlativo WITH (UPDLOCK) AS target</w:t>
              <w:br/>
              <w:t xml:space="preserve">        USING (SELECT @emp_codigo AS emp, @alm_origen AS alm, 'MOV' AS tipo, @anho_actual AS anho) AS source</w:t>
              <w:br/>
              <w:t xml:space="preserve">        ON target.emp_codigo = source.emp AND target.alm_codigo = source.alm </w:t>
              <w:br/>
              <w:t xml:space="preserve">           AND target.cor_tipo = source.tipo AND target.cor_anho = source.anho</w:t>
              <w:br/>
              <w:t xml:space="preserve">        WHEN MATCHED THEN</w:t>
              <w:br/>
              <w:t xml:space="preserve">            UPDATE SET cor_numero = RIGHT('0000000' + CAST(CAST(LTRIM(RTRIM(target.cor_numero)) AS INT) + 1 AS VARCHAR(7)), 7)</w:t>
              <w:br/>
              <w:t xml:space="preserve">        WHEN NOT MATCHED THEN</w:t>
              <w:br/>
              <w:t xml:space="preserve">            INSERT (emp_codigo, suc_codigo, alm_codigo, cor_tipo, cor_anho, cor_nmes, cor_serie, cor_numero, cor_desde, cor_hasta)</w:t>
              <w:br/>
              <w:t xml:space="preserve">            VALUES (source.emp, '   ', source.alm, source.tipo, source.anho, '  ', '   ', '0000001', '       ', '       ');</w:t>
              <w:br/>
              <w:br/>
              <w:t xml:space="preserve">        SELECT @num_salida = CAST(LTRIM(RTRIM(cor_numero)) AS INT)</w:t>
              <w:br/>
              <w:t xml:space="preserve">        FROM mae_correlativo </w:t>
              <w:br/>
              <w:t xml:space="preserve">        WHERE emp_codigo = @emp_codigo AND alm_codigo = @alm_origen</w:t>
              <w:br/>
              <w:t xml:space="preserve">          AND cor_tipo = 'MOV' AND cor_anho = @anho_actual;</w:t>
              <w:br/>
              <w:br/>
              <w:t xml:space="preserve">        DECLARE @mov_codigo_salida char(7) = RIGHT('0000000' + CAST(@num_salida AS VARCHAR(7)), 7);</w:t>
              <w:br/>
              <w:t xml:space="preserve">        DECLARE @mov_id_salida char(10) = @anho_2dig + @alm_origen + RIGHT('00000' + CAST(@num_salida AS VARCHAR(5)), 5);</w:t>
              <w:br/>
              <w:br/>
              <w:t xml:space="preserve">        -- 4.2. Generación de Correlativo: INGRESO (Almacén Destino con UPDLOCK)</w:t>
              <w:br/>
              <w:t xml:space="preserve">        DECLARE @num_ingreso int;</w:t>
              <w:br/>
              <w:t xml:space="preserve">        MERGE mae_correlativo WITH (UPDLOCK) AS target</w:t>
              <w:br/>
              <w:t xml:space="preserve">        USING (SELECT @emp_codigo AS emp, @alm_destino AS alm, 'MOV' AS tipo, @anho_actual AS anho) AS source</w:t>
              <w:br/>
              <w:t xml:space="preserve">        ON target.emp_codigo = source.emp AND target.alm_codigo = source.alm </w:t>
              <w:br/>
              <w:t xml:space="preserve">           AND target.cor_tipo = source.tipo AND target.cor_anho = source.anho</w:t>
              <w:br/>
              <w:t xml:space="preserve">        WHEN MATCHED THEN</w:t>
              <w:br/>
              <w:t xml:space="preserve">            UPDATE SET cor_numero = RIGHT('0000000' + CAST(CAST(LTRIM(RTRIM(target.cor_numero)) AS INT) + 1 AS VARCHAR(7)), 7)</w:t>
              <w:br/>
              <w:t xml:space="preserve">        WHEN NOT MATCHED THEN</w:t>
              <w:br/>
              <w:t xml:space="preserve">            INSERT (emp_codigo, suc_codigo, alm_codigo, cor_tipo, cor_anho, cor_nmes, cor_serie, cor_numero, cor_desde, cor_hasta)</w:t>
              <w:br/>
              <w:t xml:space="preserve">            VALUES (source.emp, '   ', source.alm, source.tipo, source.anho, '  ', '   ', '0000001', '       ', '       ');</w:t>
              <w:br/>
              <w:br/>
              <w:t xml:space="preserve">        SELECT @num_ingreso = CAST(LTRIM(RTRIM(cor_numero)) AS INT)</w:t>
              <w:br/>
              <w:t xml:space="preserve">        FROM mae_correlativo </w:t>
              <w:br/>
              <w:t xml:space="preserve">        WHERE emp_codigo = @emp_codigo AND alm_codigo = @alm_destino</w:t>
              <w:br/>
              <w:t xml:space="preserve">          AND cor_tipo = 'MOV' AND cor_anho = @anho_actual;</w:t>
              <w:br/>
              <w:br/>
              <w:t xml:space="preserve">        DECLARE @mov_codigo_ingreso char(7) = RIGHT('0000000' + CAST(@num_ingreso AS VARCHAR(7)), 7);</w:t>
              <w:br/>
              <w:t xml:space="preserve">        DECLARE @mov_id_ingreso char(10) = @anho_2dig + @alm_destino + RIGHT('00000' + CAST(@num_ingreso AS VARCHAR(5)), 5);</w:t>
              <w:br/>
              <w:br/>
              <w:t xml:space="preserve">        -- =============================================</w:t>
              <w:br/>
              <w:t xml:space="preserve">        -- 5. INSERCIÓN DE CABECERAS (log_cabmov)</w:t>
              <w:br/>
              <w:t xml:space="preserve">        -- =============================================</w:t>
              <w:br/>
              <w:t xml:space="preserve">        -- Cabecera Salida (102)</w:t>
              <w:br/>
              <w:t xml:space="preserve">        INSERT INTO log_cabmov (</w:t>
              <w:br/>
              <w:t xml:space="preserve">            emp_codigo, mov_id, suc_codigo, alm_codigo, mov_codigo, cli_codigo, cls_codigo, cca_codigo, mov_tipo, mov_anho,</w:t>
              <w:br/>
              <w:t xml:space="preserve">            mov_nmes, tmo_codigo, mov_fecemi, mov_fectras, mov_fecreg, ord_id, opr_id, mov_tpdoc, mov_serdoc, mov_nrodoc,</w:t>
              <w:br/>
              <w:t xml:space="preserve">            mov_fserdoc, mov_fnrodoc, mov_indgre, codtrans, veh_placa, cho_codigo, mov_lugent, mov_glosa, mov_print, mov_flag,</w:t>
              <w:br/>
              <w:t xml:space="preserve">            id_venta, cde_numdes, mov_inddev, mov_rectra, mov_indtra, mov_indcod, mov_idref, mre_codigo, mov_almdes, dsp_id,</w:t>
              <w:br/>
              <w:t xml:space="preserve">            mov_indrnd, mov_indave, prv_codigo, mov_indsor, mov_indcom, mov_indapc, mov_dspspe, ncompra, user_, date,</w:t>
              <w:br/>
              <w:t xml:space="preserve">            time, mov_indrdl, mov_indavc, edp_codigo, acc_id, numped, cco_codigo, rpr_codigo, req_id, mov_anufac,</w:t>
              <w:br/>
              <w:t xml:space="preserve">            mov_movapr, mov_reqapr, mov_deplen, mov_pvnlen, mov_dislen, pca_numero, mov_proser, mov_prodoc, mov_proimp, prp_codigo,</w:t>
              <w:br/>
              <w:t xml:space="preserve">            etp_codigo, user_imp, date_imp, time_imp, user_anu, date_anu, time_anu, ordcli, pesaje, transp,</w:t>
              <w:br/>
              <w:t xml:space="preserve">            ructrans, licencia, placa, unidad, const_ins, cho_nombre, dni, envio_sunat, transporte, nro_bultos,</w:t>
              <w:br/>
              <w:t xml:space="preserve">            peso_bruto, respuesta_nubefact, cvt_codigo, observa, destino, ruc_destino, factor_imp, mon_codigo</w:t>
              <w:br/>
              <w:t xml:space="preserve">        ) VALUES (</w:t>
              <w:br/>
              <w:t xml:space="preserve">            @emp_codigo, @mov_id_salida, @suc_codigo, @alm_origen, @mov_codigo_salida, '000001', '', '', 'S', @anho_actual,</w:t>
              <w:br/>
              <w:t xml:space="preserve">            @mes_actual, '102', @fec_emi, @fec_emi, '19000101', '', '', '-', '', '',</w:t>
              <w:br/>
              <w:t xml:space="preserve">            '', '', 0, '', '', '', '', @glosa, 0, ' ',</w:t>
              <w:br/>
              <w:t xml:space="preserve">            '', '', 0, 0, 1, 0, @mov_id_ingreso, '', @alm_destino, '',</w:t>
              <w:br/>
              <w:t xml:space="preserve">            0, 0, '', 0, 0, 0, 0, '', @usuario, GETDATE(),</w:t>
              <w:br/>
              <w:t xml:space="preserve">            CONVERT(VARCHAR(8), GETDATE(), 108), 0, 0, '', '', '', '', '', '', 0,</w:t>
              <w:br/>
              <w:t xml:space="preserve">            0, 0, '', '', '', '', '', '', 0, '',</w:t>
              <w:br/>
              <w:t xml:space="preserve">            '', '', '19000101', '', '', '19000101', '', '', '', '',</w:t>
              <w:br/>
              <w:t xml:space="preserve">            '', '', '', '', '', '', '', '', '', 0,</w:t>
              <w:br/>
              <w:t xml:space="preserve">            0.00, '', '', '', '', '', 0.00, ''</w:t>
              <w:br/>
              <w:t xml:space="preserve">        );</w:t>
              <w:br/>
              <w:br/>
              <w:t xml:space="preserve">        -- Cabecera Ingreso (023)</w:t>
              <w:br/>
              <w:t xml:space="preserve">        INSERT INTO log_cabmov (</w:t>
              <w:br/>
              <w:t xml:space="preserve">            emp_codigo, mov_id, suc_codigo, alm_codigo, mov_codigo, cli_codigo, cls_codigo, cca_codigo, mov_tipo, mov_anho,</w:t>
              <w:br/>
              <w:t xml:space="preserve">            mov_nmes, tmo_codigo, mov_fecemi, mov_fectras, mov_fecreg, ord_id, opr_id, mov_tpdoc, mov_serdoc, mov_nrodoc,</w:t>
              <w:br/>
              <w:t xml:space="preserve">            mov_fserdoc, mov_fnrodoc, mov_indgre, codtrans, veh_placa, cho_codigo, mov_lugent, mov_glosa, mov_print, mov_flag,</w:t>
              <w:br/>
              <w:t xml:space="preserve">            id_venta, cde_numdes, mov_inddev, mov_rectra, mov_indtra, mov_indcod, mov_idref, mre_codigo, mov_almdes, dsp_id,</w:t>
              <w:br/>
              <w:t xml:space="preserve">            mov_indrnd, mov_indave, prv_codigo, mov_indsor, mov_indcom, mov_indapc, mov_dspspe, ncompra, user_, date,</w:t>
              <w:br/>
              <w:t xml:space="preserve">            time, mov_indrdl, mov_indavc, edp_codigo, acc_id, numped, cco_codigo, rpr_codigo, req_id, mov_anufac,</w:t>
              <w:br/>
              <w:t xml:space="preserve">            mov_movapr, mov_reqapr, mov_deplen, mov_pvnlen, mov_dislen, pca_numero, mov_proser, mov_prodoc, mov_proimp, prp_codigo,</w:t>
              <w:br/>
              <w:t xml:space="preserve">            etp_codigo, user_imp, date_imp, time_imp, user_anu, date_anu, time_anu, ordcli, pesaje, transp,</w:t>
              <w:br/>
              <w:t xml:space="preserve">            ructrans, licencia, placa, unidad, const_ins, cho_nombre, dni, envio_sunat, transporte, nro_bultos,</w:t>
              <w:br/>
              <w:t xml:space="preserve">            peso_bruto, respuesta_nubefact, cvt_codigo, observa, destino, ruc_destino, factor_imp, mon_codigo</w:t>
              <w:br/>
              <w:t xml:space="preserve">        ) VALUES (</w:t>
              <w:br/>
              <w:t xml:space="preserve">            @emp_codigo, @mov_id_ingreso, @suc_codigo, @alm_destino, @mov_codigo_ingreso, '000001', '', '', 'I', @anho_actual,</w:t>
              <w:br/>
              <w:t xml:space="preserve">            @mes_actual, '023', @fec_emi, '19000101', '19000101', '', '', '-', '', '',</w:t>
              <w:br/>
              <w:t xml:space="preserve">            '', '', 0, '', '', '', '', @glosa, 0, ' ',</w:t>
              <w:br/>
              <w:t xml:space="preserve">            '', '', 0, 1, 1, 0, @mov_id_salida, '', @alm_origen, '',</w:t>
              <w:br/>
              <w:t xml:space="preserve">            0, 0, '', 0, 0, 0, 0, '', @usuario, GETDATE(),</w:t>
              <w:br/>
              <w:t xml:space="preserve">            CONVERT(VARCHAR(8), GETDATE(), 108), 0, 0, '', '', '', '', '', '', 0,</w:t>
              <w:br/>
              <w:t xml:space="preserve">            0, 0, '', '', '', '', '', '', 0, '',</w:t>
              <w:br/>
              <w:t xml:space="preserve">            '', '', '19000101', '', '', '19000101', '', '', '', '',</w:t>
              <w:br/>
              <w:t xml:space="preserve">            '', '', '', '', '', '', '', '', '', 0,</w:t>
              <w:br/>
              <w:t xml:space="preserve">            0.00, '', '', '', '', '', 0.00, ''</w:t>
              <w:br/>
              <w:t xml:space="preserve">        );</w:t>
              <w:br/>
              <w:br/>
              <w:t xml:space="preserve">        -- =============================================</w:t>
              <w:br/>
              <w:t xml:space="preserve">        -- 6. PREPARACIÓN E INSERCIÓN DE DETALLES (DRY)</w:t>
              <w:br/>
              <w:t xml:space="preserve">        -- =============================================</w:t>
              <w:br/>
              <w:t xml:space="preserve">        -- 6.1. Parsear JSON y buscar costos una sola vez en tabla temporal</w:t>
              <w:br/>
              <w:t xml:space="preserve">        SELECT </w:t>
              <w:br/>
              <w:t xml:space="preserve">            JSON_VALUE(item.value, '$.art_codigo') AS art_codigo,</w:t>
              <w:br/>
              <w:t xml:space="preserve">            JSON_VALUE(item.value, '$.art_nombre') AS art_nombre,</w:t>
              <w:br/>
              <w:t xml:space="preserve">            ISNULL(JSON_VALUE(item.value, '$.lot_codigo'), '') AS lot_codigo,</w:t>
              <w:br/>
              <w:t xml:space="preserve">            RIGHT('00' + CAST(CAST(item.[key] AS INT) AS VARCHAR(2)), 2) AS mov_item,</w:t>
              <w:br/>
              <w:t xml:space="preserve">            CAST(JSON_VALUE(item.value, '$.cantidad') AS DECIMAL(18, 3)) AS cantidad,</w:t>
              <w:br/>
              <w:t xml:space="preserve">            ISNULL(JSON_VALUE(item.value, '$.cco_codigo'), '') AS cco_codigo,</w:t>
              <w:br/>
              <w:t xml:space="preserve">            ISNULL(stk.costo_sol, 0.000) AS costo_sol,</w:t>
              <w:br/>
              <w:t xml:space="preserve">            ISNULL(stk.costo_dol, 0.000) AS costo_dol</w:t>
              <w:br/>
              <w:t xml:space="preserve">        INTO #TempDetalle</w:t>
              <w:br/>
              <w:t xml:space="preserve">        FROM OPENJSON(@detalles_json) AS item</w:t>
              <w:br/>
              <w:t xml:space="preserve">        OUTER APPLY (</w:t>
              <w:br/>
              <w:t xml:space="preserve">            SELECT TOP 1 stk_vfin AS costo_sol, stk_vfind AS costo_dol</w:t>
              <w:br/>
              <w:t xml:space="preserve">            FROM log_stkarticulo </w:t>
              <w:br/>
              <w:t xml:space="preserve">            WHERE emp_codigo = @emp_codigo </w:t>
              <w:br/>
              <w:t xml:space="preserve">              AND alm_codigo = @alm_origen </w:t>
              <w:br/>
              <w:t xml:space="preserve">              AND art_codigo = JSON_VALUE(item.value, '$.art_codigo')</w:t>
              <w:br/>
              <w:t xml:space="preserve">              AND stk_anho = @anho_actual </w:t>
              <w:br/>
              <w:t xml:space="preserve">              AND stk_nmes = @mes_actual</w:t>
              <w:br/>
              <w:t xml:space="preserve">            ORDER BY CASE WHEN lot_codigo = ISNULL(JSON_VALUE(item.value, '$.lot_codigo'), '') THEN 0 ELSE 1 END</w:t>
              <w:br/>
              <w:t xml:space="preserve">        ) stk;</w:t>
              <w:br/>
              <w:br/>
              <w:t xml:space="preserve">        -- 6.2. Insertar Detalle Salida</w:t>
              <w:br/>
              <w:t xml:space="preserve">        INSERT INTO log_detmov (</w:t>
              <w:br/>
              <w:t xml:space="preserve">            emp_codigo, mov_id, art_codigo, art_nombre, art_proceso, lot_codigo, art_codref,</w:t>
              <w:br/>
              <w:t xml:space="preserve">            mov_item, mov_ctdcom, mov_ctdmov, mov_cuni, mov_ctotal,</w:t>
              <w:br/>
              <w:t xml:space="preserve">            mov_vuni, mov_vpro, mov_vmov, mov_vcom, </w:t>
              <w:br/>
              <w:t xml:space="preserve">            mov_vunid, mov_vprod, mov_vmovd,</w:t>
              <w:br/>
              <w:t xml:space="preserve">            mov_indcla, mov_indbon, mov_indnc, mov_idnota, mov_vaso, mov_artbon,</w:t>
              <w:br/>
              <w:t xml:space="preserve">            no_ord_tra, mov_sec, kilos, mov_detalle, bobinas, metros, paquetes, millares, merma,</w:t>
              <w:br/>
              <w:t xml:space="preserve">            f_fab, f_ven, cco_codigo</w:t>
              <w:br/>
              <w:t xml:space="preserve">        )</w:t>
              <w:br/>
              <w:t xml:space="preserve">        SELECT </w:t>
              <w:br/>
              <w:t xml:space="preserve">            @emp_codigo, @mov_id_salida, art_codigo, art_nombre, '', lot_codigo, '',</w:t>
              <w:br/>
              <w:t xml:space="preserve">            mov_item, 0.000, cantidad, 0.000, 0.000,</w:t>
              <w:br/>
              <w:t xml:space="preserve">            costo_sol, costo_sol, costo_sol, 0.000,</w:t>
              <w:br/>
              <w:t xml:space="preserve">            costo_dol, costo_dol, costo_dol,</w:t>
              <w:br/>
              <w:t xml:space="preserve">            0, 0, 0, '', 0, '',</w:t>
              <w:br/>
              <w:t xml:space="preserve">            '', '', 0.000, '', 0.000, 0.00, 0, 0.000, 0.00,</w:t>
              <w:br/>
              <w:t xml:space="preserve">            '19000101', '19000101', cco_codigo</w:t>
              <w:br/>
              <w:t xml:space="preserve">        FROM #TempDetalle;</w:t>
              <w:br/>
              <w:br/>
              <w:t xml:space="preserve">        -- 6.3. Insertar Detalle Ingreso (usando los mismos datos temporales)</w:t>
              <w:br/>
              <w:t xml:space="preserve">        INSERT INTO log_detmov (</w:t>
              <w:br/>
              <w:t xml:space="preserve">            emp_codigo, mov_id, art_codigo, art_nombre, art_proceso, lot_codigo, art_codref,</w:t>
              <w:br/>
              <w:t xml:space="preserve">            mov_item, mov_ctdcom, mov_ctdmov, mov_cuni, mov_ctotal,</w:t>
              <w:br/>
              <w:t xml:space="preserve">            mov_vuni, mov_vpro, mov_vmov, mov_vcom, </w:t>
              <w:br/>
              <w:t xml:space="preserve">            mov_vunid, mov_vprod, mov_vmovd,</w:t>
              <w:br/>
              <w:t xml:space="preserve">            mov_indcla, mov_indbon, mov_indnc, mov_idnota, mov_vaso, mov_artbon,</w:t>
              <w:br/>
              <w:t xml:space="preserve">            no_ord_tra, mov_sec, kilos, mov_detalle, bobinas, metros, paquetes, millares, merma,</w:t>
              <w:br/>
              <w:t xml:space="preserve">            f_fab, f_ven, cco_codigo</w:t>
              <w:br/>
              <w:t xml:space="preserve">        )</w:t>
              <w:br/>
              <w:t xml:space="preserve">        SELECT </w:t>
              <w:br/>
              <w:t xml:space="preserve">            @emp_codigo, @mov_id_ingreso, art_codigo, art_nombre, '', lot_codigo, '',</w:t>
              <w:br/>
              <w:t xml:space="preserve">            mov_item, 0.000, cantidad, 0.000, 0.000,</w:t>
              <w:br/>
              <w:t xml:space="preserve">            costo_sol, costo_sol, costo_sol, 0.000,</w:t>
              <w:br/>
              <w:t xml:space="preserve">            costo_dol, costo_dol, costo_dol,</w:t>
              <w:br/>
              <w:t xml:space="preserve">            0, 0, 0, '', 0, '',</w:t>
              <w:br/>
              <w:t xml:space="preserve">            '', '', 0.000, '', 0.000, 0.00, 0, 0.000, 0.00,</w:t>
              <w:br/>
              <w:t xml:space="preserve">            '19000101', '19000101', cco_codigo</w:t>
              <w:br/>
              <w:t xml:space="preserve">        FROM #TempDetalle;</w:t>
              <w:br/>
              <w:br/>
              <w:t xml:space="preserve">        -- Limpiar tabla temporal</w:t>
              <w:br/>
              <w:t xml:space="preserve">        DROP TABLE #TempDetalle;</w:t>
              <w:br/>
              <w:br/>
              <w:t xml:space="preserve">        -- =============================================</w:t>
              <w:br/>
              <w:t xml:space="preserve">        -- 7. COMMIT DE LA TRANSACCIÓN</w:t>
              <w:br/>
              <w:t xml:space="preserve">        -- =============================================</w:t>
              <w:br/>
              <w:t xml:space="preserve">        COMMIT TRANSACTION;</w:t>
              <w:br/>
              <w:br/>
              <w:t xml:space="preserve">        SELECT 1 AS success, 'Transferencia registrada correctamente' AS message,</w:t>
              <w:br/>
              <w:t xml:space="preserve">               @mov_id_salida AS mov_id_salida, @mov_codigo_salida AS vale_salida,</w:t>
              <w:br/>
              <w:t xml:space="preserve">               @mov_id_ingreso AS mov_id_ingreso, @mov_codigo_ingreso AS vale_ingreso;</w:t>
              <w:br/>
              <w:br/>
              <w:t xml:space="preserve">    END TRY</w:t>
              <w:br/>
              <w:t xml:space="preserve">    BEGIN CATCH</w:t>
              <w:br/>
              <w:t xml:space="preserve">        -- Asegurar el Rollback solo si hay una transacción activa</w:t>
              <w:br/>
              <w:t xml:space="preserve">        IF @@TRANCOUNT &gt; 0 </w:t>
              <w:br/>
              <w:t xml:space="preserve">            ROLLBACK TRANSACTION;</w:t>
              <w:br/>
              <w:t xml:space="preserve">            </w:t>
              <w:br/>
              <w:t xml:space="preserve">        -- Limpiar tabla temporal si falló durante su uso</w:t>
              <w:br/>
              <w:t xml:space="preserve">        IF OBJECT_ID('tempdb..#TempDetalle') IS NOT NULL</w:t>
              <w:br/>
              <w:t xml:space="preserve">            DROP TABLE #TempDetalle;</w:t>
              <w:br/>
              <w:br/>
              <w:t xml:space="preserve">        SELECT 0 AS success, ERROR_MESSAGE() AS message, </w:t>
              <w:br/>
              <w:t xml:space="preserve">               NULL AS mov_id_salida, NULL AS vale_salida, </w:t>
              <w:br/>
              <w:t xml:space="preserve">               NULL AS mov_id_ingreso, NULL AS vale_ingreso;</w:t>
              <w:br/>
              <w:t xml:space="preserve">    END CATCH</w:t>
              <w:br/>
              <w:t>END</w:t>
              <w:br/>
              <w:t>GO</w:t>
            </w:r>
          </w:p>
        </w:tc>
      </w:tr>
    </w:tbl>
    <w:p>
      <w:pPr>
        <w:spacing w:after="80"/>
      </w:pPr>
    </w:p>
    <w:p>
      <w:pPr>
        <w:keepNext/>
        <w:spacing w:before="360" w:after="160"/>
      </w:pPr>
      <w:r>
        <w:rPr>
          <w:rFonts w:ascii="Arial" w:hAnsi="Arial"/>
          <w:b/>
          <w:color w:val="003A6C"/>
          <w:sz w:val="32"/>
        </w:rPr>
        <w:t>5. Criptografía e Ingeniería Inversa (Contraseñas TECNOTEST)</w:t>
      </w:r>
    </w:p>
    <w:p>
      <w:pPr>
        <w:spacing w:after="120" w:line="276" w:lineRule="auto"/>
      </w:pPr>
      <w:r>
        <w:rPr>
          <w:rFonts w:ascii="Arial" w:hAnsi="Arial"/>
          <w:b w:val="0"/>
          <w:i w:val="0"/>
          <w:color w:val="1E293B"/>
          <w:sz w:val="20"/>
        </w:rPr>
        <w:t>Ubicación: backend/config/seguridad.php</w:t>
      </w:r>
    </w:p>
    <w:p>
      <w:pPr>
        <w:spacing w:after="120" w:line="276" w:lineRule="auto"/>
      </w:pPr>
      <w:r>
        <w:rPr>
          <w:rFonts w:ascii="Arial" w:hAnsi="Arial"/>
          <w:b w:val="0"/>
          <w:i w:val="0"/>
          <w:color w:val="1E293B"/>
          <w:sz w:val="20"/>
        </w:rPr>
        <w:t>La tabla adm_usuario del sistema ERP de escritorio almacena las claves en formato binario bajo una codificación propietaria. Al no existir documentación técnica, se realizó un proceso de ingeniería inversa con reconocimiento de patrones y análisis de muestras controladas.</w:t>
      </w:r>
    </w:p>
    <w:p>
      <w:pPr>
        <w:keepNext/>
        <w:spacing w:before="280" w:after="120"/>
      </w:pPr>
      <w:r>
        <w:rPr>
          <w:rFonts w:ascii="Arial" w:hAnsi="Arial"/>
          <w:b/>
          <w:color w:val="0D9488"/>
          <w:sz w:val="26"/>
        </w:rPr>
        <w:t>5.1. Algoritmo Cifrado César Dinámico por Desplazamiento de Bytes</w:t>
      </w:r>
    </w:p>
    <w:p>
      <w:pPr>
        <w:spacing w:after="120" w:line="276" w:lineRule="auto"/>
      </w:pPr>
      <w:r>
        <w:rPr>
          <w:rFonts w:ascii="Arial" w:hAnsi="Arial"/>
          <w:b w:val="0"/>
          <w:i w:val="0"/>
          <w:color w:val="1E293B"/>
          <w:sz w:val="20"/>
        </w:rPr>
        <w:t>Se descubrió que la codificación opera sobre el juego de caracteres Windows-1252 (CP1252) y calcula un desplazamiento dinámico a partir del primer carácter:</w:t>
      </w:r>
    </w:p>
    <w:p>
      <w:pPr>
        <w:pStyle w:val="ListBullet"/>
        <w:spacing w:after="80" w:line="276" w:lineRule="auto"/>
      </w:pPr>
      <w:r>
        <w:rPr>
          <w:rFonts w:ascii="Arial" w:hAnsi="Arial"/>
          <w:b/>
          <w:color w:val="1E293B"/>
          <w:sz w:val="19"/>
        </w:rPr>
        <w:t>1. Desplazamiento Base (Shift):</w:t>
      </w:r>
      <w:r>
        <w:rPr>
          <w:rFonts w:ascii="Arial" w:hAnsi="Arial"/>
          <w:color w:val="1E293B"/>
          <w:sz w:val="19"/>
        </w:rPr>
        <w:t xml:space="preserve"> shift = floor(ord(primer_byte) / 2)</w:t>
      </w:r>
    </w:p>
    <w:p>
      <w:pPr>
        <w:pStyle w:val="ListBullet"/>
        <w:spacing w:after="80" w:line="276" w:lineRule="auto"/>
      </w:pPr>
      <w:r>
        <w:rPr>
          <w:rFonts w:ascii="Arial" w:hAnsi="Arial"/>
          <w:b/>
          <w:color w:val="1E293B"/>
          <w:sz w:val="19"/>
        </w:rPr>
        <w:t>2. Transformación Byte a Byte:</w:t>
      </w:r>
      <w:r>
        <w:rPr>
          <w:rFonts w:ascii="Arial" w:hAnsi="Arial"/>
          <w:color w:val="1E293B"/>
          <w:sz w:val="19"/>
        </w:rPr>
        <w:t xml:space="preserve"> byte_codificado = (byte_original + shift) mod 256</w:t>
      </w:r>
    </w:p>
    <w:p>
      <w:pPr>
        <w:keepNext/>
        <w:spacing w:before="280" w:after="120"/>
      </w:pPr>
      <w:r>
        <w:rPr>
          <w:rFonts w:ascii="Arial" w:hAnsi="Arial"/>
          <w:b/>
          <w:color w:val="0D9488"/>
          <w:sz w:val="26"/>
        </w:rPr>
        <w:t>5.2. Código PHP del Módulo de Seguridad</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&lt;?php</w:t>
              <w:br/>
              <w:t>function encodePassword($text) {</w:t>
              <w:br/>
              <w:t xml:space="preserve">    if ($text === '' || $text === null) return '';</w:t>
              <w:br/>
              <w:t xml:space="preserve">    $raw = mb_convert_encoding($text, 'Windows-1252', 'UTF-8');</w:t>
              <w:br/>
              <w:t xml:space="preserve">    $len = strlen($raw);</w:t>
              <w:br/>
              <w:t xml:space="preserve">    if ($len === 0) return '';</w:t>
              <w:br/>
              <w:t xml:space="preserve">    </w:t>
              <w:br/>
              <w:t xml:space="preserve">    $firstByte = ord($raw[0]);</w:t>
              <w:br/>
              <w:t xml:space="preserve">    $shift = intdiv($firstByte, 2);</w:t>
              <w:br/>
              <w:t xml:space="preserve">    </w:t>
              <w:br/>
              <w:t xml:space="preserve">    $encoded = '';</w:t>
              <w:br/>
              <w:t xml:space="preserve">    for ($i = 0; $i &lt; $len; $i++) {</w:t>
              <w:br/>
              <w:t xml:space="preserve">        $b = ord($raw[$i]);</w:t>
              <w:br/>
              <w:t xml:space="preserve">        $encoded .= chr(($b + $shift) % 256);</w:t>
              <w:br/>
              <w:t xml:space="preserve">    }</w:t>
              <w:br/>
              <w:t xml:space="preserve">    return $encoded;</w:t>
              <w:br/>
              <w:t>}</w:t>
              <w:br/>
              <w:br/>
              <w:t>function verifyPassword($plainPassword, $storedPassword) {</w:t>
              <w:br/>
              <w:t xml:space="preserve">    $dbClaveRaw = rtrim((string)$storedPassword);</w:t>
              <w:br/>
              <w:t xml:space="preserve">    $inputClaveRaw = encodePassword($plainPassword);</w:t>
              <w:br/>
              <w:t xml:space="preserve">    $inputClaveUtf8 = mb_convert_encoding($inputClaveRaw, 'UTF-8', 'Windows-1252');</w:t>
              <w:br/>
              <w:t xml:space="preserve">    return ($dbClaveRaw === $inputClaveRaw || $dbClaveRaw === $inputClaveUtf8);</w:t>
              <w:br/>
              <w:t>}</w:t>
              <w:br/>
              <w:t>?&gt;</w:t>
            </w:r>
          </w:p>
        </w:tc>
      </w:tr>
    </w:tbl>
    <w:p>
      <w:pPr>
        <w:spacing w:after="80"/>
      </w:pPr>
    </w:p>
    <w:p>
      <w:pPr>
        <w:keepNext/>
        <w:spacing w:before="360" w:after="160"/>
      </w:pPr>
      <w:r>
        <w:rPr>
          <w:rFonts w:ascii="Arial" w:hAnsi="Arial"/>
          <w:b/>
          <w:color w:val="003A6C"/>
          <w:sz w:val="32"/>
        </w:rPr>
        <w:t>6. Backend: Configuración y Micro-Endpoints REST</w:t>
      </w:r>
    </w:p>
    <w:p>
      <w:pPr>
        <w:spacing w:after="120" w:line="276" w:lineRule="auto"/>
      </w:pPr>
      <w:r>
        <w:rPr>
          <w:rFonts w:ascii="Arial" w:hAnsi="Arial"/>
          <w:b w:val="0"/>
          <w:i w:val="0"/>
          <w:color w:val="1E293B"/>
          <w:sz w:val="20"/>
        </w:rPr>
        <w:t>El backend está implementado en PHP 8.2 modular con respuestas estrictas en formato JSON:</w:t>
      </w:r>
    </w:p>
    <w:p>
      <w:pPr>
        <w:keepNext/>
        <w:spacing w:before="280" w:after="120"/>
      </w:pPr>
      <w:r>
        <w:rPr>
          <w:rFonts w:ascii="Arial" w:hAnsi="Arial"/>
          <w:b/>
          <w:color w:val="0D9488"/>
          <w:sz w:val="26"/>
        </w:rPr>
        <w:t>6.1. Servidor Web y .htaccess</w:t>
      </w:r>
    </w:p>
    <w:p>
      <w:pPr>
        <w:spacing w:after="120" w:line="276" w:lineRule="auto"/>
      </w:pPr>
      <w:r>
        <w:rPr>
          <w:rFonts w:ascii="Arial" w:hAnsi="Arial"/>
          <w:b w:val="0"/>
          <w:i w:val="0"/>
          <w:color w:val="1E293B"/>
          <w:sz w:val="20"/>
        </w:rPr>
        <w:t>El archivo backend/.htaccess asegura la compatibilidad CORS y el paso de cabeceras: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&lt;IfModule mod_headers.c&gt;</w:t>
              <w:br/>
              <w:t xml:space="preserve">    Header setifempty Access-Control-Allow-Origin "*"</w:t>
              <w:br/>
              <w:t xml:space="preserve">    Header setifempty Access-Control-Allow-Methods "GET, POST, PUT, DELETE, OPTIONS"</w:t>
              <w:br/>
              <w:t xml:space="preserve">    Header setifempty Access-Control-Allow-Headers "Content-Type, Authorization, X-Requested-With"</w:t>
              <w:br/>
              <w:t>&lt;/IfModule&gt;</w:t>
            </w:r>
          </w:p>
        </w:tc>
      </w:tr>
    </w:tbl>
    <w:p>
      <w:pPr>
        <w:spacing w:after="80"/>
      </w:pPr>
    </w:p>
    <w:p>
      <w:pPr>
        <w:keepNext/>
        <w:spacing w:before="280" w:after="120"/>
      </w:pPr>
      <w:r>
        <w:rPr>
          <w:rFonts w:ascii="Arial" w:hAnsi="Arial"/>
          <w:b/>
          <w:color w:val="0D9488"/>
          <w:sz w:val="26"/>
        </w:rPr>
        <w:t>6.2. Catálogo de Endpoints de la API</w:t>
      </w:r>
    </w:p>
    <w:p>
      <w:pPr>
        <w:pStyle w:val="ListBullet"/>
        <w:spacing w:after="80" w:line="276" w:lineRule="auto"/>
      </w:pPr>
      <w:r>
        <w:rPr>
          <w:rFonts w:ascii="Arial" w:hAnsi="Arial"/>
          <w:b/>
          <w:color w:val="1E293B"/>
          <w:sz w:val="19"/>
        </w:rPr>
        <w:t>POST /api/auth/login.php:</w:t>
      </w:r>
      <w:r>
        <w:rPr>
          <w:rFonts w:ascii="Arial" w:hAnsi="Arial"/>
          <w:color w:val="1E293B"/>
          <w:sz w:val="19"/>
        </w:rPr>
        <w:t xml:space="preserve"> Autenticación de usuarios, validación de estado activo (usr_status = 1) y generación de token de sesión.</w:t>
      </w:r>
    </w:p>
    <w:p>
      <w:pPr>
        <w:pStyle w:val="ListBullet"/>
        <w:spacing w:after="80" w:line="276" w:lineRule="auto"/>
      </w:pPr>
      <w:r>
        <w:rPr>
          <w:rFonts w:ascii="Arial" w:hAnsi="Arial"/>
          <w:b/>
          <w:color w:val="1E293B"/>
          <w:sz w:val="19"/>
        </w:rPr>
        <w:t>GET /api/erp/movimientos.php:</w:t>
      </w:r>
      <w:r>
        <w:rPr>
          <w:rFonts w:ascii="Arial" w:hAnsi="Arial"/>
          <w:color w:val="1E293B"/>
          <w:sz w:val="19"/>
        </w:rPr>
        <w:t xml:space="preserve"> Listado paginado de notas de movimiento con filtros de almacén, año y mes.</w:t>
      </w:r>
    </w:p>
    <w:p>
      <w:pPr>
        <w:pStyle w:val="ListBullet"/>
        <w:spacing w:after="80" w:line="276" w:lineRule="auto"/>
      </w:pPr>
      <w:r>
        <w:rPr>
          <w:rFonts w:ascii="Arial" w:hAnsi="Arial"/>
          <w:b/>
          <w:color w:val="1E293B"/>
          <w:sz w:val="19"/>
        </w:rPr>
        <w:t>GET /api/erp/articulos.php:</w:t>
      </w:r>
      <w:r>
        <w:rPr>
          <w:rFonts w:ascii="Arial" w:hAnsi="Arial"/>
          <w:color w:val="1E293B"/>
          <w:sz w:val="19"/>
        </w:rPr>
        <w:t xml:space="preserve"> Catálogo y búsqueda paginada de artículos, consulta de lotes con saldo y stock en tiempo real mediante el SP [dbo].[stock_articulo].</w:t>
      </w:r>
    </w:p>
    <w:p>
      <w:pPr>
        <w:pStyle w:val="ListBullet"/>
        <w:spacing w:after="80" w:line="276" w:lineRule="auto"/>
      </w:pPr>
      <w:r>
        <w:rPr>
          <w:rFonts w:ascii="Arial" w:hAnsi="Arial"/>
          <w:b/>
          <w:color w:val="1E293B"/>
          <w:sz w:val="19"/>
        </w:rPr>
        <w:t>GET /api/erp/ccostos.php:</w:t>
      </w:r>
      <w:r>
        <w:rPr>
          <w:rFonts w:ascii="Arial" w:hAnsi="Arial"/>
          <w:color w:val="1E293B"/>
          <w:sz w:val="19"/>
        </w:rPr>
        <w:t xml:space="preserve"> Catálogo de centros de costos activos (mae_ccostomae).</w:t>
      </w:r>
    </w:p>
    <w:p>
      <w:pPr>
        <w:pStyle w:val="ListBullet"/>
        <w:spacing w:after="80" w:line="276" w:lineRule="auto"/>
      </w:pPr>
      <w:r>
        <w:rPr>
          <w:rFonts w:ascii="Arial" w:hAnsi="Arial"/>
          <w:b/>
          <w:color w:val="1E293B"/>
          <w:sz w:val="19"/>
        </w:rPr>
        <w:t>GET /api/erp/detalle.php:</w:t>
      </w:r>
      <w:r>
        <w:rPr>
          <w:rFonts w:ascii="Arial" w:hAnsi="Arial"/>
          <w:color w:val="1E293B"/>
          <w:sz w:val="19"/>
        </w:rPr>
        <w:t xml:space="preserve"> Detalle de artículos de un movimiento específico consultando log_detmov.</w:t>
      </w:r>
    </w:p>
    <w:p>
      <w:pPr>
        <w:pStyle w:val="ListBullet"/>
        <w:spacing w:after="80" w:line="276" w:lineRule="auto"/>
      </w:pPr>
      <w:r>
        <w:rPr>
          <w:rFonts w:ascii="Arial" w:hAnsi="Arial"/>
          <w:b/>
          <w:color w:val="1E293B"/>
          <w:sz w:val="19"/>
        </w:rPr>
        <w:t>POST /api/erp/transferencias.php:</w:t>
      </w:r>
      <w:r>
        <w:rPr>
          <w:rFonts w:ascii="Arial" w:hAnsi="Arial"/>
          <w:color w:val="1E293B"/>
          <w:sz w:val="19"/>
        </w:rPr>
        <w:t xml:space="preserve"> Recepción del payload JSON maestro-detalle y ejecución del procedimiento almacenado sp_registrar_transferencia_almacen.</w:t>
      </w:r>
    </w:p>
    <w:p>
      <w:pPr>
        <w:keepNext/>
        <w:spacing w:before="360" w:after="160"/>
      </w:pPr>
      <w:r>
        <w:rPr>
          <w:rFonts w:ascii="Arial" w:hAnsi="Arial"/>
          <w:b/>
          <w:color w:val="003A6C"/>
          <w:sz w:val="32"/>
        </w:rPr>
        <w:t>7. Frontend: Arquitectura Angular 22 y Seguridad</w:t>
      </w:r>
    </w:p>
    <w:p>
      <w:pPr>
        <w:keepNext/>
        <w:spacing w:before="280" w:after="120"/>
      </w:pPr>
      <w:r>
        <w:rPr>
          <w:rFonts w:ascii="Arial" w:hAnsi="Arial"/>
          <w:b/>
          <w:color w:val="0D9488"/>
          <w:sz w:val="26"/>
        </w:rPr>
        <w:t>7.1. Cifrado AES en Cliente (LocalStorage) y Environments</w:t>
      </w:r>
    </w:p>
    <w:p>
      <w:pPr>
        <w:spacing w:after="120" w:line="276" w:lineRule="auto"/>
      </w:pPr>
      <w:r>
        <w:rPr>
          <w:rFonts w:ascii="Arial" w:hAnsi="Arial"/>
          <w:b w:val="0"/>
          <w:i w:val="0"/>
          <w:color w:val="1E293B"/>
          <w:sz w:val="20"/>
        </w:rPr>
        <w:t>Ubicación: frontend/src/app/services/auth.service.ts y frontend/src/environments/environment.ts</w:t>
      </w:r>
    </w:p>
    <w:p>
      <w:pPr>
        <w:spacing w:after="120" w:line="276" w:lineRule="auto"/>
      </w:pPr>
      <w:r>
        <w:rPr>
          <w:rFonts w:ascii="Arial" w:hAnsi="Arial"/>
          <w:b w:val="0"/>
          <w:i w:val="0"/>
          <w:color w:val="1E293B"/>
          <w:sz w:val="20"/>
        </w:rPr>
        <w:t>Para mitigar el riesgo de manipulación de roles o datos de usuario desde las herramientas de desarrollador del navegador (DevTools), la información de sesión se almacena cifrada mediante el algoritmo simétrico AES de Crypto-JS con una llave secreta corporativa definida en el entorno:</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 Encriptación al iniciar sesión</w:t>
              <w:br/>
              <w:t>saveSession(user: User, token: string) {</w:t>
              <w:br/>
              <w:t xml:space="preserve">  const encryptedUser = CryptoJS.AES.encrypt(JSON.stringify(user), this.secretKey).toString();</w:t>
              <w:br/>
              <w:t xml:space="preserve">  localStorage.setItem('sigplast_user', encryptedUser);</w:t>
              <w:br/>
              <w:t xml:space="preserve">  localStorage.setItem('sigplast_token', token);</w:t>
              <w:br/>
              <w:t xml:space="preserve">  this.currentUser.set(user);</w:t>
              <w:br/>
              <w:t>}</w:t>
            </w:r>
          </w:p>
        </w:tc>
      </w:tr>
    </w:tbl>
    <w:p>
      <w:pPr>
        <w:spacing w:after="80"/>
      </w:pPr>
    </w:p>
    <w:p>
      <w:pPr>
        <w:keepNext/>
        <w:spacing w:before="280" w:after="120"/>
      </w:pPr>
      <w:r>
        <w:rPr>
          <w:rFonts w:ascii="Arial" w:hAnsi="Arial"/>
          <w:b/>
          <w:color w:val="0D9488"/>
          <w:sz w:val="26"/>
        </w:rPr>
        <w:t>7.2. Guards e Interceptor HTTP</w:t>
      </w:r>
    </w:p>
    <w:p>
      <w:pPr>
        <w:pStyle w:val="ListBullet"/>
        <w:spacing w:after="80" w:line="276" w:lineRule="auto"/>
      </w:pPr>
      <w:r>
        <w:rPr>
          <w:rFonts w:ascii="Arial" w:hAnsi="Arial"/>
          <w:b/>
          <w:color w:val="1E293B"/>
          <w:sz w:val="19"/>
        </w:rPr>
        <w:t>userGuard (auth.guard.ts):</w:t>
      </w:r>
      <w:r>
        <w:rPr>
          <w:rFonts w:ascii="Arial" w:hAnsi="Arial"/>
          <w:color w:val="1E293B"/>
          <w:sz w:val="19"/>
        </w:rPr>
        <w:t xml:space="preserve"> Protege las rutas privadas (/erp, /nuevo-registro). Si no hay sesión válida, redirige al usuario a /login.</w:t>
      </w:r>
    </w:p>
    <w:p>
      <w:pPr>
        <w:pStyle w:val="ListBullet"/>
        <w:spacing w:after="80" w:line="276" w:lineRule="auto"/>
      </w:pPr>
      <w:r>
        <w:rPr>
          <w:rFonts w:ascii="Arial" w:hAnsi="Arial"/>
          <w:b/>
          <w:color w:val="1E293B"/>
          <w:sz w:val="19"/>
        </w:rPr>
        <w:t>guestGuard (auth.guard.ts):</w:t>
      </w:r>
      <w:r>
        <w:rPr>
          <w:rFonts w:ascii="Arial" w:hAnsi="Arial"/>
          <w:color w:val="1E293B"/>
          <w:sz w:val="19"/>
        </w:rPr>
        <w:t xml:space="preserve"> Protege la ruta pública /login. Si el usuario ya está autenticado, lo redirige al panel /erp.</w:t>
      </w:r>
    </w:p>
    <w:p>
      <w:pPr>
        <w:pStyle w:val="ListBullet"/>
        <w:spacing w:after="80" w:line="276" w:lineRule="auto"/>
      </w:pPr>
      <w:r>
        <w:rPr>
          <w:rFonts w:ascii="Arial" w:hAnsi="Arial"/>
          <w:b/>
          <w:color w:val="1E293B"/>
          <w:sz w:val="19"/>
        </w:rPr>
        <w:t>authInterceptor (auth.interceptor.ts):</w:t>
      </w:r>
      <w:r>
        <w:rPr>
          <w:rFonts w:ascii="Arial" w:hAnsi="Arial"/>
          <w:color w:val="1E293B"/>
          <w:sz w:val="19"/>
        </w:rPr>
        <w:t xml:space="preserve"> Inyecta automáticamente la cabecera 'Authorization: Bearer &lt;token&gt;' en cada petición. Atrapa errores 401/403 mostrando alertas automáticas con SweetAlert2 y limpiando la sesión.</w:t>
      </w:r>
    </w:p>
    <w:p>
      <w:pPr>
        <w:keepNext/>
        <w:spacing w:before="280" w:after="120"/>
      </w:pPr>
      <w:r>
        <w:rPr>
          <w:rFonts w:ascii="Arial" w:hAnsi="Arial"/>
          <w:b/>
          <w:color w:val="0D9488"/>
          <w:sz w:val="26"/>
        </w:rPr>
        <w:t>7.3. Estructura de Componentes</w:t>
      </w:r>
    </w:p>
    <w:p>
      <w:pPr>
        <w:pStyle w:val="ListBullet"/>
        <w:spacing w:after="80" w:line="276" w:lineRule="auto"/>
      </w:pPr>
      <w:r>
        <w:rPr>
          <w:rFonts w:ascii="Arial" w:hAnsi="Arial"/>
          <w:b/>
          <w:color w:val="1E293B"/>
          <w:sz w:val="19"/>
        </w:rPr>
        <w:t>LoginComponent:</w:t>
      </w:r>
      <w:r>
        <w:rPr>
          <w:rFonts w:ascii="Arial" w:hAnsi="Arial"/>
          <w:color w:val="1E293B"/>
          <w:sz w:val="19"/>
        </w:rPr>
        <w:t xml:space="preserve"> Formulario de inicio de sesión con validación reactiva y alternancia de visualización de contraseña.</w:t>
      </w:r>
    </w:p>
    <w:p>
      <w:pPr>
        <w:pStyle w:val="ListBullet"/>
        <w:spacing w:after="80" w:line="276" w:lineRule="auto"/>
      </w:pPr>
      <w:r>
        <w:rPr>
          <w:rFonts w:ascii="Arial" w:hAnsi="Arial"/>
          <w:b/>
          <w:color w:val="1E293B"/>
          <w:sz w:val="19"/>
        </w:rPr>
        <w:t>MovimientosComponent:</w:t>
      </w:r>
      <w:r>
        <w:rPr>
          <w:rFonts w:ascii="Arial" w:hAnsi="Arial"/>
          <w:color w:val="1E293B"/>
          <w:sz w:val="19"/>
        </w:rPr>
        <w:t xml:space="preserve"> Bandeja principal con filtros de almacén/año/mes, paginación persistente y subtablas acordeón para ver el detalle de cada vale bajo demanda.</w:t>
      </w:r>
    </w:p>
    <w:p>
      <w:pPr>
        <w:pStyle w:val="ListBullet"/>
        <w:spacing w:after="80" w:line="276" w:lineRule="auto"/>
      </w:pPr>
      <w:r>
        <w:rPr>
          <w:rFonts w:ascii="Arial" w:hAnsi="Arial"/>
          <w:b/>
          <w:color w:val="1E293B"/>
          <w:sz w:val="19"/>
        </w:rPr>
        <w:t>NuevoRegistroComponent:</w:t>
      </w:r>
      <w:r>
        <w:rPr>
          <w:rFonts w:ascii="Arial" w:hAnsi="Arial"/>
          <w:color w:val="1E293B"/>
          <w:sz w:val="19"/>
        </w:rPr>
        <w:t xml:space="preserve"> Formulario maestro-detalle con escáner de código de barras, modal de búsqueda paginada de artículos con debounce (300ms), selector de lotes con saldo en tiempo real y asignación de centros de costo.</w:t>
      </w:r>
    </w:p>
    <w:p>
      <w:pPr>
        <w:pStyle w:val="ListBullet"/>
        <w:spacing w:after="80" w:line="276" w:lineRule="auto"/>
      </w:pPr>
      <w:r>
        <w:rPr>
          <w:rFonts w:ascii="Arial" w:hAnsi="Arial"/>
          <w:b/>
          <w:color w:val="1E293B"/>
          <w:sz w:val="19"/>
        </w:rPr>
        <w:t>NavbarComponent y SidebarComponent:</w:t>
      </w:r>
      <w:r>
        <w:rPr>
          <w:rFonts w:ascii="Arial" w:hAnsi="Arial"/>
          <w:color w:val="1E293B"/>
          <w:sz w:val="19"/>
        </w:rPr>
        <w:t xml:space="preserve"> Navegación lateral colapsable con cierre automático en dispositivos móviles y visualización de usuario activo.</w:t>
      </w:r>
    </w:p>
    <w:p>
      <w:pPr>
        <w:pStyle w:val="ListBullet"/>
        <w:spacing w:after="80" w:line="276" w:lineRule="auto"/>
      </w:pPr>
      <w:r>
        <w:rPr>
          <w:rFonts w:ascii="Arial" w:hAnsi="Arial"/>
          <w:b/>
          <w:color w:val="1E293B"/>
          <w:sz w:val="19"/>
        </w:rPr>
        <w:t>AccessibilityWidgetComponent:</w:t>
      </w:r>
      <w:r>
        <w:rPr>
          <w:rFonts w:ascii="Arial" w:hAnsi="Arial"/>
          <w:color w:val="1E293B"/>
          <w:sz w:val="19"/>
        </w:rPr>
        <w:t xml:space="preserve"> Panel flotante de control de accesibilidad universal.</w:t>
      </w:r>
    </w:p>
    <w:p>
      <w:pPr>
        <w:pStyle w:val="ListBullet"/>
        <w:spacing w:after="80" w:line="276" w:lineRule="auto"/>
      </w:pPr>
      <w:r>
        <w:rPr>
          <w:rFonts w:ascii="Arial" w:hAnsi="Arial"/>
          <w:b/>
          <w:color w:val="1E293B"/>
          <w:sz w:val="19"/>
        </w:rPr>
        <w:t>NotFoundComponent:</w:t>
      </w:r>
      <w:r>
        <w:rPr>
          <w:rFonts w:ascii="Arial" w:hAnsi="Arial"/>
          <w:color w:val="1E293B"/>
          <w:sz w:val="19"/>
        </w:rPr>
        <w:t xml:space="preserve"> Vista 404 para atrapar rutas inválidas con botón de retorno seguro.</w:t>
      </w:r>
    </w:p>
    <w:p>
      <w:pPr>
        <w:keepNext/>
        <w:spacing w:before="360" w:after="160"/>
      </w:pPr>
      <w:r>
        <w:rPr>
          <w:rFonts w:ascii="Arial" w:hAnsi="Arial"/>
          <w:b/>
          <w:color w:val="003A6C"/>
          <w:sz w:val="32"/>
        </w:rPr>
        <w:t>8. Accesibilidad Universal (A11Y) y Diseño Responsivo</w:t>
      </w:r>
    </w:p>
    <w:p>
      <w:pPr>
        <w:keepNext/>
        <w:spacing w:before="280" w:after="120"/>
      </w:pPr>
      <w:r>
        <w:rPr>
          <w:rFonts w:ascii="Arial" w:hAnsi="Arial"/>
          <w:b/>
          <w:color w:val="0D9488"/>
          <w:sz w:val="26"/>
        </w:rPr>
        <w:t>8.1. Funcionalidades de Accesibilidad</w:t>
      </w:r>
    </w:p>
    <w:p>
      <w:pPr>
        <w:pStyle w:val="ListBullet"/>
        <w:spacing w:after="80" w:line="276" w:lineRule="auto"/>
      </w:pPr>
      <w:r>
        <w:rPr>
          <w:rFonts w:ascii="Arial" w:hAnsi="Arial"/>
          <w:b/>
          <w:color w:val="1E293B"/>
          <w:sz w:val="19"/>
        </w:rPr>
        <w:t>Modo Dislexia:</w:t>
      </w:r>
      <w:r>
        <w:rPr>
          <w:rFonts w:ascii="Arial" w:hAnsi="Arial"/>
          <w:color w:val="1E293B"/>
          <w:sz w:val="19"/>
        </w:rPr>
        <w:t xml:space="preserve"> Aplica la fuente Google Font 'Lexend' con espaciado aumentado de letras (0.05em) y altura de línea 1.6.</w:t>
      </w:r>
    </w:p>
    <w:p>
      <w:pPr>
        <w:pStyle w:val="ListBullet"/>
        <w:spacing w:after="80" w:line="276" w:lineRule="auto"/>
      </w:pPr>
      <w:r>
        <w:rPr>
          <w:rFonts w:ascii="Arial" w:hAnsi="Arial"/>
          <w:b/>
          <w:color w:val="1E293B"/>
          <w:sz w:val="19"/>
        </w:rPr>
        <w:t>Filtros de Daltonismo:</w:t>
      </w:r>
      <w:r>
        <w:rPr>
          <w:rFonts w:ascii="Arial" w:hAnsi="Arial"/>
          <w:color w:val="1E293B"/>
          <w:sz w:val="19"/>
        </w:rPr>
        <w:t xml:space="preserve"> Filtros SVG integrados para Protanopía, Deuteranopía y Tritanopía.</w:t>
      </w:r>
    </w:p>
    <w:p>
      <w:pPr>
        <w:pStyle w:val="ListBullet"/>
        <w:spacing w:after="80" w:line="276" w:lineRule="auto"/>
      </w:pPr>
      <w:r>
        <w:rPr>
          <w:rFonts w:ascii="Arial" w:hAnsi="Arial"/>
          <w:b/>
          <w:color w:val="1E293B"/>
          <w:sz w:val="19"/>
        </w:rPr>
        <w:t>Modos de Contraste:</w:t>
      </w:r>
      <w:r>
        <w:rPr>
          <w:rFonts w:ascii="Arial" w:hAnsi="Arial"/>
          <w:color w:val="1E293B"/>
          <w:sz w:val="19"/>
        </w:rPr>
        <w:t xml:space="preserve"> Modo Monocromático (Escala de grises), Alto Contraste (150%) e Invertido.</w:t>
      </w:r>
    </w:p>
    <w:p>
      <w:pPr>
        <w:pStyle w:val="ListBullet"/>
        <w:spacing w:after="80" w:line="276" w:lineRule="auto"/>
      </w:pPr>
      <w:r>
        <w:rPr>
          <w:rFonts w:ascii="Arial" w:hAnsi="Arial"/>
          <w:b/>
          <w:color w:val="1E293B"/>
          <w:sz w:val="19"/>
        </w:rPr>
        <w:t>Escalado de Texto:</w:t>
      </w:r>
      <w:r>
        <w:rPr>
          <w:rFonts w:ascii="Arial" w:hAnsi="Arial"/>
          <w:color w:val="1E293B"/>
          <w:sz w:val="19"/>
        </w:rPr>
        <w:t xml:space="preserve"> Ajuste dinámico de tamaño de fuente (75%, 100%, 125%, 150%).</w:t>
      </w:r>
    </w:p>
    <w:p>
      <w:pPr>
        <w:pStyle w:val="ListBullet"/>
        <w:spacing w:after="80" w:line="276" w:lineRule="auto"/>
      </w:pPr>
      <w:r>
        <w:rPr>
          <w:rFonts w:ascii="Arial" w:hAnsi="Arial"/>
          <w:b/>
          <w:color w:val="1E293B"/>
          <w:sz w:val="19"/>
        </w:rPr>
        <w:t>Modo Noche (Dark Mode):</w:t>
      </w:r>
      <w:r>
        <w:rPr>
          <w:rFonts w:ascii="Arial" w:hAnsi="Arial"/>
          <w:color w:val="1E293B"/>
          <w:sz w:val="19"/>
        </w:rPr>
        <w:t xml:space="preserve"> Adaptación visual integral a paleta oscura (#0b1329) en todas las vistas, tablas, inputs, scrollbars y popups de SweetAlert2.</w:t>
      </w:r>
    </w:p>
    <w:p>
      <w:pPr>
        <w:keepNext/>
        <w:spacing w:before="280" w:after="120"/>
      </w:pPr>
      <w:r>
        <w:rPr>
          <w:rFonts w:ascii="Arial" w:hAnsi="Arial"/>
          <w:b/>
          <w:color w:val="0D9488"/>
          <w:sz w:val="26"/>
        </w:rPr>
        <w:t>8.2. Optimización para Móviles y Terminales Handhelds</w:t>
      </w:r>
    </w:p>
    <w:p>
      <w:pPr>
        <w:spacing w:after="120" w:line="276" w:lineRule="auto"/>
      </w:pPr>
      <w:r>
        <w:rPr>
          <w:rFonts w:ascii="Arial" w:hAnsi="Arial"/>
          <w:b w:val="0"/>
          <w:i w:val="0"/>
          <w:color w:val="1E293B"/>
          <w:sz w:val="20"/>
        </w:rPr>
        <w:t>Ubicación: frontend/src/styles.css</w:t>
      </w:r>
    </w:p>
    <w:p>
      <w:pPr>
        <w:spacing w:after="120" w:line="276" w:lineRule="auto"/>
      </w:pPr>
      <w:r>
        <w:rPr>
          <w:rFonts w:ascii="Arial" w:hAnsi="Arial"/>
          <w:b w:val="0"/>
          <w:i w:val="0"/>
          <w:color w:val="1E293B"/>
          <w:sz w:val="20"/>
        </w:rPr>
        <w:t>El sistema está optimizado para su uso en terminales colectoras de datos Android / Handhelds industriales:</w:t>
      </w:r>
    </w:p>
    <w:p>
      <w:pPr>
        <w:pStyle w:val="ListBullet"/>
        <w:spacing w:after="80" w:line="276" w:lineRule="auto"/>
      </w:pPr>
      <w:r>
        <w:rPr>
          <w:rFonts w:ascii="Arial" w:hAnsi="Arial"/>
          <w:b/>
          <w:color w:val="1E293B"/>
          <w:sz w:val="19"/>
        </w:rPr>
        <w:t>Prevención de Zoom Automático:</w:t>
      </w:r>
      <w:r>
        <w:rPr>
          <w:rFonts w:ascii="Arial" w:hAnsi="Arial"/>
          <w:color w:val="1E293B"/>
          <w:sz w:val="19"/>
        </w:rPr>
        <w:t xml:space="preserve"> Inputs calibrados a 13px en resoluciones menores a 640px para evitar que el navegador aplique zoom automático al enfocar campos.</w:t>
      </w:r>
    </w:p>
    <w:p>
      <w:pPr>
        <w:pStyle w:val="ListBullet"/>
        <w:spacing w:after="80" w:line="276" w:lineRule="auto"/>
      </w:pPr>
      <w:r>
        <w:rPr>
          <w:rFonts w:ascii="Arial" w:hAnsi="Arial"/>
          <w:b/>
          <w:color w:val="1E293B"/>
          <w:sz w:val="19"/>
        </w:rPr>
        <w:t>Desplazamiento Inercial:</w:t>
      </w:r>
      <w:r>
        <w:rPr>
          <w:rFonts w:ascii="Arial" w:hAnsi="Arial"/>
          <w:color w:val="1E293B"/>
          <w:sz w:val="19"/>
        </w:rPr>
        <w:t xml:space="preserve"> Clases .overflow-x-auto con -webkit-overflow-scrolling: touch para un scroll suave en pantallas táctiles.</w:t>
      </w:r>
    </w:p>
    <w:p>
      <w:pPr>
        <w:pStyle w:val="ListBullet"/>
        <w:spacing w:after="80" w:line="276" w:lineRule="auto"/>
      </w:pPr>
      <w:r>
        <w:rPr>
          <w:rFonts w:ascii="Arial" w:hAnsi="Arial"/>
          <w:b/>
          <w:color w:val="1E293B"/>
          <w:sz w:val="19"/>
        </w:rPr>
        <w:t>Zonas de Toque Ampliadas:</w:t>
      </w:r>
      <w:r>
        <w:rPr>
          <w:rFonts w:ascii="Arial" w:hAnsi="Arial"/>
          <w:color w:val="1E293B"/>
          <w:sz w:val="19"/>
        </w:rPr>
        <w:t xml:space="preserve"> Botones y controles con altura mínima de 44px para facilitar la interacción con guantes de trabajo.</w:t>
      </w:r>
    </w:p>
    <w:p>
      <w:r>
        <w:br w:type="page"/>
      </w:r>
    </w:p>
    <w:p>
      <w:pPr>
        <w:keepNext/>
        <w:spacing w:before="360" w:after="160"/>
      </w:pPr>
      <w:r>
        <w:rPr>
          <w:rFonts w:ascii="Arial" w:hAnsi="Arial"/>
          <w:b/>
          <w:color w:val="003A6C"/>
          <w:sz w:val="32"/>
        </w:rPr>
        <w:t>9. Manual de Usuario (Guía Paso a Paso)</w:t>
      </w:r>
    </w:p>
    <w:p>
      <w:pPr>
        <w:spacing w:after="120" w:line="276" w:lineRule="auto"/>
      </w:pPr>
      <w:r>
        <w:rPr>
          <w:rFonts w:ascii="Arial" w:hAnsi="Arial"/>
          <w:b w:val="0"/>
          <w:i w:val="0"/>
          <w:color w:val="1E293B"/>
          <w:sz w:val="20"/>
        </w:rPr>
        <w:t>Esta sección describe el uso operativo del sistema con espacios listos para incorporar las capturas de pantalla de la aplicación:</w:t>
      </w:r>
    </w:p>
    <w:p>
      <w:pPr>
        <w:keepNext/>
        <w:spacing w:before="280" w:after="120"/>
      </w:pPr>
      <w:r>
        <w:rPr>
          <w:rFonts w:ascii="Arial" w:hAnsi="Arial"/>
          <w:b/>
          <w:color w:val="0D9488"/>
          <w:sz w:val="26"/>
        </w:rPr>
        <w:t>9.1. Inicio de Sesión (Login)</w:t>
      </w:r>
    </w:p>
    <w:p>
      <w:pPr>
        <w:spacing w:after="120" w:line="276" w:lineRule="auto"/>
      </w:pPr>
      <w:r>
        <w:rPr>
          <w:rFonts w:ascii="Arial" w:hAnsi="Arial"/>
          <w:b w:val="0"/>
          <w:i w:val="0"/>
          <w:color w:val="1E293B"/>
          <w:sz w:val="20"/>
        </w:rPr>
        <w:t>1. Ingrese a la URL de la aplicación en el navegador.</w:t>
      </w:r>
    </w:p>
    <w:p>
      <w:pPr>
        <w:spacing w:after="120" w:line="276" w:lineRule="auto"/>
      </w:pPr>
      <w:r>
        <w:rPr>
          <w:rFonts w:ascii="Arial" w:hAnsi="Arial"/>
          <w:b w:val="0"/>
          <w:i w:val="0"/>
          <w:color w:val="1E293B"/>
          <w:sz w:val="20"/>
        </w:rPr>
        <w:t>2. Escriba su código de Usuario (ej. ADMINISTRA) y Contraseña corporativa.</w:t>
      </w:r>
    </w:p>
    <w:p>
      <w:pPr>
        <w:spacing w:after="120" w:line="276" w:lineRule="auto"/>
      </w:pPr>
      <w:r>
        <w:rPr>
          <w:rFonts w:ascii="Arial" w:hAnsi="Arial"/>
          <w:b w:val="0"/>
          <w:i w:val="0"/>
          <w:color w:val="1E293B"/>
          <w:sz w:val="20"/>
        </w:rPr>
        <w:t>3. Presione el botón 'Iniciar Sesión'. El sistema validará su estado en SQL Server y lo redirigirá a la bandeja principal.</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 la vista de login con los campos de usuario, contraseña y logo institucional)</w:t>
            </w:r>
          </w:p>
        </w:tc>
      </w:tr>
    </w:tbl>
    <w:p>
      <w:pPr>
        <w:spacing w:before="80" w:after="240"/>
        <w:jc w:val="center"/>
      </w:pPr>
      <w:r>
        <w:rPr>
          <w:rFonts w:ascii="Arial" w:hAnsi="Arial"/>
          <w:b/>
          <w:color w:val="64748B"/>
          <w:sz w:val="18"/>
        </w:rPr>
        <w:t>Figura: Pantalla de Inicio de Sesión (Login)</w:t>
      </w:r>
    </w:p>
    <w:p>
      <w:pPr>
        <w:keepNext/>
        <w:spacing w:before="280" w:after="120"/>
      </w:pPr>
      <w:r>
        <w:rPr>
          <w:rFonts w:ascii="Arial" w:hAnsi="Arial"/>
          <w:b/>
          <w:color w:val="0D9488"/>
          <w:sz w:val="26"/>
        </w:rPr>
        <w:t>9.2. Consulta y Filtrado de Movimientos (Bandeja ERP)</w:t>
      </w:r>
    </w:p>
    <w:p>
      <w:pPr>
        <w:spacing w:after="120" w:line="276" w:lineRule="auto"/>
      </w:pPr>
      <w:r>
        <w:rPr>
          <w:rFonts w:ascii="Arial" w:hAnsi="Arial"/>
          <w:b w:val="0"/>
          <w:i w:val="0"/>
          <w:color w:val="1E293B"/>
          <w:sz w:val="20"/>
        </w:rPr>
        <w:t>1. Al ingresar a '/erp', visualizará la bandeja de notas de almacén.</w:t>
      </w:r>
    </w:p>
    <w:p>
      <w:pPr>
        <w:spacing w:after="120" w:line="276" w:lineRule="auto"/>
      </w:pPr>
      <w:r>
        <w:rPr>
          <w:rFonts w:ascii="Arial" w:hAnsi="Arial"/>
          <w:b w:val="0"/>
          <w:i w:val="0"/>
          <w:color w:val="1E293B"/>
          <w:sz w:val="20"/>
        </w:rPr>
        <w:t>2. Seleccione el Almacén deseado (ej. '001 - ALMACEN VERDE MP'), el Año y el Mes.</w:t>
      </w:r>
    </w:p>
    <w:p>
      <w:pPr>
        <w:spacing w:after="120" w:line="276" w:lineRule="auto"/>
      </w:pPr>
      <w:r>
        <w:rPr>
          <w:rFonts w:ascii="Arial" w:hAnsi="Arial"/>
          <w:b w:val="0"/>
          <w:i w:val="0"/>
          <w:color w:val="1E293B"/>
          <w:sz w:val="20"/>
        </w:rPr>
        <w:t>3. Utilice los controles de paginación para navegar entre las páginas o ajustar la cantidad de filas por vista (10, 20, 50, 100).</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 la grilla de notas de salida con selectores de almacén, año, mes y paginación)</w:t>
            </w:r>
          </w:p>
        </w:tc>
      </w:tr>
    </w:tbl>
    <w:p>
      <w:pPr>
        <w:spacing w:before="80" w:after="240"/>
        <w:jc w:val="center"/>
      </w:pPr>
      <w:r>
        <w:rPr>
          <w:rFonts w:ascii="Arial" w:hAnsi="Arial"/>
          <w:b/>
          <w:color w:val="64748B"/>
          <w:sz w:val="18"/>
        </w:rPr>
        <w:t>Figura: Bandeja Principal de Movimientos</w:t>
      </w:r>
    </w:p>
    <w:p>
      <w:pPr>
        <w:keepNext/>
        <w:spacing w:before="280" w:after="120"/>
      </w:pPr>
      <w:r>
        <w:rPr>
          <w:rFonts w:ascii="Arial" w:hAnsi="Arial"/>
          <w:b/>
          <w:color w:val="0D9488"/>
          <w:sz w:val="26"/>
        </w:rPr>
        <w:t>9.3. Visualización de Detalles de un Vale</w:t>
      </w:r>
    </w:p>
    <w:p>
      <w:pPr>
        <w:spacing w:after="120" w:line="276" w:lineRule="auto"/>
      </w:pPr>
      <w:r>
        <w:rPr>
          <w:rFonts w:ascii="Arial" w:hAnsi="Arial"/>
          <w:b w:val="0"/>
          <w:i w:val="0"/>
          <w:color w:val="1E293B"/>
          <w:sz w:val="20"/>
        </w:rPr>
        <w:t>1. Haga clic sobre cualquier fila de movimiento en la tabla.</w:t>
      </w:r>
    </w:p>
    <w:p>
      <w:pPr>
        <w:spacing w:after="120" w:line="276" w:lineRule="auto"/>
      </w:pPr>
      <w:r>
        <w:rPr>
          <w:rFonts w:ascii="Arial" w:hAnsi="Arial"/>
          <w:b w:val="0"/>
          <w:i w:val="0"/>
          <w:color w:val="1E293B"/>
          <w:sz w:val="20"/>
        </w:rPr>
        <w:t>2. Se desplegará un acordeón animado consultando en tiempo real los artículos, lotes, cantidades transferidas y unidad de medida.</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del acordeón expandido mostrando la subtabla con los artículos y lotes del vale)</w:t>
            </w:r>
          </w:p>
        </w:tc>
      </w:tr>
    </w:tbl>
    <w:p>
      <w:pPr>
        <w:spacing w:before="80" w:after="240"/>
        <w:jc w:val="center"/>
      </w:pPr>
      <w:r>
        <w:rPr>
          <w:rFonts w:ascii="Arial" w:hAnsi="Arial"/>
          <w:b/>
          <w:color w:val="64748B"/>
          <w:sz w:val="18"/>
        </w:rPr>
        <w:t>Figura: Detalle de Movimiento Expandido</w:t>
      </w:r>
    </w:p>
    <w:p>
      <w:pPr>
        <w:keepNext/>
        <w:spacing w:before="280" w:after="120"/>
      </w:pPr>
      <w:r>
        <w:rPr>
          <w:rFonts w:ascii="Arial" w:hAnsi="Arial"/>
          <w:b/>
          <w:color w:val="0D9488"/>
          <w:sz w:val="26"/>
        </w:rPr>
        <w:t>9.4. Registro de una Nueva Transferencia de Almacén</w:t>
      </w:r>
    </w:p>
    <w:p>
      <w:pPr>
        <w:spacing w:after="120" w:line="276" w:lineRule="auto"/>
      </w:pPr>
      <w:r>
        <w:rPr>
          <w:rFonts w:ascii="Arial" w:hAnsi="Arial"/>
          <w:b w:val="0"/>
          <w:i w:val="0"/>
          <w:color w:val="1E293B"/>
          <w:sz w:val="20"/>
        </w:rPr>
        <w:t>1. Presione el botón '+ Nuevo Registro' ubicado en la esquina superior derecha de la bandeja o en el menú lateral.</w:t>
      </w:r>
    </w:p>
    <w:p>
      <w:pPr>
        <w:spacing w:after="120" w:line="276" w:lineRule="auto"/>
      </w:pPr>
      <w:r>
        <w:rPr>
          <w:rFonts w:ascii="Arial" w:hAnsi="Arial"/>
          <w:b w:val="0"/>
          <w:i w:val="0"/>
          <w:color w:val="1E293B"/>
          <w:sz w:val="20"/>
        </w:rPr>
        <w:t>2. Seleccione el Almacén Origen y el Tipo de Movimiento (102 - Salida por Transferencia).</w:t>
      </w:r>
    </w:p>
    <w:p>
      <w:pPr>
        <w:spacing w:after="120" w:line="276" w:lineRule="auto"/>
      </w:pPr>
      <w:r>
        <w:rPr>
          <w:rFonts w:ascii="Arial" w:hAnsi="Arial"/>
          <w:b w:val="0"/>
          <w:i w:val="0"/>
          <w:color w:val="1E293B"/>
          <w:sz w:val="20"/>
        </w:rPr>
        <w:t>3. Al detectar que es una transferencia, el sistema habilitará automáticamente el selector de Almacén Destino.</w:t>
      </w:r>
    </w:p>
    <w:p>
      <w:pPr>
        <w:spacing w:after="120" w:line="276" w:lineRule="auto"/>
      </w:pPr>
      <w:r>
        <w:rPr>
          <w:rFonts w:ascii="Arial" w:hAnsi="Arial"/>
          <w:b w:val="0"/>
          <w:i w:val="0"/>
          <w:color w:val="1E293B"/>
          <w:sz w:val="20"/>
        </w:rPr>
        <w:t>4. Ingrese la Fecha de Emisión y la Glosa (observación) del movimiento.</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del formulario maestro con almacén origen, destino, tipo de movimiento y glosa)</w:t>
            </w:r>
          </w:p>
        </w:tc>
      </w:tr>
    </w:tbl>
    <w:p>
      <w:pPr>
        <w:spacing w:before="80" w:after="240"/>
        <w:jc w:val="center"/>
      </w:pPr>
      <w:r>
        <w:rPr>
          <w:rFonts w:ascii="Arial" w:hAnsi="Arial"/>
          <w:b/>
          <w:color w:val="64748B"/>
          <w:sz w:val="18"/>
        </w:rPr>
        <w:t>Figura: Formulario de Cabecera de Transferencia</w:t>
      </w:r>
    </w:p>
    <w:p>
      <w:pPr>
        <w:keepNext/>
        <w:spacing w:before="280" w:after="120"/>
      </w:pPr>
      <w:r>
        <w:rPr>
          <w:rFonts w:ascii="Arial" w:hAnsi="Arial"/>
          <w:b/>
          <w:color w:val="0D9488"/>
          <w:sz w:val="26"/>
        </w:rPr>
        <w:t>9.5. Búsqueda y Selección de Artículos</w:t>
      </w:r>
    </w:p>
    <w:p>
      <w:pPr>
        <w:spacing w:after="120" w:line="276" w:lineRule="auto"/>
      </w:pPr>
      <w:r>
        <w:rPr>
          <w:rFonts w:ascii="Arial" w:hAnsi="Arial"/>
          <w:b w:val="0"/>
          <w:i w:val="0"/>
          <w:color w:val="1E293B"/>
          <w:sz w:val="20"/>
        </w:rPr>
        <w:t>Existen dos formas de agregar artículos a la transferencia:</w:t>
      </w:r>
    </w:p>
    <w:p>
      <w:pPr>
        <w:pStyle w:val="ListBullet"/>
        <w:spacing w:after="80" w:line="276" w:lineRule="auto"/>
      </w:pPr>
      <w:r>
        <w:rPr>
          <w:rFonts w:ascii="Arial" w:hAnsi="Arial"/>
          <w:b/>
          <w:color w:val="1E293B"/>
          <w:sz w:val="19"/>
        </w:rPr>
        <w:t>Lectura por Código de Barras:</w:t>
      </w:r>
      <w:r>
        <w:rPr>
          <w:rFonts w:ascii="Arial" w:hAnsi="Arial"/>
          <w:color w:val="1E293B"/>
          <w:sz w:val="19"/>
        </w:rPr>
        <w:t xml:space="preserve"> Enfoque el campo 'Escanear Código de Barras' y dispare la pistola lectora EAN/Code128.</w:t>
      </w:r>
    </w:p>
    <w:p>
      <w:pPr>
        <w:pStyle w:val="ListBullet"/>
        <w:spacing w:after="80" w:line="276" w:lineRule="auto"/>
      </w:pPr>
      <w:r>
        <w:rPr>
          <w:rFonts w:ascii="Arial" w:hAnsi="Arial"/>
          <w:b/>
          <w:color w:val="1E293B"/>
          <w:sz w:val="19"/>
        </w:rPr>
        <w:t>Búsqueda Manual Paginada:</w:t>
      </w:r>
      <w:r>
        <w:rPr>
          <w:rFonts w:ascii="Arial" w:hAnsi="Arial"/>
          <w:color w:val="1E293B"/>
          <w:sz w:val="19"/>
        </w:rPr>
        <w:t xml:space="preserve"> Haga clic en 'Buscar Artículo' para abrir el modal interactivo. Escriba el nombre o código para filtrar con búsqueda reactiva y presione 'Seleccionar'.</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del modal de catálogo de artículos con barra de búsqueda y paginación)</w:t>
            </w:r>
          </w:p>
        </w:tc>
      </w:tr>
    </w:tbl>
    <w:p>
      <w:pPr>
        <w:spacing w:before="80" w:after="240"/>
        <w:jc w:val="center"/>
      </w:pPr>
      <w:r>
        <w:rPr>
          <w:rFonts w:ascii="Arial" w:hAnsi="Arial"/>
          <w:b/>
          <w:color w:val="64748B"/>
          <w:sz w:val="18"/>
        </w:rPr>
        <w:t>Figura: Modal de Búsqueda de Artículos</w:t>
      </w:r>
    </w:p>
    <w:p>
      <w:pPr>
        <w:keepNext/>
        <w:spacing w:before="280" w:after="120"/>
      </w:pPr>
      <w:r>
        <w:rPr>
          <w:rFonts w:ascii="Arial" w:hAnsi="Arial"/>
          <w:b/>
          <w:color w:val="0D9488"/>
          <w:sz w:val="26"/>
        </w:rPr>
        <w:t>9.6. Selección de Lotes y Centro de Costos</w:t>
      </w:r>
    </w:p>
    <w:p>
      <w:pPr>
        <w:spacing w:after="120" w:line="276" w:lineRule="auto"/>
      </w:pPr>
      <w:r>
        <w:rPr>
          <w:rFonts w:ascii="Arial" w:hAnsi="Arial"/>
          <w:b w:val="0"/>
          <w:i w:val="0"/>
          <w:color w:val="1E293B"/>
          <w:sz w:val="20"/>
        </w:rPr>
        <w:t>1. En la grilla de ítems agregados, presione sobre el botón del Lote para abrir el modal de lotes.</w:t>
      </w:r>
    </w:p>
    <w:p>
      <w:pPr>
        <w:spacing w:after="120" w:line="276" w:lineRule="auto"/>
      </w:pPr>
      <w:r>
        <w:rPr>
          <w:rFonts w:ascii="Arial" w:hAnsi="Arial"/>
          <w:b w:val="0"/>
          <w:i w:val="0"/>
          <w:color w:val="1E293B"/>
          <w:sz w:val="20"/>
        </w:rPr>
        <w:t>2. El sistema consultará con el Stored Procedure únicamente los lotes con saldo disponible.</w:t>
      </w:r>
    </w:p>
    <w:p>
      <w:pPr>
        <w:spacing w:after="120" w:line="276" w:lineRule="auto"/>
      </w:pPr>
      <w:r>
        <w:rPr>
          <w:rFonts w:ascii="Arial" w:hAnsi="Arial"/>
          <w:b w:val="0"/>
          <w:i w:val="0"/>
          <w:color w:val="1E293B"/>
          <w:sz w:val="20"/>
        </w:rPr>
        <w:t>3. Seleccione el lote deseado, digite la cantidad a transferir y asigne el Centro de Costos correspondiente.</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del modal de lotes mostrando los saldos físicos disponibles por lote)</w:t>
            </w:r>
          </w:p>
        </w:tc>
      </w:tr>
    </w:tbl>
    <w:p>
      <w:pPr>
        <w:spacing w:before="80" w:after="240"/>
        <w:jc w:val="center"/>
      </w:pPr>
      <w:r>
        <w:rPr>
          <w:rFonts w:ascii="Arial" w:hAnsi="Arial"/>
          <w:b/>
          <w:color w:val="64748B"/>
          <w:sz w:val="18"/>
        </w:rPr>
        <w:t>Figura: Modal de Selección de Lotes con Saldo</w:t>
      </w:r>
    </w:p>
    <w:p>
      <w:pPr>
        <w:keepNext/>
        <w:spacing w:before="280" w:after="120"/>
      </w:pPr>
      <w:r>
        <w:rPr>
          <w:rFonts w:ascii="Arial" w:hAnsi="Arial"/>
          <w:b/>
          <w:color w:val="0D9488"/>
          <w:sz w:val="26"/>
        </w:rPr>
        <w:t>9.7. Emisión y Confirmación de la Transferencia</w:t>
      </w:r>
    </w:p>
    <w:p>
      <w:pPr>
        <w:spacing w:after="120" w:line="276" w:lineRule="auto"/>
      </w:pPr>
      <w:r>
        <w:rPr>
          <w:rFonts w:ascii="Arial" w:hAnsi="Arial"/>
          <w:b w:val="0"/>
          <w:i w:val="0"/>
          <w:color w:val="1E293B"/>
          <w:sz w:val="20"/>
        </w:rPr>
        <w:t>1. Revise los ítems en la tabla resumen.</w:t>
      </w:r>
    </w:p>
    <w:p>
      <w:pPr>
        <w:spacing w:after="120" w:line="276" w:lineRule="auto"/>
      </w:pPr>
      <w:r>
        <w:rPr>
          <w:rFonts w:ascii="Arial" w:hAnsi="Arial"/>
          <w:b w:val="0"/>
          <w:i w:val="0"/>
          <w:color w:val="1E293B"/>
          <w:sz w:val="20"/>
        </w:rPr>
        <w:t>2. Presione el botón verde 'Guardar Transferencia'.</w:t>
      </w:r>
    </w:p>
    <w:p>
      <w:pPr>
        <w:spacing w:after="120" w:line="276" w:lineRule="auto"/>
      </w:pPr>
      <w:r>
        <w:rPr>
          <w:rFonts w:ascii="Arial" w:hAnsi="Arial"/>
          <w:b w:val="0"/>
          <w:i w:val="0"/>
          <w:color w:val="1E293B"/>
          <w:sz w:val="20"/>
        </w:rPr>
        <w:t>3. El sistema ejecutará el procedimiento almacenado en SQL Server y SweetAlert2 le mostrará una alerta de éxito confirmando el número de Vale de Salida generado y el Vale de Ingreso en el almacén de destino.</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del popup modal de SweetAlert2 confirmando la creación de los vales)</w:t>
            </w:r>
          </w:p>
        </w:tc>
      </w:tr>
    </w:tbl>
    <w:p>
      <w:pPr>
        <w:spacing w:before="80" w:after="240"/>
        <w:jc w:val="center"/>
      </w:pPr>
      <w:r>
        <w:rPr>
          <w:rFonts w:ascii="Arial" w:hAnsi="Arial"/>
          <w:b/>
          <w:color w:val="64748B"/>
          <w:sz w:val="18"/>
        </w:rPr>
        <w:t>Figura: Alerta SweetAlert2 de Transferencia Exitosa</w:t>
      </w:r>
    </w:p>
    <w:p>
      <w:pPr>
        <w:keepNext/>
        <w:spacing w:before="280" w:after="120"/>
      </w:pPr>
      <w:r>
        <w:rPr>
          <w:rFonts w:ascii="Arial" w:hAnsi="Arial"/>
          <w:b/>
          <w:color w:val="0D9488"/>
          <w:sz w:val="26"/>
        </w:rPr>
        <w:t>9.8. Panel de Accesibilidad y Modo Noche</w:t>
      </w:r>
    </w:p>
    <w:p>
      <w:pPr>
        <w:spacing w:after="120" w:line="276" w:lineRule="auto"/>
      </w:pPr>
      <w:r>
        <w:rPr>
          <w:rFonts w:ascii="Arial" w:hAnsi="Arial"/>
          <w:b w:val="0"/>
          <w:i w:val="0"/>
          <w:color w:val="1E293B"/>
          <w:sz w:val="20"/>
        </w:rPr>
        <w:t>1. Presione el botón flotante o icono de accesibilidad en la barra de navegación.</w:t>
      </w:r>
    </w:p>
    <w:p>
      <w:pPr>
        <w:spacing w:after="120" w:line="276" w:lineRule="auto"/>
      </w:pPr>
      <w:r>
        <w:rPr>
          <w:rFonts w:ascii="Arial" w:hAnsi="Arial"/>
          <w:b w:val="0"/>
          <w:i w:val="0"/>
          <w:color w:val="1E293B"/>
          <w:sz w:val="20"/>
        </w:rPr>
        <w:t>2. Ajuste el tamaño de letra, active filtros de daltonismo o active el Modo Noche.</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00" w:type="dxa"/>
              <w:right w:w="200" w:type="dxa"/>
            </w:tcMar>
          </w:tcPr>
          <w:p>
            <w:pPr>
              <w:spacing w:before="240" w:after="80"/>
              <w:jc w:val="center"/>
            </w:pPr>
            <w:r>
              <w:rPr>
                <w:rFonts w:ascii="Arial" w:hAnsi="Arial"/>
                <w:b/>
                <w:color w:val="0D9488"/>
                <w:sz w:val="22"/>
              </w:rPr>
              <w:t>📸 [PEGAR AQUÍ CAPTURA DE PANTALLA]</w:t>
              <w:br/>
            </w:r>
            <w:r>
              <w:rPr>
                <w:rFonts w:ascii="Arial" w:hAnsi="Arial"/>
                <w:i/>
                <w:color w:val="64748B"/>
                <w:sz w:val="18"/>
              </w:rPr>
              <w:t>(Captura del panel desplegable de accesibilidad y la interfaz en modo oscuro)</w:t>
            </w:r>
          </w:p>
        </w:tc>
      </w:tr>
    </w:tbl>
    <w:p>
      <w:pPr>
        <w:spacing w:before="80" w:after="240"/>
        <w:jc w:val="center"/>
      </w:pPr>
      <w:r>
        <w:rPr>
          <w:rFonts w:ascii="Arial" w:hAnsi="Arial"/>
          <w:b/>
          <w:color w:val="64748B"/>
          <w:sz w:val="18"/>
        </w:rPr>
        <w:t>Figura: Panel de Accesibilidad y Modo Oscuro</w:t>
      </w:r>
    </w:p>
    <w:p>
      <w:r>
        <w:br w:type="page"/>
      </w:r>
    </w:p>
    <w:p>
      <w:pPr>
        <w:keepNext/>
        <w:spacing w:before="360" w:after="160"/>
      </w:pPr>
      <w:r>
        <w:rPr>
          <w:rFonts w:ascii="Arial" w:hAnsi="Arial"/>
          <w:b/>
          <w:color w:val="003A6C"/>
          <w:sz w:val="32"/>
        </w:rPr>
        <w:t>10. Guía de Despliegue y Configuración Local</w:t>
      </w:r>
    </w:p>
    <w:p>
      <w:pPr>
        <w:spacing w:after="120" w:line="276" w:lineRule="auto"/>
      </w:pPr>
      <w:r>
        <w:rPr>
          <w:rFonts w:ascii="Arial" w:hAnsi="Arial"/>
          <w:b w:val="0"/>
          <w:i w:val="0"/>
          <w:color w:val="1E293B"/>
          <w:sz w:val="20"/>
        </w:rPr>
        <w:t>Esta sección detalla los pasos y requisitos indispensables para ejecutar el proyecto completo en un entorno de desarrollo local:</w:t>
      </w:r>
    </w:p>
    <w:p>
      <w:pPr>
        <w:keepNext/>
        <w:spacing w:before="280" w:after="120"/>
      </w:pPr>
      <w:r>
        <w:rPr>
          <w:rFonts w:ascii="Arial" w:hAnsi="Arial"/>
          <w:b/>
          <w:color w:val="0D9488"/>
          <w:sz w:val="26"/>
        </w:rPr>
        <w:t>10.1. Requisitos Previos de Software</w:t>
      </w:r>
    </w:p>
    <w:p>
      <w:pPr>
        <w:pStyle w:val="ListBullet"/>
        <w:spacing w:after="80" w:line="276" w:lineRule="auto"/>
      </w:pPr>
      <w:r>
        <w:rPr>
          <w:rFonts w:ascii="Arial" w:hAnsi="Arial"/>
          <w:b/>
          <w:color w:val="1E293B"/>
          <w:sz w:val="19"/>
        </w:rPr>
        <w:t>Sistema Operativo:</w:t>
      </w:r>
      <w:r>
        <w:rPr>
          <w:rFonts w:ascii="Arial" w:hAnsi="Arial"/>
          <w:color w:val="1E293B"/>
          <w:sz w:val="19"/>
        </w:rPr>
        <w:t xml:space="preserve"> Windows 10 / Windows 11 de 64 bits.</w:t>
      </w:r>
    </w:p>
    <w:p>
      <w:pPr>
        <w:pStyle w:val="ListBullet"/>
        <w:spacing w:after="80" w:line="276" w:lineRule="auto"/>
      </w:pPr>
      <w:r>
        <w:rPr>
          <w:rFonts w:ascii="Arial" w:hAnsi="Arial"/>
          <w:b/>
          <w:color w:val="1E293B"/>
          <w:sz w:val="19"/>
        </w:rPr>
        <w:t>Servidor Web y PHP:</w:t>
      </w:r>
      <w:r>
        <w:rPr>
          <w:rFonts w:ascii="Arial" w:hAnsi="Arial"/>
          <w:color w:val="1E293B"/>
          <w:sz w:val="19"/>
        </w:rPr>
        <w:t xml:space="preserve"> XAMPP con PHP 8.2 instalado en C:\xampp.</w:t>
      </w:r>
    </w:p>
    <w:p>
      <w:pPr>
        <w:pStyle w:val="ListBullet"/>
        <w:spacing w:after="80" w:line="276" w:lineRule="auto"/>
      </w:pPr>
      <w:r>
        <w:rPr>
          <w:rFonts w:ascii="Arial" w:hAnsi="Arial"/>
          <w:b/>
          <w:color w:val="1E293B"/>
          <w:sz w:val="19"/>
        </w:rPr>
        <w:t>Drivers Microsoft SQL Server para PHP:</w:t>
      </w:r>
      <w:r>
        <w:rPr>
          <w:rFonts w:ascii="Arial" w:hAnsi="Arial"/>
          <w:color w:val="1E293B"/>
          <w:sz w:val="19"/>
        </w:rPr>
        <w:t xml:space="preserve"> Extensiones php_sqlsrv y php_pdo_sqlsrv (versión 8.2 Thread Safe x64).</w:t>
      </w:r>
    </w:p>
    <w:p>
      <w:pPr>
        <w:pStyle w:val="ListBullet"/>
        <w:spacing w:after="80" w:line="276" w:lineRule="auto"/>
      </w:pPr>
      <w:r>
        <w:rPr>
          <w:rFonts w:ascii="Arial" w:hAnsi="Arial"/>
          <w:b/>
          <w:color w:val="1E293B"/>
          <w:sz w:val="19"/>
        </w:rPr>
        <w:t>Microsoft ODBC Driver:</w:t>
      </w:r>
      <w:r>
        <w:rPr>
          <w:rFonts w:ascii="Arial" w:hAnsi="Arial"/>
          <w:color w:val="1E293B"/>
          <w:sz w:val="19"/>
        </w:rPr>
        <w:t xml:space="preserve"> ODBC Driver 18 for SQL Server (o Driver 17) instalado en Windows.</w:t>
      </w:r>
    </w:p>
    <w:p>
      <w:pPr>
        <w:pStyle w:val="ListBullet"/>
        <w:spacing w:after="80" w:line="276" w:lineRule="auto"/>
      </w:pPr>
      <w:r>
        <w:rPr>
          <w:rFonts w:ascii="Arial" w:hAnsi="Arial"/>
          <w:b/>
          <w:color w:val="1E293B"/>
          <w:sz w:val="19"/>
        </w:rPr>
        <w:t>Node.js y npm:</w:t>
      </w:r>
      <w:r>
        <w:rPr>
          <w:rFonts w:ascii="Arial" w:hAnsi="Arial"/>
          <w:color w:val="1E293B"/>
          <w:sz w:val="19"/>
        </w:rPr>
        <w:t xml:space="preserve"> Node.js versión 20+ o 24+ y npm versión 10+.</w:t>
      </w:r>
    </w:p>
    <w:p>
      <w:pPr>
        <w:pStyle w:val="ListBullet"/>
        <w:spacing w:after="80" w:line="276" w:lineRule="auto"/>
      </w:pPr>
      <w:r>
        <w:rPr>
          <w:rFonts w:ascii="Arial" w:hAnsi="Arial"/>
          <w:b/>
          <w:color w:val="1E293B"/>
          <w:sz w:val="19"/>
        </w:rPr>
        <w:t>Angular CLI:</w:t>
      </w:r>
      <w:r>
        <w:rPr>
          <w:rFonts w:ascii="Arial" w:hAnsi="Arial"/>
          <w:color w:val="1E293B"/>
          <w:sz w:val="19"/>
        </w:rPr>
        <w:t xml:space="preserve"> Angular CLI versión 22 instalada globalmente (npm install -g @angular/cli).</w:t>
      </w:r>
    </w:p>
    <w:p>
      <w:pPr>
        <w:pStyle w:val="ListBullet"/>
        <w:spacing w:after="80" w:line="276" w:lineRule="auto"/>
      </w:pPr>
      <w:r>
        <w:rPr>
          <w:rFonts w:ascii="Arial" w:hAnsi="Arial"/>
          <w:b/>
          <w:color w:val="1E293B"/>
          <w:sz w:val="19"/>
        </w:rPr>
        <w:t>Servidor SQL Server:</w:t>
      </w:r>
      <w:r>
        <w:rPr>
          <w:rFonts w:ascii="Arial" w:hAnsi="Arial"/>
          <w:color w:val="1E293B"/>
          <w:sz w:val="19"/>
        </w:rPr>
        <w:t xml:space="preserve"> Acceso a la instancia de SQL Server 2022 (ej. 192.168.1.3\SQLEXPRESS) con la base de datos TECNOTEST.</w:t>
      </w:r>
    </w:p>
    <w:p>
      <w:pPr>
        <w:keepNext/>
        <w:spacing w:before="280" w:after="120"/>
      </w:pPr>
      <w:r>
        <w:rPr>
          <w:rFonts w:ascii="Arial" w:hAnsi="Arial"/>
          <w:b/>
          <w:color w:val="0D9488"/>
          <w:sz w:val="26"/>
        </w:rPr>
        <w:t>10.2. Configuración de Extensiones en PHP (XAMPP)</w:t>
      </w:r>
    </w:p>
    <w:p>
      <w:pPr>
        <w:spacing w:after="120" w:line="276" w:lineRule="auto"/>
      </w:pPr>
      <w:r>
        <w:rPr>
          <w:rFonts w:ascii="Arial" w:hAnsi="Arial"/>
          <w:b w:val="0"/>
          <w:i w:val="0"/>
          <w:color w:val="1E293B"/>
          <w:sz w:val="20"/>
        </w:rPr>
        <w:t>1. Descargue los drivers de Microsoft SQL Server para PHP 8.2.</w:t>
      </w:r>
    </w:p>
    <w:p>
      <w:pPr>
        <w:spacing w:after="120" w:line="276" w:lineRule="auto"/>
      </w:pPr>
      <w:r>
        <w:rPr>
          <w:rFonts w:ascii="Arial" w:hAnsi="Arial"/>
          <w:b w:val="0"/>
          <w:i w:val="0"/>
          <w:color w:val="1E293B"/>
          <w:sz w:val="20"/>
        </w:rPr>
        <w:t>2. Copie los archivos 'php_sqlsrv_82_ts_x64.dll' y 'php_pdo_sqlsrv_82_ts_x64.dll' en la carpeta 'C:\xampp\php\ext\'.</w:t>
      </w:r>
    </w:p>
    <w:p>
      <w:pPr>
        <w:spacing w:after="120" w:line="276" w:lineRule="auto"/>
      </w:pPr>
      <w:r>
        <w:rPr>
          <w:rFonts w:ascii="Arial" w:hAnsi="Arial"/>
          <w:b w:val="0"/>
          <w:i w:val="0"/>
          <w:color w:val="1E293B"/>
          <w:sz w:val="20"/>
        </w:rPr>
        <w:t>3. Abra el archivo 'C:\xampp\php\php.ini' y agregue las siguientes líneas: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extension=php_sqlsrv_82_ts_x64.dll</w:t>
              <w:br/>
              <w:t>extension=php_pdo_sqlsrv_82_ts_x64.dll</w:t>
            </w:r>
          </w:p>
        </w:tc>
      </w:tr>
    </w:tbl>
    <w:p>
      <w:pPr>
        <w:spacing w:after="80"/>
      </w:pPr>
    </w:p>
    <w:p>
      <w:pPr>
        <w:spacing w:after="120" w:line="276" w:lineRule="auto"/>
      </w:pPr>
      <w:r>
        <w:rPr>
          <w:rFonts w:ascii="Arial" w:hAnsi="Arial"/>
          <w:b w:val="0"/>
          <w:i w:val="0"/>
          <w:color w:val="1E293B"/>
          <w:sz w:val="20"/>
        </w:rPr>
        <w:t>4. Reinicie el servicio Apache desde el panel de control de XAMPP.</w:t>
      </w:r>
    </w:p>
    <w:p>
      <w:pPr>
        <w:keepNext/>
        <w:spacing w:before="280" w:after="120"/>
      </w:pPr>
      <w:r>
        <w:rPr>
          <w:rFonts w:ascii="Arial" w:hAnsi="Arial"/>
          <w:b/>
          <w:color w:val="0D9488"/>
          <w:sz w:val="26"/>
        </w:rPr>
        <w:t>10.3. Ubicación del Backend en XAMPP</w:t>
      </w:r>
    </w:p>
    <w:p>
      <w:pPr>
        <w:spacing w:after="120" w:line="276" w:lineRule="auto"/>
      </w:pPr>
      <w:r>
        <w:rPr>
          <w:rFonts w:ascii="Arial" w:hAnsi="Arial"/>
          <w:b w:val="0"/>
          <w:i w:val="0"/>
          <w:color w:val="1E293B"/>
          <w:sz w:val="20"/>
        </w:rPr>
        <w:t>Coloque la carpeta del proyecto dentro del directorio web de Apache: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C:\xampp\htdocs\transferencia-almacenes\backend\</w:t>
            </w:r>
          </w:p>
        </w:tc>
      </w:tr>
    </w:tbl>
    <w:p>
      <w:pPr>
        <w:spacing w:after="80"/>
      </w:pPr>
    </w:p>
    <w:p>
      <w:pPr>
        <w:keepNext/>
        <w:spacing w:before="280" w:after="120"/>
      </w:pPr>
      <w:r>
        <w:rPr>
          <w:rFonts w:ascii="Arial" w:hAnsi="Arial"/>
          <w:b/>
          <w:color w:val="0D9488"/>
          <w:sz w:val="26"/>
        </w:rPr>
        <w:t>10.4. Configuración de Conexión a Base de Datos</w:t>
      </w:r>
    </w:p>
    <w:p>
      <w:pPr>
        <w:spacing w:after="120" w:line="276" w:lineRule="auto"/>
      </w:pPr>
      <w:r>
        <w:rPr>
          <w:rFonts w:ascii="Arial" w:hAnsi="Arial"/>
          <w:b w:val="0"/>
          <w:i w:val="0"/>
          <w:color w:val="1E293B"/>
          <w:sz w:val="20"/>
        </w:rPr>
        <w:t>Edite el archivo backend/config/conexion.php para verificar las credenciales de SQL Server:</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$serverName = "192.168.1.3\\SQLEXPRESS";</w:t>
              <w:br/>
              <w:t>$connectionInfo = array(</w:t>
              <w:br/>
              <w:t xml:space="preserve">    "Database" =&gt; "TECNOTEST",</w:t>
              <w:br/>
              <w:t xml:space="preserve">    "UID" =&gt; "sig",</w:t>
              <w:br/>
              <w:t xml:space="preserve">    "PWD" =&gt; "Sig2025$$",</w:t>
              <w:br/>
              <w:t xml:space="preserve">    "CharacterSet" =&gt; "UTF-8",</w:t>
              <w:br/>
              <w:t xml:space="preserve">    "TrustServerCertificate" =&gt; true</w:t>
              <w:br/>
              <w:t>);</w:t>
              <w:br/>
              <w:t>$conn = sqlsrv_connect($serverName, $connectionInfo);</w:t>
            </w:r>
          </w:p>
        </w:tc>
      </w:tr>
    </w:tbl>
    <w:p>
      <w:pPr>
        <w:spacing w:after="80"/>
      </w:pPr>
    </w:p>
    <w:p>
      <w:pPr>
        <w:keepNext/>
        <w:spacing w:before="280" w:after="120"/>
      </w:pPr>
      <w:r>
        <w:rPr>
          <w:rFonts w:ascii="Arial" w:hAnsi="Arial"/>
          <w:b/>
          <w:color w:val="0D9488"/>
          <w:sz w:val="26"/>
        </w:rPr>
        <w:t>10.5. Instalación y Ejecución del Frontend (Angular)</w:t>
      </w:r>
    </w:p>
    <w:p>
      <w:pPr>
        <w:spacing w:after="120" w:line="276" w:lineRule="auto"/>
      </w:pPr>
      <w:r>
        <w:rPr>
          <w:rFonts w:ascii="Arial" w:hAnsi="Arial"/>
          <w:b w:val="0"/>
          <w:i w:val="0"/>
          <w:color w:val="1E293B"/>
          <w:sz w:val="20"/>
        </w:rPr>
        <w:t>1. Abra una terminal de comandos (PowerShell o CMD) y navegue a la carpeta frontend:</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cd "C:\Users\manue\OneDrive\Desktop\TRABAJO\PAGINAS\PRODUCTO FINAL\transferencia-almacenes\frontend"</w:t>
              <w:br/>
              <w:t>npm install</w:t>
            </w:r>
          </w:p>
        </w:tc>
      </w:tr>
    </w:tbl>
    <w:p>
      <w:pPr>
        <w:spacing w:after="80"/>
      </w:pPr>
    </w:p>
    <w:p>
      <w:pPr>
        <w:spacing w:after="120" w:line="276" w:lineRule="auto"/>
      </w:pPr>
      <w:r>
        <w:rPr>
          <w:rFonts w:ascii="Arial" w:hAnsi="Arial"/>
          <w:b w:val="0"/>
          <w:i w:val="0"/>
          <w:color w:val="1E293B"/>
          <w:sz w:val="20"/>
        </w:rPr>
        <w:t>2. Inicie el servidor de desarrollo de Angular:</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npm start</w:t>
              <w:br/>
              <w:t># O alternativamente:</w:t>
              <w:br/>
              <w:t>ng serve --host 0.0.0.0 --port 4200</w:t>
            </w:r>
          </w:p>
        </w:tc>
      </w:tr>
    </w:tbl>
    <w:p>
      <w:pPr>
        <w:spacing w:after="80"/>
      </w:pPr>
    </w:p>
    <w:p>
      <w:pPr>
        <w:spacing w:after="120" w:line="276" w:lineRule="auto"/>
      </w:pPr>
      <w:r>
        <w:rPr>
          <w:rFonts w:ascii="Arial" w:hAnsi="Arial"/>
          <w:b w:val="0"/>
          <w:i w:val="0"/>
          <w:color w:val="1E293B"/>
          <w:sz w:val="20"/>
        </w:rPr>
        <w:t>3. Abra su navegador web e ingrese 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0" w:after="0" w:line="252" w:lineRule="auto"/>
            </w:pPr>
            <w:r>
              <w:rPr>
                <w:rFonts w:ascii="Consolas" w:hAnsi="Consolas"/>
                <w:color w:val="0F172A"/>
                <w:sz w:val="17"/>
              </w:rPr>
              <w:t>http://localhost:4200</w:t>
            </w:r>
          </w:p>
        </w:tc>
      </w:tr>
    </w:tbl>
    <w:p>
      <w:pPr>
        <w:spacing w:after="80"/>
      </w:pPr>
    </w:p>
    <w:tbl>
      <w:tblPr>
        <w:tblW w:type="auto" w:w="0"/>
        <w:jc w:val="center"/>
        <w:tblLook w:firstColumn="1" w:firstRow="1" w:lastColumn="0" w:lastRow="0" w:noHBand="0" w:noVBand="1" w:val="04A0"/>
      </w:tblPr>
      <w:tblGrid>
        <w:gridCol w:w="9936"/>
      </w:tblGrid>
      <w:tr>
        <w:tc>
          <w:tcPr>
            <w:tcW w:type="dxa" w:w="9936"/>
            <w:shd w:fill="EEF5FA"/>
            <w:tcMar>
              <w:top w:w="120" w:type="dxa"/>
              <w:bottom w:w="120" w:type="dxa"/>
              <w:left w:w="180" w:type="dxa"/>
              <w:right w:w="180" w:type="dxa"/>
            </w:tcMar>
          </w:tcPr>
          <w:p>
            <w:pPr>
              <w:spacing w:before="0" w:after="40"/>
            </w:pPr>
            <w:r>
              <w:rPr>
                <w:rFonts w:ascii="Arial" w:hAnsi="Arial"/>
                <w:b/>
                <w:color w:val="003A6C"/>
                <w:sz w:val="19"/>
              </w:rPr>
              <w:t>Nota de Acceso en Red Local (Móviles y Handhelds)</w:t>
              <w:br/>
            </w:r>
            <w:r>
              <w:rPr>
                <w:rFonts w:ascii="Arial" w:hAnsi="Arial"/>
                <w:color w:val="1E293B"/>
                <w:sz w:val="18"/>
              </w:rPr>
              <w:t>Para acceder desde terminales móviles o colectoras conectadas a la misma red WiFi, reemplace 'localhost' por la dirección IP local de su computadora (ej. http://192.168.1.50:4200). El backend resolverá automáticamente la URL base gracias a BaseApiService.</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