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a2463" w:val="clear"/>
        <w:spacing w:after="0" w:before="0" w:lineRule="auto"/>
        <w:rPr/>
      </w:pPr>
      <w:r w:rsidDel="00000000" w:rsidR="00000000" w:rsidRPr="00000000">
        <w:rPr>
          <w:rFonts w:ascii="Arial" w:cs="Arial" w:eastAsia="Arial" w:hAnsi="Arial"/>
          <w:b w:val="1"/>
          <w:bCs w:val="1"/>
          <w:color w:val="ffffff"/>
          <w:sz w:val="18"/>
          <w:szCs w:val="18"/>
          <w:rtl w:val="0"/>
        </w:rPr>
        <w:t xml:space="preserve">HACKDATA CTGI SENA 2026</w:t>
      </w:r>
      <w:r w:rsidDel="00000000" w:rsidR="00000000" w:rsidRPr="00000000">
        <w:rPr>
          <w:rtl w:val="0"/>
        </w:rPr>
      </w:r>
    </w:p>
    <w:p w:rsidR="00000000" w:rsidDel="00000000" w:rsidP="00000000" w:rsidRDefault="00000000" w:rsidRPr="00000000" w14:paraId="00000002">
      <w:pPr>
        <w:spacing w:after="0" w:before="400" w:lineRule="auto"/>
        <w:rPr/>
      </w:pP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b w:val="1"/>
          <w:bCs w:val="1"/>
          <w:color w:val="0a2463"/>
          <w:sz w:val="64"/>
          <w:szCs w:val="64"/>
          <w:rtl w:val="0"/>
        </w:rPr>
        <w:t xml:space="preserve">MEDELLÍN MOVILIDATA OS</w:t>
      </w:r>
      <w:r w:rsidDel="00000000" w:rsidR="00000000" w:rsidRPr="00000000">
        <w:rPr>
          <w:rtl w:val="0"/>
        </w:rPr>
      </w:r>
    </w:p>
    <w:p w:rsidR="00000000" w:rsidDel="00000000" w:rsidP="00000000" w:rsidRDefault="00000000" w:rsidRPr="00000000" w14:paraId="00000006">
      <w:pPr>
        <w:spacing w:after="400" w:before="0" w:lineRule="auto"/>
        <w:jc w:val="center"/>
        <w:rPr/>
      </w:pPr>
      <w:r w:rsidDel="00000000" w:rsidR="00000000" w:rsidRPr="00000000">
        <w:rPr>
          <w:rFonts w:ascii="Arial" w:cs="Arial" w:eastAsia="Arial" w:hAnsi="Arial"/>
          <w:b w:val="1"/>
          <w:bCs w:val="1"/>
          <w:color w:val="00c2a8"/>
          <w:sz w:val="36"/>
          <w:szCs w:val="36"/>
          <w:rtl w:val="0"/>
        </w:rPr>
        <w:t xml:space="preserve">MANUAL DE IDENTIDAD DE MARCA</w:t>
      </w:r>
      <w:r w:rsidDel="00000000" w:rsidR="00000000" w:rsidRPr="00000000">
        <w:rPr>
          <w:rtl w:val="0"/>
        </w:rPr>
      </w:r>
    </w:p>
    <w:p w:rsidR="00000000" w:rsidDel="00000000" w:rsidP="00000000" w:rsidRDefault="00000000" w:rsidRPr="00000000" w14:paraId="00000007">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08">
      <w:pPr>
        <w:spacing w:after="0" w:before="200" w:lineRule="auto"/>
        <w:rPr/>
      </w:pP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Arial" w:cs="Arial" w:eastAsia="Arial" w:hAnsi="Arial"/>
          <w:i w:val="1"/>
          <w:iCs w:val="1"/>
          <w:color w:val="6b7280"/>
          <w:sz w:val="28"/>
          <w:szCs w:val="28"/>
          <w:rtl w:val="0"/>
        </w:rPr>
        <w:t xml:space="preserve">Plataforma Unificada de Movilidad Inteligente</w:t>
      </w:r>
      <w:r w:rsidDel="00000000" w:rsidR="00000000" w:rsidRPr="00000000">
        <w:rPr>
          <w:rtl w:val="0"/>
        </w:rPr>
      </w:r>
    </w:p>
    <w:p w:rsidR="00000000" w:rsidDel="00000000" w:rsidP="00000000" w:rsidRDefault="00000000" w:rsidRPr="00000000" w14:paraId="0000000A">
      <w:pPr>
        <w:spacing w:after="600" w:before="0" w:lineRule="auto"/>
        <w:jc w:val="center"/>
        <w:rPr/>
      </w:pPr>
      <w:r w:rsidDel="00000000" w:rsidR="00000000" w:rsidRPr="00000000">
        <w:rPr>
          <w:rFonts w:ascii="Arial" w:cs="Arial" w:eastAsia="Arial" w:hAnsi="Arial"/>
          <w:color w:val="6b7280"/>
          <w:sz w:val="22"/>
          <w:szCs w:val="22"/>
          <w:rtl w:val="0"/>
        </w:rPr>
        <w:t xml:space="preserve">Analítica de Datos · Inteligencia Artificial · Movilidad Urbana</w:t>
      </w:r>
      <w:r w:rsidDel="00000000" w:rsidR="00000000" w:rsidRPr="00000000">
        <w:rPr>
          <w:rtl w:val="0"/>
        </w:rPr>
      </w:r>
    </w:p>
    <w:p w:rsidR="00000000" w:rsidDel="00000000" w:rsidP="00000000" w:rsidRDefault="00000000" w:rsidRPr="00000000" w14:paraId="0000000B">
      <w:pPr>
        <w:spacing w:after="0"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2ff" w:val="clear"/>
            <w:tcMar>
              <w:top w:w="160.0" w:type="dxa"/>
              <w:left w:w="160.0" w:type="dxa"/>
              <w:bottom w:w="160.0" w:type="dxa"/>
              <w:right w:w="160.0" w:type="dxa"/>
            </w:tcMar>
          </w:tcPr>
          <w:p w:rsidR="00000000" w:rsidDel="00000000" w:rsidP="00000000" w:rsidRDefault="00000000" w:rsidRPr="00000000" w14:paraId="0000000C">
            <w:pPr>
              <w:jc w:val="center"/>
              <w:rPr/>
            </w:pPr>
            <w:r w:rsidDel="00000000" w:rsidR="00000000" w:rsidRPr="00000000">
              <w:rPr>
                <w:rFonts w:ascii="Arial" w:cs="Arial" w:eastAsia="Arial" w:hAnsi="Arial"/>
                <w:color w:val="6b7280"/>
                <w:sz w:val="18"/>
                <w:szCs w:val="18"/>
                <w:rtl w:val="0"/>
              </w:rPr>
              <w:t xml:space="preserve">Versión</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0a2463"/>
                <w:sz w:val="28"/>
                <w:szCs w:val="2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2ff" w:val="clear"/>
            <w:tcMar>
              <w:top w:w="160.0" w:type="dxa"/>
              <w:left w:w="160.0" w:type="dxa"/>
              <w:bottom w:w="160.0" w:type="dxa"/>
              <w:right w:w="160.0" w:type="dxa"/>
            </w:tcMar>
          </w:tcPr>
          <w:p w:rsidR="00000000" w:rsidDel="00000000" w:rsidP="00000000" w:rsidRDefault="00000000" w:rsidRPr="00000000" w14:paraId="0000000E">
            <w:pPr>
              <w:jc w:val="center"/>
              <w:rPr/>
            </w:pPr>
            <w:r w:rsidDel="00000000" w:rsidR="00000000" w:rsidRPr="00000000">
              <w:rPr>
                <w:rFonts w:ascii="Arial" w:cs="Arial" w:eastAsia="Arial" w:hAnsi="Arial"/>
                <w:color w:val="6b7280"/>
                <w:sz w:val="18"/>
                <w:szCs w:val="18"/>
                <w:rtl w:val="0"/>
              </w:rPr>
              <w:t xml:space="preserve">Año</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0a2463"/>
                <w:sz w:val="28"/>
                <w:szCs w:val="28"/>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2ff" w:val="clear"/>
            <w:tcMar>
              <w:top w:w="160.0" w:type="dxa"/>
              <w:left w:w="160.0" w:type="dxa"/>
              <w:bottom w:w="160.0" w:type="dxa"/>
              <w:right w:w="160.0" w:type="dxa"/>
            </w:tcMar>
          </w:tcPr>
          <w:p w:rsidR="00000000" w:rsidDel="00000000" w:rsidP="00000000" w:rsidRDefault="00000000" w:rsidRPr="00000000" w14:paraId="00000010">
            <w:pPr>
              <w:jc w:val="center"/>
              <w:rPr/>
            </w:pPr>
            <w:r w:rsidDel="00000000" w:rsidR="00000000" w:rsidRPr="00000000">
              <w:rPr>
                <w:rFonts w:ascii="Arial" w:cs="Arial" w:eastAsia="Arial" w:hAnsi="Arial"/>
                <w:color w:val="6b7280"/>
                <w:sz w:val="18"/>
                <w:szCs w:val="18"/>
                <w:rtl w:val="0"/>
              </w:rPr>
              <w:t xml:space="preserve">Institución</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0a2463"/>
                <w:sz w:val="28"/>
                <w:szCs w:val="28"/>
                <w:rtl w:val="0"/>
              </w:rPr>
              <w:t xml:space="preserve">SENA CTGI</w:t>
            </w:r>
            <w:r w:rsidDel="00000000" w:rsidR="00000000" w:rsidRPr="00000000">
              <w:rPr>
                <w:rtl w:val="0"/>
              </w:rPr>
            </w:r>
          </w:p>
        </w:tc>
      </w:tr>
    </w:tbl>
    <w:p w:rsidR="00000000" w:rsidDel="00000000" w:rsidP="00000000" w:rsidRDefault="00000000" w:rsidRPr="00000000" w14:paraId="00000012">
      <w:pPr>
        <w:spacing w:after="0" w:before="30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1. Concepto de Marca</w:t>
      </w:r>
      <w:r w:rsidDel="00000000" w:rsidR="00000000" w:rsidRPr="00000000">
        <w:rPr>
          <w:rtl w:val="0"/>
        </w:rPr>
      </w:r>
    </w:p>
    <w:p w:rsidR="00000000" w:rsidDel="00000000" w:rsidP="00000000" w:rsidRDefault="00000000" w:rsidRPr="00000000" w14:paraId="00000015">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16">
      <w:pPr>
        <w:spacing w:after="0" w:before="100" w:lineRule="auto"/>
        <w:rPr/>
      </w:pPr>
      <w:r w:rsidDel="00000000" w:rsidR="00000000" w:rsidRPr="00000000">
        <w:rPr>
          <w:rtl w:val="0"/>
        </w:rPr>
      </w:r>
    </w:p>
    <w:p w:rsidR="00000000" w:rsidDel="00000000" w:rsidP="00000000" w:rsidRDefault="00000000" w:rsidRPr="00000000" w14:paraId="00000017">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1.1 Nombre del Producto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2ff" w:val="clear"/>
            <w:tcMar>
              <w:top w:w="200.0" w:type="dxa"/>
              <w:left w:w="320.0" w:type="dxa"/>
              <w:bottom w:w="200.0" w:type="dxa"/>
              <w:right w:w="32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0a2463"/>
                <w:sz w:val="48"/>
                <w:szCs w:val="48"/>
                <w:rtl w:val="0"/>
              </w:rPr>
              <w:t xml:space="preserve">Medellín Movilidata OS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i w:val="1"/>
                <w:iCs w:val="1"/>
                <w:color w:val="6b7280"/>
                <w:sz w:val="24"/>
                <w:szCs w:val="24"/>
                <w:rtl w:val="0"/>
              </w:rPr>
              <w:t xml:space="preserve">Plataforma Unificada de Movilidad Inteligente</w:t>
            </w:r>
            <w:r w:rsidDel="00000000" w:rsidR="00000000" w:rsidRPr="00000000">
              <w:rPr>
                <w:rtl w:val="0"/>
              </w:rPr>
            </w:r>
          </w:p>
        </w:tc>
      </w:tr>
    </w:tbl>
    <w:p w:rsidR="00000000" w:rsidDel="00000000" w:rsidP="00000000" w:rsidRDefault="00000000" w:rsidRPr="00000000" w14:paraId="0000001A">
      <w:pPr>
        <w:spacing w:after="0" w:before="160" w:lineRule="auto"/>
        <w:rPr/>
      </w:pPr>
      <w:r w:rsidDel="00000000" w:rsidR="00000000" w:rsidRPr="00000000">
        <w:rPr>
          <w:rtl w:val="0"/>
        </w:rPr>
      </w:r>
    </w:p>
    <w:p w:rsidR="00000000" w:rsidDel="00000000" w:rsidP="00000000" w:rsidRDefault="00000000" w:rsidRPr="00000000" w14:paraId="0000001B">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1.2 Naming Estratégico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Medellín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b1b2f"/>
                <w:sz w:val="20"/>
                <w:szCs w:val="20"/>
                <w:rtl w:val="0"/>
              </w:rPr>
              <w:t xml:space="preserve">Ancla geográfica y cultural. Posiciona la solución como local, relevante y comprometida con la ciudad.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0c2a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Movili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b1b2f"/>
                <w:sz w:val="20"/>
                <w:szCs w:val="20"/>
                <w:rtl w:val="0"/>
              </w:rPr>
              <w:t xml:space="preserve">Contracción de "Movilidad". Evoca movimiento, fluidez, transporte y dinamismo urbano.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0c2a8"/>
                <w:sz w:val="22"/>
                <w:szCs w:val="22"/>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b1b2f"/>
                <w:sz w:val="20"/>
                <w:szCs w:val="20"/>
                <w:rtl w:val="0"/>
              </w:rPr>
              <w:t xml:space="preserve">Referencia directa a datos, analítica e inteligencia. Comunica enfoque técnico y basado en evidencia.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0c2a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2"/>
                <w:szCs w:val="22"/>
                <w:rtl w:val="0"/>
              </w:rPr>
              <w:t xml:space="preserve">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b1b2f"/>
                <w:sz w:val="20"/>
                <w:szCs w:val="20"/>
                <w:rtl w:val="0"/>
              </w:rPr>
              <w:t xml:space="preserve">"Operating System". Refuerza la idea de plataforma integral, robusta y tecnológicamente avanzada.</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1.3 Concepto Central</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1b1b2f"/>
          <w:sz w:val="22"/>
          <w:szCs w:val="22"/>
          <w:rtl w:val="0"/>
        </w:rPr>
        <w:t xml:space="preserve">Medellín Movilidata OS nace de la necesidad de unificar la gestión de movilidad urbana en una sola plataforma inteligente. La ciudad enfrenta cuatro retos críticos e interconectados: accidentalidad vial, congestión crónica, falta de predicción y rutas inseguras en temporada de lluvias.</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color w:val="1b1b2f"/>
          <w:sz w:val="22"/>
          <w:szCs w:val="22"/>
          <w:rtl w:val="0"/>
        </w:rPr>
        <w:t xml:space="preserve">La plataforma responde con analítica predictiva, monitoreo en tiempo real e inteligencia artificial, transformando datos dispersos en decisiones informadas para ciudadanos, operadores de movilidad y entidades distritales.</w:t>
      </w:r>
      <w:r w:rsidDel="00000000" w:rsidR="00000000" w:rsidRPr="00000000">
        <w:rPr>
          <w:rtl w:val="0"/>
        </w:rPr>
      </w:r>
    </w:p>
    <w:p w:rsidR="00000000" w:rsidDel="00000000" w:rsidP="00000000" w:rsidRDefault="00000000" w:rsidRPr="00000000" w14:paraId="00000029">
      <w:pPr>
        <w:spacing w:after="0" w:before="160" w:lineRule="auto"/>
        <w:rPr/>
      </w:pPr>
      <w:r w:rsidDel="00000000" w:rsidR="00000000" w:rsidRPr="00000000">
        <w:rPr>
          <w:rtl w:val="0"/>
        </w:rPr>
      </w:r>
    </w:p>
    <w:p w:rsidR="00000000" w:rsidDel="00000000" w:rsidP="00000000" w:rsidRDefault="00000000" w:rsidRPr="00000000" w14:paraId="0000002A">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1.4 Propuesta de Valor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Integración de múltiples fuentes de datos abiertos de Medellín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Predicción de congestión hasta 4 horas antes de que ocurra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Detección de zonas críticas de accidentalidad con mapas de calor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Rutas seguras adaptadas en tiempo real según condiciones climáticas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Dashboard unificado, responsive y con modo offline (PWA)</w:t>
      </w:r>
      <w:r w:rsidDel="00000000" w:rsidR="00000000" w:rsidRPr="00000000">
        <w:rPr>
          <w:rtl w:val="0"/>
        </w:rPr>
      </w:r>
    </w:p>
    <w:p w:rsidR="00000000" w:rsidDel="00000000" w:rsidP="00000000" w:rsidRDefault="00000000" w:rsidRPr="00000000" w14:paraId="00000030">
      <w:pPr>
        <w:spacing w:after="0" w:before="20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2. Logotipo</w:t>
      </w:r>
      <w:r w:rsidDel="00000000" w:rsidR="00000000" w:rsidRPr="00000000">
        <w:rPr>
          <w:rtl w:val="0"/>
        </w:rPr>
      </w:r>
    </w:p>
    <w:p w:rsidR="00000000" w:rsidDel="00000000" w:rsidP="00000000" w:rsidRDefault="00000000" w:rsidRPr="00000000" w14:paraId="00000033">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34">
      <w:pPr>
        <w:spacing w:after="0" w:before="100" w:lineRule="auto"/>
        <w:rPr/>
      </w:pPr>
      <w:r w:rsidDel="00000000" w:rsidR="00000000" w:rsidRPr="00000000">
        <w:rPr>
          <w:rtl w:val="0"/>
        </w:rPr>
      </w:r>
    </w:p>
    <w:p w:rsidR="00000000" w:rsidDel="00000000" w:rsidP="00000000" w:rsidRDefault="00000000" w:rsidRPr="00000000" w14:paraId="00000035">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2.1 Logo Oficial</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color w:val="1b1b2f"/>
          <w:sz w:val="22"/>
          <w:szCs w:val="22"/>
          <w:rtl w:val="0"/>
        </w:rPr>
        <w:t xml:space="preserve">A continuación se presenta el logotipo oficial de Medellín Movilidata OS. El símbolo integra tres flechas ascendentes que emergen de una forma fluida en M, representando los flujos de tráfico, la analítica de datos y el movimiento ascendente de la movilidad inteligente en Medellín.</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2.2 Lectura del Símbolo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La forma base en M alude a Medellín y al movimiento ondulante del tráfico urbano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Las tres flechas representan los tres ejes de la plataforma: accidentalidad, congestión y rutas seguras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El degradado azul-verde-naranja refleja la paleta tecnológica y la energía de la movilidad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El trazo fluido comunica continuidad, análisis en tiempo real y dinamismo</w:t>
      </w:r>
      <w:r w:rsidDel="00000000" w:rsidR="00000000" w:rsidRPr="00000000">
        <w:rPr>
          <w:rtl w:val="0"/>
        </w:rPr>
      </w:r>
    </w:p>
    <w:p w:rsidR="00000000" w:rsidDel="00000000" w:rsidP="00000000" w:rsidRDefault="00000000" w:rsidRPr="00000000" w14:paraId="0000003D">
      <w:pPr>
        <w:spacing w:after="0" w:before="160" w:lineRule="auto"/>
        <w:rPr/>
      </w:pPr>
      <w:r w:rsidDel="00000000" w:rsidR="00000000" w:rsidRPr="00000000">
        <w:rPr>
          <w:rtl w:val="0"/>
        </w:rPr>
      </w:r>
    </w:p>
    <w:p w:rsidR="00000000" w:rsidDel="00000000" w:rsidP="00000000" w:rsidRDefault="00000000" w:rsidRPr="00000000" w14:paraId="0000003E">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2.3 Versiones del Logotipo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120.0" w:type="dxa"/>
              <w:left w:w="120.0" w:type="dxa"/>
              <w:bottom w:w="12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0"/>
                <w:szCs w:val="20"/>
                <w:rtl w:val="0"/>
              </w:rPr>
              <w:t xml:space="preserve">VERSIÓN PRINCIPAL</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Arial" w:cs="Arial" w:eastAsia="Arial" w:hAnsi="Arial"/>
                <w:color w:val="00c2a8"/>
                <w:sz w:val="18"/>
                <w:szCs w:val="18"/>
                <w:rtl w:val="0"/>
              </w:rPr>
              <w:t xml:space="preserve">Fondo oscuro / negro</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rFonts w:ascii="Arial" w:cs="Arial" w:eastAsia="Arial" w:hAnsi="Arial"/>
                <w:i w:val="1"/>
                <w:iCs w:val="1"/>
                <w:color w:val="edf2ff"/>
                <w:sz w:val="18"/>
                <w:szCs w:val="18"/>
                <w:rtl w:val="0"/>
              </w:rPr>
              <w:t xml:space="preserve">Uso oficial en todos los materiales principales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b" w:val="clear"/>
            <w:tcMar>
              <w:top w:w="120.0" w:type="dxa"/>
              <w:left w:w="120.0" w:type="dxa"/>
              <w:bottom w:w="12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0a2463"/>
                <w:sz w:val="20"/>
                <w:szCs w:val="20"/>
                <w:rtl w:val="0"/>
              </w:rPr>
              <w:t xml:space="preserve">VERSIÓN NEGATIVA</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rFonts w:ascii="Arial" w:cs="Arial" w:eastAsia="Arial" w:hAnsi="Arial"/>
                <w:color w:val="6b7280"/>
                <w:sz w:val="18"/>
                <w:szCs w:val="18"/>
                <w:rtl w:val="0"/>
              </w:rPr>
              <w:t xml:space="preserve">Fondo blanco / claro</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rFonts w:ascii="Arial" w:cs="Arial" w:eastAsia="Arial" w:hAnsi="Arial"/>
                <w:i w:val="1"/>
                <w:iCs w:val="1"/>
                <w:color w:val="6b7280"/>
                <w:sz w:val="18"/>
                <w:szCs w:val="18"/>
                <w:rtl w:val="0"/>
              </w:rPr>
              <w:t xml:space="preserve">Documentos, presentaciones e impresión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0c2a8" w:val="clear"/>
            <w:tcMar>
              <w:top w:w="120.0" w:type="dxa"/>
              <w:left w:w="120.0" w:type="dxa"/>
              <w:bottom w:w="12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VERSIÓN ÍCONO</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rFonts w:ascii="Arial" w:cs="Arial" w:eastAsia="Arial" w:hAnsi="Arial"/>
                <w:color w:val="ffffff"/>
                <w:sz w:val="18"/>
                <w:szCs w:val="18"/>
                <w:rtl w:val="0"/>
              </w:rPr>
              <w:t xml:space="preserve">Solo símbolo</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Arial" w:cs="Arial" w:eastAsia="Arial" w:hAnsi="Arial"/>
                <w:i w:val="1"/>
                <w:iCs w:val="1"/>
                <w:color w:val="ffffff"/>
                <w:sz w:val="18"/>
                <w:szCs w:val="18"/>
                <w:rtl w:val="0"/>
              </w:rPr>
              <w:t xml:space="preserve">App, favicon, avatar y espacios reducidos</w:t>
            </w:r>
            <w:r w:rsidDel="00000000" w:rsidR="00000000" w:rsidRPr="00000000">
              <w:rPr>
                <w:rtl w:val="0"/>
              </w:rPr>
            </w:r>
          </w:p>
        </w:tc>
      </w:tr>
    </w:tbl>
    <w:p w:rsidR="00000000" w:rsidDel="00000000" w:rsidP="00000000" w:rsidRDefault="00000000" w:rsidRPr="00000000" w14:paraId="00000048">
      <w:pPr>
        <w:spacing w:after="0" w:before="160" w:lineRule="auto"/>
        <w:rPr/>
      </w:pPr>
      <w:r w:rsidDel="00000000" w:rsidR="00000000" w:rsidRPr="00000000">
        <w:rPr>
          <w:rtl w:val="0"/>
        </w:rPr>
      </w:r>
    </w:p>
    <w:p w:rsidR="00000000" w:rsidDel="00000000" w:rsidP="00000000" w:rsidRDefault="00000000" w:rsidRPr="00000000" w14:paraId="00000049">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2.4 Uso Correcto del Logotipo</w:t>
      </w:r>
      <w:r w:rsidDel="00000000" w:rsidR="00000000" w:rsidRPr="00000000">
        <w:rPr>
          <w:rtl w:val="0"/>
        </w:rPr>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00c2a8"/>
          <w:sz w:val="24"/>
          <w:szCs w:val="24"/>
          <w:rtl w:val="0"/>
        </w:rPr>
        <w:t xml:space="preserve">Permitido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Usar sobre fondos oscuros: negro (#1B1B2F), azul primario (#0A2463)</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Mantener proporciones originales en todo momento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Escalar proporcionalmente respetando el área de protección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Usar el ícono solo en espacios muy reducidos (favicon, avatar)</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rFonts w:ascii="Arial" w:cs="Arial" w:eastAsia="Arial" w:hAnsi="Arial"/>
          <w:b w:val="1"/>
          <w:bCs w:val="1"/>
          <w:color w:val="00c2a8"/>
          <w:sz w:val="24"/>
          <w:szCs w:val="24"/>
          <w:rtl w:val="0"/>
        </w:rPr>
        <w:t xml:space="preserve">Prohibido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Distorsionar, estirar o comprimir el logotipo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Colocar el logo sobre fondos claros sin ajuste de versión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Agregar sombras, contornos o efectos adicionales no establecidos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Cambiar los colores del degradado por otros no autorizados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Recortar o modificar cualquier parte del símbolo</w:t>
      </w:r>
      <w:r w:rsidDel="00000000" w:rsidR="00000000" w:rsidRPr="00000000">
        <w:rPr>
          <w:rtl w:val="0"/>
        </w:rPr>
      </w:r>
    </w:p>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2.5 Tamaño Mínimo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Soporte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Tamaño mínimo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Versión recomendada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b1b2f"/>
                <w:sz w:val="20"/>
                <w:szCs w:val="20"/>
                <w:rtl w:val="0"/>
              </w:rPr>
              <w:t xml:space="preserve">Digital / Web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b1b2f"/>
                <w:sz w:val="20"/>
                <w:szCs w:val="20"/>
                <w:rtl w:val="0"/>
              </w:rPr>
              <w:t xml:space="preserve">120px de ancho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b1b2f"/>
                <w:sz w:val="20"/>
                <w:szCs w:val="20"/>
                <w:rtl w:val="0"/>
              </w:rPr>
              <w:t xml:space="preserve">Principal (fondo oscuro)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b1b2f"/>
                <w:sz w:val="20"/>
                <w:szCs w:val="20"/>
                <w:rtl w:val="0"/>
              </w:rPr>
              <w:t xml:space="preserve">Impreso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b1b2f"/>
                <w:sz w:val="20"/>
                <w:szCs w:val="20"/>
                <w:rtl w:val="0"/>
              </w:rPr>
              <w:t xml:space="preserve">3 cm de ancho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b1b2f"/>
                <w:sz w:val="20"/>
                <w:szCs w:val="20"/>
                <w:rtl w:val="0"/>
              </w:rPr>
              <w:t xml:space="preserve">Negativa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b1b2f"/>
                <w:sz w:val="20"/>
                <w:szCs w:val="20"/>
                <w:rtl w:val="0"/>
              </w:rPr>
              <w:t xml:space="preserve">Favicon / App icon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b1b2f"/>
                <w:sz w:val="20"/>
                <w:szCs w:val="20"/>
                <w:rtl w:val="0"/>
              </w:rPr>
              <w:t xml:space="preserve">32px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b1b2f"/>
                <w:sz w:val="20"/>
                <w:szCs w:val="20"/>
                <w:rtl w:val="0"/>
              </w:rPr>
              <w:t xml:space="preserve">Solo símbolo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b1b2f"/>
                <w:sz w:val="20"/>
                <w:szCs w:val="20"/>
                <w:rtl w:val="0"/>
              </w:rPr>
              <w:t xml:space="preserve">Redes sociales (avatar)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b1b2f"/>
                <w:sz w:val="20"/>
                <w:szCs w:val="20"/>
                <w:rtl w:val="0"/>
              </w:rPr>
              <w:t xml:space="preserve">200px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b1b2f"/>
                <w:sz w:val="20"/>
                <w:szCs w:val="20"/>
                <w:rtl w:val="0"/>
              </w:rPr>
              <w:t xml:space="preserve">Solo símbolo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b1b2f"/>
                <w:sz w:val="20"/>
                <w:szCs w:val="20"/>
                <w:rtl w:val="0"/>
              </w:rPr>
              <w:t xml:space="preserve">Presentaciones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b1b2f"/>
                <w:sz w:val="20"/>
                <w:szCs w:val="20"/>
                <w:rtl w:val="0"/>
              </w:rPr>
              <w:t xml:space="preserve">4 cm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b1b2f"/>
                <w:sz w:val="20"/>
                <w:szCs w:val="20"/>
                <w:rtl w:val="0"/>
              </w:rPr>
              <w:t xml:space="preserve">Principal o negativa</w:t>
            </w:r>
            <w:r w:rsidDel="00000000" w:rsidR="00000000" w:rsidRPr="00000000">
              <w:rPr>
                <w:rtl w:val="0"/>
              </w:rPr>
            </w:r>
          </w:p>
        </w:tc>
      </w:tr>
    </w:tbl>
    <w:p w:rsidR="00000000" w:rsidDel="00000000" w:rsidP="00000000" w:rsidRDefault="00000000" w:rsidRPr="00000000" w14:paraId="0000006A">
      <w:pPr>
        <w:spacing w:after="0" w:before="20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3. Paleta Cromática</w:t>
      </w:r>
      <w:r w:rsidDel="00000000" w:rsidR="00000000" w:rsidRPr="00000000">
        <w:rPr>
          <w:rtl w:val="0"/>
        </w:rPr>
      </w:r>
    </w:p>
    <w:p w:rsidR="00000000" w:rsidDel="00000000" w:rsidP="00000000" w:rsidRDefault="00000000" w:rsidRPr="00000000" w14:paraId="0000006D">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6E">
      <w:pPr>
        <w:spacing w:after="0" w:before="10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1b1b2f"/>
          <w:sz w:val="22"/>
          <w:szCs w:val="22"/>
          <w:rtl w:val="0"/>
        </w:rPr>
        <w:t xml:space="preserve">Los colores de Medellín Movilidata OS reflejan su naturaleza tecnológica, su vínculo con la ciudad y su propósito de transformar la movilidad con datos. La paleta combina la solidez institucional del azul profundo con la frescura innovadora del verde agua, sobre bases neutras que garantizan legibilidad y modernidad.</w:t>
      </w:r>
      <w:r w:rsidDel="00000000" w:rsidR="00000000" w:rsidRPr="00000000">
        <w:rPr>
          <w:rtl w:val="0"/>
        </w:rPr>
      </w:r>
    </w:p>
    <w:p w:rsidR="00000000" w:rsidDel="00000000" w:rsidP="00000000" w:rsidRDefault="00000000" w:rsidRPr="00000000" w14:paraId="00000070">
      <w:pPr>
        <w:spacing w:after="0" w:before="200" w:lineRule="auto"/>
        <w:rPr/>
      </w:pP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3.1 Colores Primarios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463" w:val="clear"/>
            <w:tcMar>
              <w:top w:w="200.0" w:type="dxa"/>
              <w:left w:w="120.0" w:type="dxa"/>
              <w:bottom w:w="200.0" w:type="dxa"/>
              <w:right w:w="120.0" w:type="dxa"/>
            </w:tcMar>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0a2463"/>
                <w:sz w:val="22"/>
                <w:szCs w:val="22"/>
                <w:rtl w:val="0"/>
              </w:rPr>
              <w:t xml:space="preserve">Azul Noche</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6b7280"/>
                <w:sz w:val="18"/>
                <w:szCs w:val="18"/>
                <w:rtl w:val="0"/>
              </w:rPr>
              <w:t xml:space="preserve">HEX: #0A2463</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color w:val="6b7280"/>
                <w:sz w:val="18"/>
                <w:szCs w:val="18"/>
                <w:rtl w:val="0"/>
              </w:rPr>
              <w:t xml:space="preserve">RGB: 10, 36,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color w:val="1b1b2f"/>
                <w:sz w:val="20"/>
                <w:szCs w:val="20"/>
                <w:rtl w:val="0"/>
              </w:rPr>
              <w:t xml:space="preserve">Color principal de la marca. Representa solidez institucional, tecnología y confianza. Uso: fondos principales, encabezados, UI oscura.</w:t>
            </w:r>
            <w:r w:rsidDel="00000000" w:rsidR="00000000" w:rsidRPr="00000000">
              <w:rPr>
                <w:rtl w:val="0"/>
              </w:rPr>
            </w:r>
          </w:p>
        </w:tc>
      </w:tr>
    </w:tbl>
    <w:p w:rsidR="00000000" w:rsidDel="00000000" w:rsidP="00000000" w:rsidRDefault="00000000" w:rsidRPr="00000000" w14:paraId="00000077">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c2a8" w:val="clear"/>
            <w:tcMar>
              <w:top w:w="200.0" w:type="dxa"/>
              <w:left w:w="120.0" w:type="dxa"/>
              <w:bottom w:w="200.0" w:type="dxa"/>
              <w:right w:w="120.0" w:type="dxa"/>
            </w:tcMar>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0a2463"/>
                <w:sz w:val="22"/>
                <w:szCs w:val="22"/>
                <w:rtl w:val="0"/>
              </w:rPr>
              <w:t xml:space="preserve">Verde Agua</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color w:val="6b7280"/>
                <w:sz w:val="18"/>
                <w:szCs w:val="18"/>
                <w:rtl w:val="0"/>
              </w:rPr>
              <w:t xml:space="preserve">HEX: #00C2A8</w:t>
            </w: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color w:val="6b7280"/>
                <w:sz w:val="18"/>
                <w:szCs w:val="18"/>
                <w:rtl w:val="0"/>
              </w:rPr>
              <w:t xml:space="preserve">RGB: 0, 194, 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color w:val="1b1b2f"/>
                <w:sz w:val="20"/>
                <w:szCs w:val="20"/>
                <w:rtl w:val="0"/>
              </w:rPr>
              <w:t xml:space="preserve">Color de acento. Evoca innovación, flujo de datos y movilidad. Uso: CTAs, íconos activos, elementos destacados, gráficas.</w:t>
            </w:r>
            <w:r w:rsidDel="00000000" w:rsidR="00000000" w:rsidRPr="00000000">
              <w:rPr>
                <w:rtl w:val="0"/>
              </w:rPr>
            </w:r>
          </w:p>
        </w:tc>
      </w:tr>
    </w:tbl>
    <w:p w:rsidR="00000000" w:rsidDel="00000000" w:rsidP="00000000" w:rsidRDefault="00000000" w:rsidRPr="00000000" w14:paraId="0000007D">
      <w:pPr>
        <w:spacing w:after="0" w:before="200" w:lineRule="auto"/>
        <w:rPr/>
      </w:pPr>
      <w:r w:rsidDel="00000000" w:rsidR="00000000" w:rsidRPr="00000000">
        <w:rPr>
          <w:rtl w:val="0"/>
        </w:rPr>
      </w:r>
    </w:p>
    <w:p w:rsidR="00000000" w:rsidDel="00000000" w:rsidP="00000000" w:rsidRDefault="00000000" w:rsidRPr="00000000" w14:paraId="0000007E">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3.2 Colores Secundarios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1b2f" w:val="clear"/>
            <w:tcMar>
              <w:top w:w="200.0" w:type="dxa"/>
              <w:left w:w="120.0" w:type="dxa"/>
              <w:bottom w:w="200.0" w:type="dxa"/>
              <w:right w:w="120.0" w:type="dxa"/>
            </w:tcMar>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0a2463"/>
                <w:sz w:val="22"/>
                <w:szCs w:val="22"/>
                <w:rtl w:val="0"/>
              </w:rPr>
              <w:t xml:space="preserve">Grafito</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color w:val="6b7280"/>
                <w:sz w:val="18"/>
                <w:szCs w:val="18"/>
                <w:rtl w:val="0"/>
              </w:rPr>
              <w:t xml:space="preserve">HEX: #1B1B2F</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color w:val="6b7280"/>
                <w:sz w:val="18"/>
                <w:szCs w:val="18"/>
                <w:rtl w:val="0"/>
              </w:rPr>
              <w:t xml:space="preserve">RGB: 27, 27,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color w:val="1b1b2f"/>
                <w:sz w:val="20"/>
                <w:szCs w:val="20"/>
                <w:rtl w:val="0"/>
              </w:rPr>
              <w:t xml:space="preserve">Fondo alternativo oscuro. Uso: modo noche, textos sobre fondos claros, elementos de alta jerarquía.</w:t>
            </w:r>
            <w:r w:rsidDel="00000000" w:rsidR="00000000" w:rsidRPr="00000000">
              <w:rPr>
                <w:rtl w:val="0"/>
              </w:rPr>
            </w:r>
          </w:p>
        </w:tc>
      </w:tr>
    </w:tbl>
    <w:p w:rsidR="00000000" w:rsidDel="00000000" w:rsidP="00000000" w:rsidRDefault="00000000" w:rsidRPr="00000000" w14:paraId="00000084">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b7280" w:val="clear"/>
            <w:tcMar>
              <w:top w:w="200.0" w:type="dxa"/>
              <w:left w:w="120.0" w:type="dxa"/>
              <w:bottom w:w="200.0" w:type="dxa"/>
              <w:right w:w="120.0" w:type="dxa"/>
            </w:tcMar>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0a2463"/>
                <w:sz w:val="22"/>
                <w:szCs w:val="22"/>
                <w:rtl w:val="0"/>
              </w:rPr>
              <w:t xml:space="preserve">Gris Frío</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color w:val="6b7280"/>
                <w:sz w:val="18"/>
                <w:szCs w:val="18"/>
                <w:rtl w:val="0"/>
              </w:rPr>
              <w:t xml:space="preserve">HEX: #6B7280</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color w:val="6b7280"/>
                <w:sz w:val="18"/>
                <w:szCs w:val="18"/>
                <w:rtl w:val="0"/>
              </w:rPr>
              <w:t xml:space="preserve">RGB: 107, 114,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color w:val="1b1b2f"/>
                <w:sz w:val="20"/>
                <w:szCs w:val="20"/>
                <w:rtl w:val="0"/>
              </w:rPr>
              <w:t xml:space="preserve">Color neutro. Uso: textos secundarios, subtítulos, bordes, metadatos y estados deshabilitados.</w:t>
            </w:r>
            <w:r w:rsidDel="00000000" w:rsidR="00000000" w:rsidRPr="00000000">
              <w:rPr>
                <w:rtl w:val="0"/>
              </w:rPr>
            </w:r>
          </w:p>
        </w:tc>
      </w:tr>
    </w:tbl>
    <w:p w:rsidR="00000000" w:rsidDel="00000000" w:rsidP="00000000" w:rsidRDefault="00000000" w:rsidRPr="00000000" w14:paraId="0000008A">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7fb" w:val="clear"/>
            <w:tcMar>
              <w:top w:w="200.0" w:type="dxa"/>
              <w:left w:w="120.0" w:type="dxa"/>
              <w:bottom w:w="200.0" w:type="dxa"/>
              <w:right w:w="120.0" w:type="dxa"/>
            </w:tcMar>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0a2463"/>
                <w:sz w:val="22"/>
                <w:szCs w:val="22"/>
                <w:rtl w:val="0"/>
              </w:rPr>
              <w:t xml:space="preserve">Blanco Nieve</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color w:val="6b7280"/>
                <w:sz w:val="18"/>
                <w:szCs w:val="18"/>
                <w:rtl w:val="0"/>
              </w:rPr>
              <w:t xml:space="preserve">HEX: #F4F7FB</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color w:val="6b7280"/>
                <w:sz w:val="18"/>
                <w:szCs w:val="18"/>
                <w:rtl w:val="0"/>
              </w:rPr>
              <w:t xml:space="preserve">RGB: 244, 247, 251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8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color w:val="1b1b2f"/>
                <w:sz w:val="20"/>
                <w:szCs w:val="20"/>
                <w:rtl w:val="0"/>
              </w:rPr>
              <w:t xml:space="preserve">Fondo general claro. Uso: fondos de tarjetas, secciones alternadas, áreas de contenido.</w:t>
            </w:r>
            <w:r w:rsidDel="00000000" w:rsidR="00000000" w:rsidRPr="00000000">
              <w:rPr>
                <w:rtl w:val="0"/>
              </w:rPr>
            </w:r>
          </w:p>
        </w:tc>
      </w:tr>
    </w:tbl>
    <w:p w:rsidR="00000000" w:rsidDel="00000000" w:rsidP="00000000" w:rsidRDefault="00000000" w:rsidRPr="00000000" w14:paraId="00000090">
      <w:pPr>
        <w:spacing w:after="0" w:before="200" w:lineRule="auto"/>
        <w:rPr/>
      </w:pPr>
      <w:r w:rsidDel="00000000" w:rsidR="00000000" w:rsidRPr="00000000">
        <w:rPr>
          <w:rtl w:val="0"/>
        </w:rPr>
      </w:r>
    </w:p>
    <w:p w:rsidR="00000000" w:rsidDel="00000000" w:rsidP="00000000" w:rsidRDefault="00000000" w:rsidRPr="00000000" w14:paraId="00000091">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3.3 Colores Funcionales / Semánticos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3560"/>
        <w:tblGridChange w:id="0">
          <w:tblGrid>
            <w:gridCol w:w="1800"/>
            <w:gridCol w:w="2000"/>
            <w:gridCol w:w="20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Contexto de uso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22c55e"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b1b2f"/>
                <w:sz w:val="20"/>
                <w:szCs w:val="20"/>
                <w:rtl w:val="0"/>
              </w:rPr>
              <w:t xml:space="preserve">#22C55E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b1b2f"/>
                <w:sz w:val="20"/>
                <w:szCs w:val="20"/>
                <w:rtl w:val="0"/>
              </w:rPr>
              <w:t xml:space="preserve">Éxito / operativo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b1b2f"/>
                <w:sz w:val="20"/>
                <w:szCs w:val="20"/>
                <w:rtl w:val="0"/>
              </w:rPr>
              <w:t xml:space="preserve">Rutas disponibles, sistemas activos, alertas positivas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ab30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b1b2f"/>
                <w:sz w:val="20"/>
                <w:szCs w:val="20"/>
                <w:rtl w:val="0"/>
              </w:rPr>
              <w:t xml:space="preserve">#EAB308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b1b2f"/>
                <w:sz w:val="20"/>
                <w:szCs w:val="20"/>
                <w:rtl w:val="0"/>
              </w:rPr>
              <w:t xml:space="preserve">Advertencia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b1b2f"/>
                <w:sz w:val="20"/>
                <w:szCs w:val="20"/>
                <w:rtl w:val="0"/>
              </w:rPr>
              <w:t xml:space="preserve">Congestión media, clima adverso moderado, datos desactualizados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f444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b1b2f"/>
                <w:sz w:val="20"/>
                <w:szCs w:val="20"/>
                <w:rtl w:val="0"/>
              </w:rPr>
              <w:t xml:space="preserve">#EF4444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b1b2f"/>
                <w:sz w:val="20"/>
                <w:szCs w:val="20"/>
                <w:rtl w:val="0"/>
              </w:rPr>
              <w:t xml:space="preserve">Error / peligro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b1b2f"/>
                <w:sz w:val="20"/>
                <w:szCs w:val="20"/>
                <w:rtl w:val="0"/>
              </w:rPr>
              <w:t xml:space="preserve">Accidentes, congestión severa, zonas de alta siniestralidad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3b82f6"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b1b2f"/>
                <w:sz w:val="20"/>
                <w:szCs w:val="20"/>
                <w:rtl w:val="0"/>
              </w:rPr>
              <w:t xml:space="preserve">#3B82F6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b1b2f"/>
                <w:sz w:val="20"/>
                <w:szCs w:val="20"/>
                <w:rtl w:val="0"/>
              </w:rPr>
              <w:t xml:space="preserve">Información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b1b2f"/>
                <w:sz w:val="20"/>
                <w:szCs w:val="20"/>
                <w:rtl w:val="0"/>
              </w:rPr>
              <w:t xml:space="preserve">Datos descriptivos, tooltips, ayudas contextuales</w:t>
            </w:r>
            <w:r w:rsidDel="00000000" w:rsidR="00000000" w:rsidRPr="00000000">
              <w:rPr>
                <w:rtl w:val="0"/>
              </w:rPr>
            </w:r>
          </w:p>
        </w:tc>
      </w:tr>
    </w:tbl>
    <w:p w:rsidR="00000000" w:rsidDel="00000000" w:rsidP="00000000" w:rsidRDefault="00000000" w:rsidRPr="00000000" w14:paraId="000000A6">
      <w:pPr>
        <w:spacing w:after="0" w:before="20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4. Tipografía Corporativa</w:t>
      </w:r>
      <w:r w:rsidDel="00000000" w:rsidR="00000000" w:rsidRPr="00000000">
        <w:rPr>
          <w:rtl w:val="0"/>
        </w:rPr>
      </w:r>
    </w:p>
    <w:p w:rsidR="00000000" w:rsidDel="00000000" w:rsidP="00000000" w:rsidRDefault="00000000" w:rsidRPr="00000000" w14:paraId="000000A9">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AA">
      <w:pPr>
        <w:spacing w:after="0" w:before="100" w:lineRule="auto"/>
        <w:rPr/>
      </w:pPr>
      <w:r w:rsidDel="00000000" w:rsidR="00000000" w:rsidRPr="00000000">
        <w:rPr>
          <w:rtl w:val="0"/>
        </w:rPr>
      </w:r>
    </w:p>
    <w:p w:rsidR="00000000" w:rsidDel="00000000" w:rsidP="00000000" w:rsidRDefault="00000000" w:rsidRPr="00000000" w14:paraId="000000AB">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4.1 Familia Tipográfica Principal — Poppins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2ff" w:val="clear"/>
            <w:tcMar>
              <w:top w:w="240.0" w:type="dxa"/>
              <w:left w:w="320.0" w:type="dxa"/>
              <w:bottom w:w="240.0" w:type="dxa"/>
              <w:right w:w="3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0a2463"/>
                <w:sz w:val="64"/>
                <w:szCs w:val="64"/>
                <w:rtl w:val="0"/>
              </w:rPr>
              <w:t xml:space="preserve">Poppins</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color w:val="0a2463"/>
                <w:sz w:val="24"/>
                <w:szCs w:val="24"/>
                <w:rtl w:val="0"/>
              </w:rPr>
              <w:t xml:space="preserve">ABCDEFGHIJKLMNOPQRSTUVWXYZ</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color w:val="00c2a8"/>
                <w:sz w:val="24"/>
                <w:szCs w:val="24"/>
                <w:rtl w:val="0"/>
              </w:rPr>
              <w:t xml:space="preserve">abcdefghijklmnopqrstuvwxyz</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color w:val="6b7280"/>
                <w:sz w:val="24"/>
                <w:szCs w:val="24"/>
                <w:rtl w:val="0"/>
              </w:rPr>
              <w:t xml:space="preserve">0 1 2 3 4 5 6 7 8 9</w:t>
            </w:r>
            <w:r w:rsidDel="00000000" w:rsidR="00000000" w:rsidRPr="00000000">
              <w:rPr>
                <w:rtl w:val="0"/>
              </w:rPr>
            </w:r>
          </w:p>
        </w:tc>
      </w:tr>
    </w:tbl>
    <w:p w:rsidR="00000000" w:rsidDel="00000000" w:rsidP="00000000" w:rsidRDefault="00000000" w:rsidRPr="00000000" w14:paraId="000000B0">
      <w:pPr>
        <w:spacing w:after="0" w:before="120" w:lineRule="auto"/>
        <w:rPr/>
      </w:pP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color w:val="1b1b2f"/>
          <w:sz w:val="22"/>
          <w:szCs w:val="22"/>
          <w:rtl w:val="0"/>
        </w:rPr>
        <w:t xml:space="preserve">Poppins es una fuente geométrica sans-serif que combina modernidad técnica con calidez humana. Su diseño limpio y proporciones equilibradas la hacen ideal para interfaces digitales, dashboards de datos y comunicaciones institucionales.</w:t>
      </w:r>
      <w:r w:rsidDel="00000000" w:rsidR="00000000" w:rsidRPr="00000000">
        <w:rPr>
          <w:rtl w:val="0"/>
        </w:rPr>
      </w:r>
    </w:p>
    <w:p w:rsidR="00000000" w:rsidDel="00000000" w:rsidP="00000000" w:rsidRDefault="00000000" w:rsidRPr="00000000" w14:paraId="000000B2">
      <w:pPr>
        <w:spacing w:after="0" w:before="160" w:lineRule="auto"/>
        <w:rPr/>
      </w:pPr>
      <w:r w:rsidDel="00000000" w:rsidR="00000000" w:rsidRPr="00000000">
        <w:rPr>
          <w:rtl w:val="0"/>
        </w:rPr>
      </w:r>
    </w:p>
    <w:p w:rsidR="00000000" w:rsidDel="00000000" w:rsidP="00000000" w:rsidRDefault="00000000" w:rsidRPr="00000000" w14:paraId="000000B3">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4.2 Familia Tipográfica Secundaria — Inter</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color w:val="1b1b2f"/>
          <w:sz w:val="22"/>
          <w:szCs w:val="22"/>
          <w:rtl w:val="0"/>
        </w:rPr>
        <w:t xml:space="preserve">Inter es una fuente diseñada específicamente para pantallas digitales, optimizada para legibilidad en tamaños pequeños. Se utiliza en textos de cuerpo largo, tablas de datos, tooltips y contenido secundario del sistema.</w:t>
      </w:r>
      <w:r w:rsidDel="00000000" w:rsidR="00000000" w:rsidRPr="00000000">
        <w:rPr>
          <w:rtl w:val="0"/>
        </w:rPr>
      </w:r>
    </w:p>
    <w:p w:rsidR="00000000" w:rsidDel="00000000" w:rsidP="00000000" w:rsidRDefault="00000000" w:rsidRPr="00000000" w14:paraId="000000B5">
      <w:pPr>
        <w:spacing w:after="0" w:before="160" w:lineRule="auto"/>
        <w:rPr/>
      </w:pPr>
      <w:r w:rsidDel="00000000" w:rsidR="00000000" w:rsidRPr="00000000">
        <w:rPr>
          <w:rtl w:val="0"/>
        </w:rPr>
      </w:r>
    </w:p>
    <w:p w:rsidR="00000000" w:rsidDel="00000000" w:rsidP="00000000" w:rsidRDefault="00000000" w:rsidRPr="00000000" w14:paraId="000000B6">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4.3 Jerarquía Tipográfica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600"/>
        <w:gridCol w:w="1600"/>
        <w:gridCol w:w="2560"/>
        <w:tblGridChange w:id="0">
          <w:tblGrid>
            <w:gridCol w:w="2000"/>
            <w:gridCol w:w="1600"/>
            <w:gridCol w:w="1600"/>
            <w:gridCol w:w="1600"/>
            <w:gridCol w:w="2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Fuente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Tamaño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b1b2f"/>
                <w:sz w:val="18"/>
                <w:szCs w:val="18"/>
                <w:rtl w:val="0"/>
              </w:rPr>
              <w:t xml:space="preserve">H1 — Título principal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b1b2f"/>
                <w:sz w:val="18"/>
                <w:szCs w:val="18"/>
                <w:rtl w:val="0"/>
              </w:rPr>
              <w:t xml:space="preserve">Poppins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b1b2f"/>
                <w:sz w:val="18"/>
                <w:szCs w:val="18"/>
                <w:rtl w:val="0"/>
              </w:rPr>
              <w:t xml:space="preserve">48px / 36pt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b1b2f"/>
                <w:sz w:val="18"/>
                <w:szCs w:val="18"/>
                <w:rtl w:val="0"/>
              </w:rPr>
              <w:t xml:space="preserve">Bold 700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b1b2f"/>
                <w:sz w:val="18"/>
                <w:szCs w:val="18"/>
                <w:rtl w:val="0"/>
              </w:rPr>
              <w:t xml:space="preserve">Portadas, títulos de sección principal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b1b2f"/>
                <w:sz w:val="18"/>
                <w:szCs w:val="18"/>
                <w:rtl w:val="0"/>
              </w:rPr>
              <w:t xml:space="preserve">H2 — Título sección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b1b2f"/>
                <w:sz w:val="18"/>
                <w:szCs w:val="18"/>
                <w:rtl w:val="0"/>
              </w:rPr>
              <w:t xml:space="preserve">Poppins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b1b2f"/>
                <w:sz w:val="18"/>
                <w:szCs w:val="18"/>
                <w:rtl w:val="0"/>
              </w:rPr>
              <w:t xml:space="preserve">32px / 24pt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b1b2f"/>
                <w:sz w:val="18"/>
                <w:szCs w:val="18"/>
                <w:rtl w:val="0"/>
              </w:rPr>
              <w:t xml:space="preserve">SemiBold 600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b1b2f"/>
                <w:sz w:val="18"/>
                <w:szCs w:val="18"/>
                <w:rtl w:val="0"/>
              </w:rPr>
              <w:t xml:space="preserve">Subsecciones, encabezados de módulo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b1b2f"/>
                <w:sz w:val="18"/>
                <w:szCs w:val="18"/>
                <w:rtl w:val="0"/>
              </w:rPr>
              <w:t xml:space="preserve">H3 — Subtítulo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b1b2f"/>
                <w:sz w:val="18"/>
                <w:szCs w:val="18"/>
                <w:rtl w:val="0"/>
              </w:rPr>
              <w:t xml:space="preserve">Poppins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b1b2f"/>
                <w:sz w:val="18"/>
                <w:szCs w:val="18"/>
                <w:rtl w:val="0"/>
              </w:rPr>
              <w:t xml:space="preserve">24px / 18pt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b1b2f"/>
                <w:sz w:val="18"/>
                <w:szCs w:val="18"/>
                <w:rtl w:val="0"/>
              </w:rPr>
              <w:t xml:space="preserve">Medium 500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b1b2f"/>
                <w:sz w:val="18"/>
                <w:szCs w:val="18"/>
                <w:rtl w:val="0"/>
              </w:rPr>
              <w:t xml:space="preserve">Títulos de tarjeta, widgets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b1b2f"/>
                <w:sz w:val="18"/>
                <w:szCs w:val="18"/>
                <w:rtl w:val="0"/>
              </w:rPr>
              <w:t xml:space="preserve">Cuerpo principal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b1b2f"/>
                <w:sz w:val="18"/>
                <w:szCs w:val="18"/>
                <w:rtl w:val="0"/>
              </w:rPr>
              <w:t xml:space="preserve">Inter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b1b2f"/>
                <w:sz w:val="18"/>
                <w:szCs w:val="18"/>
                <w:rtl w:val="0"/>
              </w:rPr>
              <w:t xml:space="preserve">16px / 12pt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b1b2f"/>
                <w:sz w:val="18"/>
                <w:szCs w:val="18"/>
                <w:rtl w:val="0"/>
              </w:rPr>
              <w:t xml:space="preserve">Regular 400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b1b2f"/>
                <w:sz w:val="18"/>
                <w:szCs w:val="18"/>
                <w:rtl w:val="0"/>
              </w:rPr>
              <w:t xml:space="preserve">Párrafos, descripciones extensas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b1b2f"/>
                <w:sz w:val="18"/>
                <w:szCs w:val="18"/>
                <w:rtl w:val="0"/>
              </w:rPr>
              <w:t xml:space="preserve">Cuerpo secundario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1b1b2f"/>
                <w:sz w:val="18"/>
                <w:szCs w:val="18"/>
                <w:rtl w:val="0"/>
              </w:rPr>
              <w:t xml:space="preserve">Inter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b1b2f"/>
                <w:sz w:val="18"/>
                <w:szCs w:val="18"/>
                <w:rtl w:val="0"/>
              </w:rPr>
              <w:t xml:space="preserve">14px / 10pt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b1b2f"/>
                <w:sz w:val="18"/>
                <w:szCs w:val="18"/>
                <w:rtl w:val="0"/>
              </w:rPr>
              <w:t xml:space="preserve">Regular 400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b1b2f"/>
                <w:sz w:val="18"/>
                <w:szCs w:val="18"/>
                <w:rtl w:val="0"/>
              </w:rPr>
              <w:t xml:space="preserve">Etiquetas, metadatos, tooltips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b1b2f"/>
                <w:sz w:val="18"/>
                <w:szCs w:val="18"/>
                <w:rtl w:val="0"/>
              </w:rPr>
              <w:t xml:space="preserve">Datos / KPI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b1b2f"/>
                <w:sz w:val="18"/>
                <w:szCs w:val="18"/>
                <w:rtl w:val="0"/>
              </w:rPr>
              <w:t xml:space="preserve">Poppins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b1b2f"/>
                <w:sz w:val="18"/>
                <w:szCs w:val="18"/>
                <w:rtl w:val="0"/>
              </w:rPr>
              <w:t xml:space="preserve">40px / 30pt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b1b2f"/>
                <w:sz w:val="18"/>
                <w:szCs w:val="18"/>
                <w:rtl w:val="0"/>
              </w:rPr>
              <w:t xml:space="preserve">Bold 700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b1b2f"/>
                <w:sz w:val="18"/>
                <w:szCs w:val="18"/>
                <w:rtl w:val="0"/>
              </w:rPr>
              <w:t xml:space="preserve">Métricas destacadas en dashboard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b1b2f"/>
                <w:sz w:val="18"/>
                <w:szCs w:val="18"/>
                <w:rtl w:val="0"/>
              </w:rPr>
              <w:t xml:space="preserve">Código /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b1b2f"/>
                <w:sz w:val="18"/>
                <w:szCs w:val="18"/>
                <w:rtl w:val="0"/>
              </w:rPr>
              <w:t xml:space="preserve">Fira Mono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b1b2f"/>
                <w:sz w:val="18"/>
                <w:szCs w:val="18"/>
                <w:rtl w:val="0"/>
              </w:rPr>
              <w:t xml:space="preserve">14px / 10pt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b1b2f"/>
                <w:sz w:val="18"/>
                <w:szCs w:val="18"/>
                <w:rtl w:val="0"/>
              </w:rPr>
              <w:t xml:space="preserve">Regular 400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b1b2f"/>
                <w:sz w:val="18"/>
                <w:szCs w:val="18"/>
                <w:rtl w:val="0"/>
              </w:rPr>
              <w:t xml:space="preserve">Snippets, identificadores técnicos</w:t>
            </w:r>
            <w:r w:rsidDel="00000000" w:rsidR="00000000" w:rsidRPr="00000000">
              <w:rPr>
                <w:rtl w:val="0"/>
              </w:rPr>
            </w:r>
          </w:p>
        </w:tc>
      </w:tr>
    </w:tbl>
    <w:p w:rsidR="00000000" w:rsidDel="00000000" w:rsidP="00000000" w:rsidRDefault="00000000" w:rsidRPr="00000000" w14:paraId="000000DF">
      <w:pPr>
        <w:spacing w:after="0" w:before="20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5. Identidad Visual Aplicada</w:t>
      </w:r>
      <w:r w:rsidDel="00000000" w:rsidR="00000000" w:rsidRPr="00000000">
        <w:rPr>
          <w:rtl w:val="0"/>
        </w:rPr>
      </w:r>
    </w:p>
    <w:p w:rsidR="00000000" w:rsidDel="00000000" w:rsidP="00000000" w:rsidRDefault="00000000" w:rsidRPr="00000000" w14:paraId="000000E2">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5.1 Estilo Visual General</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color w:val="1b1b2f"/>
          <w:sz w:val="22"/>
          <w:szCs w:val="22"/>
          <w:rtl w:val="0"/>
        </w:rPr>
        <w:t xml:space="preserve">El sistema visual se basa en un diseño flat moderno con las siguientes características:</w:t>
      </w: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Fondo oscuro predominante (modo noche) que reduce fatiga visual en uso prolongado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Tarjetas con bordes sutiles y esquinas redondeadas (border-radius: 12px)</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Íconos lineales de estilo outline (Phosphor Icons o Material Icons Outlined)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Animaciones funcionales y discretas, no decorativas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Gráficas con ejes claros, etiquetas legibles y codificación de color semántica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b1b2f"/>
          <w:sz w:val="22"/>
          <w:szCs w:val="22"/>
          <w:u w:val="none"/>
          <w:shd w:fill="auto" w:val="clear"/>
          <w:vertAlign w:val="baseline"/>
          <w:rtl w:val="0"/>
        </w:rPr>
        <w:t xml:space="preserve">Mapas con capa oscura tipo Leaflet Dark Matter o Mapbox Dark</w:t>
      </w:r>
      <w:r w:rsidDel="00000000" w:rsidR="00000000" w:rsidRPr="00000000">
        <w:rPr>
          <w:rtl w:val="0"/>
        </w:rPr>
      </w:r>
    </w:p>
    <w:p w:rsidR="00000000" w:rsidDel="00000000" w:rsidP="00000000" w:rsidRDefault="00000000" w:rsidRPr="00000000" w14:paraId="000000ED">
      <w:pPr>
        <w:spacing w:after="0" w:before="160" w:lineRule="auto"/>
        <w:rPr/>
      </w:pPr>
      <w:r w:rsidDel="00000000" w:rsidR="00000000" w:rsidRPr="00000000">
        <w:rPr>
          <w:rtl w:val="0"/>
        </w:rPr>
      </w:r>
    </w:p>
    <w:p w:rsidR="00000000" w:rsidDel="00000000" w:rsidP="00000000" w:rsidRDefault="00000000" w:rsidRPr="00000000" w14:paraId="000000EE">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5.2 Aplicación en Redes Sociales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Formato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Dimensión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Fondo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463"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b1b2f"/>
                <w:sz w:val="18"/>
                <w:szCs w:val="18"/>
                <w:rtl w:val="0"/>
              </w:rPr>
              <w:t xml:space="preserve">Post cuadrado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b1b2f"/>
                <w:sz w:val="18"/>
                <w:szCs w:val="18"/>
                <w:rtl w:val="0"/>
              </w:rPr>
              <w:t xml:space="preserve">1080 × 1080 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b1b2f"/>
                <w:sz w:val="18"/>
                <w:szCs w:val="18"/>
                <w:rtl w:val="0"/>
              </w:rPr>
              <w:t xml:space="preserve">Azul primario o negro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b1b2f"/>
                <w:sz w:val="18"/>
                <w:szCs w:val="18"/>
                <w:rtl w:val="0"/>
              </w:rPr>
              <w:t xml:space="preserve">Instagram, Facebook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b1b2f"/>
                <w:sz w:val="18"/>
                <w:szCs w:val="18"/>
                <w:rtl w:val="0"/>
              </w:rPr>
              <w:t xml:space="preserve">Story vertical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b1b2f"/>
                <w:sz w:val="18"/>
                <w:szCs w:val="18"/>
                <w:rtl w:val="0"/>
              </w:rPr>
              <w:t xml:space="preserve">1080 × 1920 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b1b2f"/>
                <w:sz w:val="18"/>
                <w:szCs w:val="18"/>
                <w:rtl w:val="0"/>
              </w:rPr>
              <w:t xml:space="preserve">Negro (#1B1B2F)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b1b2f"/>
                <w:sz w:val="18"/>
                <w:szCs w:val="18"/>
                <w:rtl w:val="0"/>
              </w:rPr>
              <w:t xml:space="preserve">Instagram Stories,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b1b2f"/>
                <w:sz w:val="18"/>
                <w:szCs w:val="18"/>
                <w:rtl w:val="0"/>
              </w:rPr>
              <w:t xml:space="preserve">Banner horizontal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b1b2f"/>
                <w:sz w:val="18"/>
                <w:szCs w:val="18"/>
                <w:rtl w:val="0"/>
              </w:rPr>
              <w:t xml:space="preserve">1200 × 628 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b1b2f"/>
                <w:sz w:val="18"/>
                <w:szCs w:val="18"/>
                <w:rtl w:val="0"/>
              </w:rPr>
              <w:t xml:space="preserve">Blanco o claro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b1b2f"/>
                <w:sz w:val="18"/>
                <w:szCs w:val="18"/>
                <w:rtl w:val="0"/>
              </w:rPr>
              <w:t xml:space="preserve">LinkedIn, Twitter/X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b1b2f"/>
                <w:sz w:val="18"/>
                <w:szCs w:val="18"/>
                <w:rtl w:val="0"/>
              </w:rPr>
              <w:t xml:space="preserve">Avatar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b1b2f"/>
                <w:sz w:val="18"/>
                <w:szCs w:val="18"/>
                <w:rtl w:val="0"/>
              </w:rPr>
              <w:t xml:space="preserve">400 × 400 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b1b2f"/>
                <w:sz w:val="18"/>
                <w:szCs w:val="18"/>
                <w:rtl w:val="0"/>
              </w:rPr>
              <w:t xml:space="preserve">Negro (#1B1B2F)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b1b2f"/>
                <w:sz w:val="18"/>
                <w:szCs w:val="18"/>
                <w:rtl w:val="0"/>
              </w:rPr>
              <w:t xml:space="preserve">Perfil de redes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b1b2f"/>
                <w:sz w:val="18"/>
                <w:szCs w:val="18"/>
                <w:rtl w:val="0"/>
              </w:rPr>
              <w:t xml:space="preserve">Portada LinkedIn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b1b2f"/>
                <w:sz w:val="18"/>
                <w:szCs w:val="18"/>
                <w:rtl w:val="0"/>
              </w:rPr>
              <w:t xml:space="preserve">1584 × 396 px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b1b2f"/>
                <w:sz w:val="18"/>
                <w:szCs w:val="18"/>
                <w:rtl w:val="0"/>
              </w:rPr>
              <w:t xml:space="preserve">Azul primario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b1b2f"/>
                <w:sz w:val="18"/>
                <w:szCs w:val="18"/>
                <w:rtl w:val="0"/>
              </w:rPr>
              <w:t xml:space="preserve">Perfil institucional</w:t>
            </w:r>
            <w:r w:rsidDel="00000000" w:rsidR="00000000" w:rsidRPr="00000000">
              <w:rPr>
                <w:rtl w:val="0"/>
              </w:rPr>
            </w:r>
          </w:p>
        </w:tc>
      </w:tr>
    </w:tbl>
    <w:p w:rsidR="00000000" w:rsidDel="00000000" w:rsidP="00000000" w:rsidRDefault="00000000" w:rsidRPr="00000000" w14:paraId="00000107">
      <w:pPr>
        <w:spacing w:after="0" w:before="20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6. Voz y Tono de la Marca</w:t>
      </w:r>
      <w:r w:rsidDel="00000000" w:rsidR="00000000" w:rsidRPr="00000000">
        <w:rPr>
          <w:rtl w:val="0"/>
        </w:rPr>
      </w:r>
    </w:p>
    <w:p w:rsidR="00000000" w:rsidDel="00000000" w:rsidP="00000000" w:rsidRDefault="00000000" w:rsidRPr="00000000" w14:paraId="0000010A">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10B">
      <w:pPr>
        <w:spacing w:after="0" w:before="100" w:lineRule="auto"/>
        <w:rPr/>
      </w:pPr>
      <w:r w:rsidDel="00000000" w:rsidR="00000000" w:rsidRPr="00000000">
        <w:rPr>
          <w:rtl w:val="0"/>
        </w:rPr>
      </w:r>
    </w:p>
    <w:p w:rsidR="00000000" w:rsidDel="00000000" w:rsidP="00000000" w:rsidRDefault="00000000" w:rsidRPr="00000000" w14:paraId="0000010C">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6.1 Personalidad de Marca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120.0" w:type="dxa"/>
              <w:left w:w="120.0" w:type="dxa"/>
              <w:bottom w:w="12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0a2463"/>
                <w:sz w:val="24"/>
                <w:szCs w:val="24"/>
                <w:rtl w:val="0"/>
              </w:rPr>
              <w:t xml:space="preserve">Inteligente</w:t>
            </w: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w:cs="Arial" w:eastAsia="Arial" w:hAnsi="Arial"/>
                <w:i w:val="1"/>
                <w:iCs w:val="1"/>
                <w:color w:val="1b1b2f"/>
                <w:sz w:val="18"/>
                <w:szCs w:val="18"/>
                <w:rtl w:val="0"/>
              </w:rPr>
              <w:t xml:space="preserve">Analiza, procesa y comunica datos complejos con claridad.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df2ff" w:val="clear"/>
            <w:tcMar>
              <w:top w:w="120.0" w:type="dxa"/>
              <w:left w:w="120.0" w:type="dxa"/>
              <w:bottom w:w="12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00c2a8"/>
                <w:sz w:val="24"/>
                <w:szCs w:val="24"/>
                <w:rtl w:val="0"/>
              </w:rPr>
              <w:t xml:space="preserve">Precisa</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i w:val="1"/>
                <w:iCs w:val="1"/>
                <w:color w:val="1b1b2f"/>
                <w:sz w:val="18"/>
                <w:szCs w:val="18"/>
                <w:rtl w:val="0"/>
              </w:rPr>
              <w:t xml:space="preserve">Cada cifra importa. Habla con datos, no con suposiciones.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df2ff" w:val="clear"/>
            <w:tcMar>
              <w:top w:w="120.0" w:type="dxa"/>
              <w:left w:w="120.0" w:type="dxa"/>
              <w:bottom w:w="12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d4ed8"/>
                <w:sz w:val="24"/>
                <w:szCs w:val="24"/>
                <w:rtl w:val="0"/>
              </w:rPr>
              <w:t xml:space="preserve">Ciudadana</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i w:val="1"/>
                <w:iCs w:val="1"/>
                <w:color w:val="1b1b2f"/>
                <w:sz w:val="18"/>
                <w:szCs w:val="18"/>
                <w:rtl w:val="0"/>
              </w:rPr>
              <w:t xml:space="preserve">Comprometida con Medellín, sus habitantes y su movilidad.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df2ff" w:val="clear"/>
            <w:tcMar>
              <w:top w:w="120.0" w:type="dxa"/>
              <w:left w:w="120.0" w:type="dxa"/>
              <w:bottom w:w="12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6b7280"/>
                <w:sz w:val="24"/>
                <w:szCs w:val="24"/>
                <w:rtl w:val="0"/>
              </w:rPr>
              <w:t xml:space="preserve">Directa</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i w:val="1"/>
                <w:iCs w:val="1"/>
                <w:color w:val="1b1b2f"/>
                <w:sz w:val="18"/>
                <w:szCs w:val="18"/>
                <w:rtl w:val="0"/>
              </w:rPr>
              <w:t xml:space="preserve">Sin tecnicismos innecesarios. Clara y accionable.</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rtl w:val="0"/>
        </w:rPr>
      </w:r>
    </w:p>
    <w:p w:rsidR="00000000" w:rsidDel="00000000" w:rsidP="00000000" w:rsidRDefault="00000000" w:rsidRPr="00000000" w14:paraId="00000116">
      <w:pPr>
        <w:pStyle w:val="Heading2"/>
        <w:spacing w:after="160" w:before="300" w:lineRule="auto"/>
        <w:rPr/>
      </w:pPr>
      <w:r w:rsidDel="00000000" w:rsidR="00000000" w:rsidRPr="00000000">
        <w:rPr>
          <w:rFonts w:ascii="Arial" w:cs="Arial" w:eastAsia="Arial" w:hAnsi="Arial"/>
          <w:b w:val="1"/>
          <w:bCs w:val="1"/>
          <w:color w:val="0a2463"/>
          <w:sz w:val="28"/>
          <w:szCs w:val="28"/>
          <w:rtl w:val="0"/>
        </w:rPr>
        <w:t xml:space="preserve">6.2 Ejemplos de Comunicación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991b1b"/>
                <w:sz w:val="22"/>
                <w:szCs w:val="22"/>
                <w:rtl w:val="0"/>
              </w:rPr>
              <w:t xml:space="preserve">Evitar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66534"/>
                <w:sz w:val="22"/>
                <w:szCs w:val="22"/>
                <w:rtl w:val="0"/>
              </w:rPr>
              <w:t xml:space="preserve">Usar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7f1d1d"/>
                <w:sz w:val="20"/>
                <w:szCs w:val="20"/>
                <w:rtl w:val="0"/>
              </w:rPr>
              <w:t xml:space="preserve">Hay mucho tráfico en la ciudad.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4532d"/>
                <w:sz w:val="20"/>
                <w:szCs w:val="20"/>
                <w:rtl w:val="0"/>
              </w:rPr>
              <w:t xml:space="preserve">Se detecta congestión crítica en 3 corredores. Tiempo de espera estimado: +22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7f1d1d"/>
                <w:sz w:val="20"/>
                <w:szCs w:val="20"/>
                <w:rtl w:val="0"/>
              </w:rPr>
              <w:t xml:space="preserve">El sistema es muy bueno para la movilidad.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4532d"/>
                <w:sz w:val="20"/>
                <w:szCs w:val="20"/>
                <w:rtl w:val="0"/>
              </w:rPr>
              <w:t xml:space="preserve">Reducimos en 18% el tiempo promedio de viaje en zonas analizadas.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7f1d1d"/>
                <w:sz w:val="20"/>
                <w:szCs w:val="20"/>
                <w:rtl w:val="0"/>
              </w:rPr>
              <w:t xml:space="preserve">Puede haber lluvias y accidentes.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4532d"/>
                <w:sz w:val="20"/>
                <w:szCs w:val="20"/>
                <w:rtl w:val="0"/>
              </w:rPr>
              <w:t xml:space="preserve">Alerta: probabilidad de inundación del 73% en Itagüí. Ruta alternativa disponible.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7f1d1d"/>
                <w:sz w:val="20"/>
                <w:szCs w:val="20"/>
                <w:rtl w:val="0"/>
              </w:rPr>
              <w:t xml:space="preserve">Nuestra plataforma usa inteligencia artificial.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4532d"/>
                <w:sz w:val="20"/>
                <w:szCs w:val="20"/>
                <w:rtl w:val="0"/>
              </w:rPr>
              <w:t xml:space="preserve">Modelos de series temporales anticipan congestión hasta 4 horas antes.</w:t>
            </w:r>
            <w:r w:rsidDel="00000000" w:rsidR="00000000" w:rsidRPr="00000000">
              <w:rPr>
                <w:rtl w:val="0"/>
              </w:rPr>
            </w:r>
          </w:p>
        </w:tc>
      </w:tr>
    </w:tbl>
    <w:p w:rsidR="00000000" w:rsidDel="00000000" w:rsidP="00000000" w:rsidRDefault="00000000" w:rsidRPr="00000000" w14:paraId="00000121">
      <w:pPr>
        <w:spacing w:after="0" w:before="20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200" w:before="400" w:lineRule="auto"/>
        <w:rPr/>
      </w:pPr>
      <w:r w:rsidDel="00000000" w:rsidR="00000000" w:rsidRPr="00000000">
        <w:rPr>
          <w:rFonts w:ascii="Arial" w:cs="Arial" w:eastAsia="Arial" w:hAnsi="Arial"/>
          <w:b w:val="1"/>
          <w:bCs w:val="1"/>
          <w:color w:val="0a2463"/>
          <w:sz w:val="36"/>
          <w:szCs w:val="36"/>
          <w:rtl w:val="0"/>
        </w:rPr>
        <w:t xml:space="preserve">7. Resumen Ejecutivo de Identidad</w:t>
      </w:r>
      <w:r w:rsidDel="00000000" w:rsidR="00000000" w:rsidRPr="00000000">
        <w:rPr>
          <w:rtl w:val="0"/>
        </w:rPr>
      </w:r>
    </w:p>
    <w:p w:rsidR="00000000" w:rsidDel="00000000" w:rsidP="00000000" w:rsidRDefault="00000000" w:rsidRPr="00000000" w14:paraId="00000124">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125">
      <w:pPr>
        <w:spacing w:after="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0a2463"/>
                <w:sz w:val="20"/>
                <w:szCs w:val="20"/>
                <w:rtl w:val="0"/>
              </w:rPr>
              <w:t xml:space="preserve">Nombre de marca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b1b2f"/>
                <w:sz w:val="20"/>
                <w:szCs w:val="20"/>
                <w:rtl w:val="0"/>
              </w:rPr>
              <w:t xml:space="preserve">Medellín Movilidata 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0a2463"/>
                <w:sz w:val="20"/>
                <w:szCs w:val="20"/>
                <w:rtl w:val="0"/>
              </w:rPr>
              <w:t xml:space="preserve">Slogan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b1b2f"/>
                <w:sz w:val="20"/>
                <w:szCs w:val="20"/>
                <w:rtl w:val="0"/>
              </w:rPr>
              <w:t xml:space="preserve">La ciudad en datos, la movilidad en tiempo real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0a2463"/>
                <w:sz w:val="20"/>
                <w:szCs w:val="20"/>
                <w:rtl w:val="0"/>
              </w:rPr>
              <w:t xml:space="preserve">Color primario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b1b2f"/>
                <w:sz w:val="20"/>
                <w:szCs w:val="20"/>
                <w:rtl w:val="0"/>
              </w:rPr>
              <w:t xml:space="preserve">#0A2463 — Azul Noche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0a2463"/>
                <w:sz w:val="20"/>
                <w:szCs w:val="20"/>
                <w:rtl w:val="0"/>
              </w:rPr>
              <w:t xml:space="preserve">Color acento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b1b2f"/>
                <w:sz w:val="20"/>
                <w:szCs w:val="20"/>
                <w:rtl w:val="0"/>
              </w:rPr>
              <w:t xml:space="preserve">#00C2A8 — Verde Agua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0a2463"/>
                <w:sz w:val="20"/>
                <w:szCs w:val="20"/>
                <w:rtl w:val="0"/>
              </w:rPr>
              <w:t xml:space="preserve">Tipografía principal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b1b2f"/>
                <w:sz w:val="20"/>
                <w:szCs w:val="20"/>
                <w:rtl w:val="0"/>
              </w:rPr>
              <w:t xml:space="preserve">Poppins (Títulos y KPIs)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0a2463"/>
                <w:sz w:val="20"/>
                <w:szCs w:val="20"/>
                <w:rtl w:val="0"/>
              </w:rPr>
              <w:t xml:space="preserve">Tipografía secundaria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b1b2f"/>
                <w:sz w:val="20"/>
                <w:szCs w:val="20"/>
                <w:rtl w:val="0"/>
              </w:rPr>
              <w:t xml:space="preserve">Inter (Cuerpo y 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0a2463"/>
                <w:sz w:val="20"/>
                <w:szCs w:val="20"/>
                <w:rtl w:val="0"/>
              </w:rPr>
              <w:t xml:space="preserve">Estilo visual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b1b2f"/>
                <w:sz w:val="20"/>
                <w:szCs w:val="20"/>
                <w:rtl w:val="0"/>
              </w:rPr>
              <w:t xml:space="preserve">Flat moderno, modo oscuro, minimalista técnico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0a2463"/>
                <w:sz w:val="20"/>
                <w:szCs w:val="20"/>
                <w:rtl w:val="0"/>
              </w:rPr>
              <w:t xml:space="preserve">Tono de comunicación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b1b2f"/>
                <w:sz w:val="20"/>
                <w:szCs w:val="20"/>
                <w:rtl w:val="0"/>
              </w:rPr>
              <w:t xml:space="preserve">Preciso, directo, ciudadano, basado en datos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0a2463"/>
                <w:sz w:val="20"/>
                <w:szCs w:val="20"/>
                <w:rtl w:val="0"/>
              </w:rPr>
              <w:t xml:space="preserve">Plataforma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b1b2f"/>
                <w:sz w:val="20"/>
                <w:szCs w:val="20"/>
                <w:rtl w:val="0"/>
              </w:rPr>
              <w:t xml:space="preserve">PWA — Progressive Web 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a2463"/>
                <w:sz w:val="20"/>
                <w:szCs w:val="20"/>
                <w:rtl w:val="0"/>
              </w:rPr>
              <w:t xml:space="preserve">Íconos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b1b2f"/>
                <w:sz w:val="20"/>
                <w:szCs w:val="20"/>
                <w:rtl w:val="0"/>
              </w:rPr>
              <w:t xml:space="preserve">Phosphor Icons (outline) / Material Icons Outlined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0a2463"/>
                <w:sz w:val="20"/>
                <w:szCs w:val="20"/>
                <w:rtl w:val="0"/>
              </w:rPr>
              <w:t xml:space="preserve">Área de uso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b1b2f"/>
                <w:sz w:val="20"/>
                <w:szCs w:val="20"/>
                <w:rtl w:val="0"/>
              </w:rPr>
              <w:t xml:space="preserve">Dashboard web, redes sociales, presentaciones, GitHub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df2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0a2463"/>
                <w:sz w:val="20"/>
                <w:szCs w:val="20"/>
                <w:rtl w:val="0"/>
              </w:rPr>
              <w:t xml:space="preserve">Evento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b1b2f"/>
                <w:sz w:val="20"/>
                <w:szCs w:val="20"/>
                <w:rtl w:val="0"/>
              </w:rPr>
              <w:t xml:space="preserve">HackData CTGI SENA 2026</w:t>
            </w:r>
            <w:r w:rsidDel="00000000" w:rsidR="00000000" w:rsidRPr="00000000">
              <w:rPr>
                <w:rtl w:val="0"/>
              </w:rPr>
            </w:r>
          </w:p>
        </w:tc>
      </w:tr>
    </w:tbl>
    <w:p w:rsidR="00000000" w:rsidDel="00000000" w:rsidP="00000000" w:rsidRDefault="00000000" w:rsidRPr="00000000" w14:paraId="0000013E">
      <w:pPr>
        <w:spacing w:after="0" w:before="300" w:lineRule="auto"/>
        <w:rPr/>
      </w:pPr>
      <w:r w:rsidDel="00000000" w:rsidR="00000000" w:rsidRPr="00000000">
        <w:rPr>
          <w:rtl w:val="0"/>
        </w:rPr>
      </w:r>
    </w:p>
    <w:p w:rsidR="00000000" w:rsidDel="00000000" w:rsidP="00000000" w:rsidRDefault="00000000" w:rsidRPr="00000000" w14:paraId="0000013F">
      <w:pPr>
        <w:pBdr>
          <w:bottom w:color="00c2a8" w:space="1" w:sz="4" w:val="single"/>
        </w:pBdr>
        <w:spacing w:after="80" w:before="80" w:lineRule="auto"/>
        <w:rPr/>
      </w:pPr>
      <w:r w:rsidDel="00000000" w:rsidR="00000000" w:rsidRPr="00000000">
        <w:rPr>
          <w:rtl w:val="0"/>
        </w:rPr>
      </w:r>
    </w:p>
    <w:p w:rsidR="00000000" w:rsidDel="00000000" w:rsidP="00000000" w:rsidRDefault="00000000" w:rsidRPr="00000000" w14:paraId="00000140">
      <w:pPr>
        <w:spacing w:after="100" w:before="200" w:lineRule="auto"/>
        <w:jc w:val="center"/>
        <w:rPr/>
      </w:pPr>
      <w:r w:rsidDel="00000000" w:rsidR="00000000" w:rsidRPr="00000000">
        <w:rPr>
          <w:b w:val="1"/>
          <w:bCs w:val="1"/>
          <w:color w:val="0a2463"/>
          <w:rtl w:val="0"/>
        </w:rPr>
        <w:t xml:space="preserve">Nakhaton </w:t>
      </w:r>
      <w:r w:rsidDel="00000000" w:rsidR="00000000" w:rsidRPr="00000000">
        <w:rPr>
          <w:rFonts w:ascii="Arial" w:cs="Arial" w:eastAsia="Arial" w:hAnsi="Arial"/>
          <w:b w:val="1"/>
          <w:bCs w:val="1"/>
          <w:color w:val="0a2463"/>
          <w:sz w:val="22"/>
          <w:szCs w:val="22"/>
          <w:rtl w:val="0"/>
        </w:rPr>
        <w:t xml:space="preserve">CTGI SENA 2026</w:t>
      </w:r>
      <w:r w:rsidDel="00000000" w:rsidR="00000000" w:rsidRPr="00000000">
        <w:rPr>
          <w:rtl w:val="0"/>
        </w:rPr>
      </w:r>
    </w:p>
    <w:p w:rsidR="00000000" w:rsidDel="00000000" w:rsidP="00000000" w:rsidRDefault="00000000" w:rsidRPr="00000000" w14:paraId="00000141">
      <w:pPr>
        <w:spacing w:after="80" w:before="0" w:lineRule="auto"/>
        <w:jc w:val="center"/>
        <w:rPr/>
      </w:pPr>
      <w:r w:rsidDel="00000000" w:rsidR="00000000" w:rsidRPr="00000000">
        <w:rPr>
          <w:rFonts w:ascii="Arial" w:cs="Arial" w:eastAsia="Arial" w:hAnsi="Arial"/>
          <w:color w:val="6b7280"/>
          <w:sz w:val="18"/>
          <w:szCs w:val="18"/>
          <w:rtl w:val="0"/>
        </w:rPr>
        <w:t xml:space="preserve">Centro Textil y de Gestión Industrial — SENA Medellín</w:t>
      </w:r>
      <w:r w:rsidDel="00000000" w:rsidR="00000000" w:rsidRPr="00000000">
        <w:rPr>
          <w:rtl w:val="0"/>
        </w:rPr>
      </w:r>
    </w:p>
    <w:p w:rsidR="00000000" w:rsidDel="00000000" w:rsidP="00000000" w:rsidRDefault="00000000" w:rsidRPr="00000000" w14:paraId="00000142">
      <w:pPr>
        <w:spacing w:after="80" w:before="0" w:lineRule="auto"/>
        <w:jc w:val="center"/>
        <w:rPr/>
      </w:pPr>
      <w:r w:rsidDel="00000000" w:rsidR="00000000" w:rsidRPr="00000000">
        <w:rPr>
          <w:rFonts w:ascii="Arial" w:cs="Arial" w:eastAsia="Arial" w:hAnsi="Arial"/>
          <w:i w:val="1"/>
          <w:iCs w:val="1"/>
          <w:color w:val="6b7280"/>
          <w:sz w:val="18"/>
          <w:szCs w:val="18"/>
          <w:rtl w:val="0"/>
        </w:rPr>
        <w:t xml:space="preserve">Manual de Identidad de Marca — Medellín Movilidata OS v1.0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a246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a246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