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Costes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762.421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aplicarán los </w:t>
            </w: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procedimientos internos y las normas de gestión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alineados con el estándar PMBOK, así como con las normativas de la institución. Se priorizará el uso de herramientas de bajo coste o gratuitas cuando sea posible, siguiendo las políticas de uso de recursos y presupuestos limitados, característicos de un proyecto académico.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Estimación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incluye el desglose inicial de costes y su justificación.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Presupuesto del Proyecto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con el presupuesto total y los costes asignados a cada partida.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Control de Costes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Reporte periódico con los costes acumulados, desviaciones y análisis de cumplimiento del presupuesto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0206"/>
        <w:tblGridChange w:id="0">
          <w:tblGrid>
            <w:gridCol w:w="799"/>
            <w:gridCol w:w="1020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 DE ESTIMACIÓN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Método PERT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COSTES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 O PARTIDA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DESGLOSE DE COSTES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mixtos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con componentes fijos y variables. Se ven afectados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en parte por el nivel de actividad, pero no en una proporción constante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variables u operativos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Dependen del volumen de trabajo del proyecto, es decir, varían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con el nivel de actividad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directos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Se pueden atribuir directamente a una actividad o resultado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Costes indirectos o generales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No están directamente relacionados con una actividad o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resultado del proyecto, pero son necesarios para realizar el proyecto.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7796"/>
        <w:tblGridChange w:id="0">
          <w:tblGrid>
            <w:gridCol w:w="3209"/>
            <w:gridCol w:w="779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MONETARIAS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MONEDA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Euro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Dos decimales. Sin redondeo.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Y RESTRICCIONES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Supuestos: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Los costes de recursos humanos serán mínimos, dados los recursos propios y el enfoque académico.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Las licencias y herramientas necesarias estarán disponibles en formatos gratuitos o educativos.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Presupuesto limitado, sin exceder el límite fijado en la planificación inicial.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Acceso limitado a recursos de pago, que dependerá de las políticas de la institución.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INFORMES DE COSTES Y FORMATO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Los informes de costes se entregarán al cierre de cada iteración del proyecto. Se incluirán detalles sobre los costes acumulados, el valor ganado, y cualquier desviación frente al presupuesto inicial. Los informes tendrán el siguiente formato: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Coste Planificado (PV).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Coste Real (AC).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Valor Ganado (EV).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Índice de Desempeño de Coste (CPI).</w:t>
            </w:r>
          </w:p>
        </w:tc>
      </w:tr>
    </w:tbl>
    <w:p w:rsidR="00000000" w:rsidDel="00000000" w:rsidP="00000000" w:rsidRDefault="00000000" w:rsidRPr="00000000" w14:paraId="00000051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SEGUIMIENTO DE COSTES</w:t>
      </w:r>
    </w:p>
    <w:tbl>
      <w:tblPr>
        <w:tblStyle w:val="Table10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4"/>
        <w:gridCol w:w="2267"/>
        <w:gridCol w:w="5606"/>
        <w:gridCol w:w="2019"/>
        <w:tblGridChange w:id="0">
          <w:tblGrid>
            <w:gridCol w:w="1124"/>
            <w:gridCol w:w="2267"/>
            <w:gridCol w:w="5606"/>
            <w:gridCol w:w="201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Informe del avance del proyecto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Informe de seguimiento en MSProject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Equipo de dirección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INFORME COSTES ACUMULADOS</w:t>
      </w:r>
    </w:p>
    <w:tbl>
      <w:tblPr>
        <w:tblStyle w:val="Table11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9214"/>
        <w:tblGridChange w:id="0">
          <w:tblGrid>
            <w:gridCol w:w="1809"/>
            <w:gridCol w:w="92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DE 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CONTROL, PAQUETE DE TRABAJO O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Desarrollo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Configuración básica y gestión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 propiedades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de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Funcionalidades adicionales para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Seguridad y privacidad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Tecnología y despliegue</w:t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LOS COSTES</w:t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Microsoft Projects se utilizará para gestionar, registrar y controlar los costes del proyecto, y llevar un seguimiento en tiempo real. Adicionalmente, se emplearán hojas de cálculo para documentar los informes de costes acumulados y analizar las desviaciones.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RESERVAS DE CONTINGENCIA</w:t>
      </w:r>
    </w:p>
    <w:tbl>
      <w:tblPr>
        <w:tblStyle w:val="Table1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 asignará un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10% del presupuesto total</w:t>
            </w:r>
            <w:r w:rsidDel="00000000" w:rsidR="00000000" w:rsidRPr="00000000">
              <w:rPr>
                <w:color w:val="0070c0"/>
                <w:rtl w:val="0"/>
              </w:rPr>
              <w:t xml:space="preserve"> como reserva de contingencia para hacer frente a imprevistos. Estas reservas estarán disponibles solo para situaciones excepcionales y bajo aprobación del Director de Proyecto.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UMBRALES DE DESVIACIÓN PERMITIDOS</w:t>
      </w:r>
    </w:p>
    <w:tbl>
      <w:tblPr>
        <w:tblStyle w:val="Table1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No se permite una desviación en cuanto al presupuesto total. El coste al completo del proyecto debe ser satisfecho con el presupuesto inicial acordado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COSTES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itBes8fhKp03tZ8dVw3FJWAEFw==">CgMxLjAaHwoBMBIaChgICVIUChJ0YWJsZS5rZjFjeGRndG10bXM4AHIhMUNIalNfTUt3c2xJZkw4UlluWVliWkQ4cFZZOGVEbnBj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