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 Costes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25/10/2024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762.4218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aplicarán los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procedimientos internos y las normas de gestión de costes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alineados con el estándar PMBOK, así como con las normativas de la institución. Se priorizará el uso de herramientas de bajo coste o gratuitas cuando sea posible, siguiendo las políticas de uso de recursos y presupuestos limitados, característicos de un proyecto académico.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Estimación de Costes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que incluye el desglose inicial de costes y su justificación.</w:t>
            </w:r>
          </w:p>
          <w:p w:rsidR="00000000" w:rsidDel="00000000" w:rsidP="00000000" w:rsidRDefault="00000000" w:rsidRPr="00000000" w14:paraId="0000001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Presupuesto del Proyecto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con el presupuesto total y los costes asignados a cada partida.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Control de Costes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Reporte periódico con los costes acumulados, desviaciones y análisis de cumplimiento del presupuesto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0206"/>
        <w:tblGridChange w:id="0">
          <w:tblGrid>
            <w:gridCol w:w="799"/>
            <w:gridCol w:w="1020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 DE ESTIMACIÓN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Método PERT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COSTES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 O PARTIDA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 DESGLOSE DE COSTES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mixtos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con componentes fijos y variables. Se ven afectados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en parte por el nivel de actividad, pero no en una proporción constante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variables u operativos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Dependen del volumen de trabajo del proyecto, es decir, varían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con el nivel de actividad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directos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Se pueden atribuir directamente a una actividad o resultado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indirectos o generales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No están directamente relacionados con una actividad o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resultado del proyecto, pero son necesarios para realizar el proyecto.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 MONETARIAS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MONEDA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Euro (€)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Dos decimales. 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Y RESTRICCIONES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Supuestos: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Los costes de recursos humanos serán mínimos, dados los recursos propios y el enfoque académico.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Las licencias y herramientas necesarias estarán disponibles en formatos gratuitos o educativos.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Presupuesto limitado, sin exceder el límite fijado en la planificación inicial.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Acceso limitado a recursos de pago, que dependerá de las políticas de la institución.</w:t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INFORMES DE COSTES Y FORMATO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Los informes de costes se entregarán al cierre de cada iteración del proyecto. Se incluirán detalles sobre los costes acumulados, el valor ganado, y cualquier desviación frente al presupuesto inicial. Los informes tendrán el siguiente formato: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Coste Planificado (PV).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Coste Real (AC).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Valor Ganado (EV).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Índice de Desempeño de Coste (CPI).</w:t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SEGUIMIENTO DE COSTES</w:t>
      </w:r>
    </w:p>
    <w:tbl>
      <w:tblPr>
        <w:tblStyle w:val="Table10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4"/>
        <w:gridCol w:w="2267"/>
        <w:gridCol w:w="5606"/>
        <w:gridCol w:w="2019"/>
        <w:tblGridChange w:id="0">
          <w:tblGrid>
            <w:gridCol w:w="1124"/>
            <w:gridCol w:w="2267"/>
            <w:gridCol w:w="5606"/>
            <w:gridCol w:w="201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del avance del proyecto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Informe de seguimiento en MSProject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Equipo de dirección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INFORME COSTES ACUMULADOS</w:t>
      </w:r>
    </w:p>
    <w:tbl>
      <w:tblPr>
        <w:tblStyle w:val="Table11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9214"/>
        <w:tblGridChange w:id="0">
          <w:tblGrid>
            <w:gridCol w:w="1809"/>
            <w:gridCol w:w="92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DE 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CONTROL, PAQUETE DE TRABAJO O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Gestión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Desarrollo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Configuración básica y gestión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Gestión de propiedades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de reserva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adicionales para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Seguridad y privacidad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Tecnología y despliegue</w:t>
            </w:r>
          </w:p>
        </w:tc>
      </w:tr>
    </w:tbl>
    <w:p w:rsidR="00000000" w:rsidDel="00000000" w:rsidP="00000000" w:rsidRDefault="00000000" w:rsidRPr="00000000" w14:paraId="0000007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LOS COSTES</w:t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Microsoft Projects se utilizará para gestionar, registrar y controlar los costes del proyecto, y llevar un seguimiento en tiempo real. Adicionalmente, se emplearán hojas de cálculo para documentar los informes de costes acumulados y analizar las desviaciones.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RESERVAS DE CONTINGENCIA</w:t>
      </w:r>
    </w:p>
    <w:tbl>
      <w:tblPr>
        <w:tblStyle w:val="Table1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asignará un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10% del presupuesto total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como reserva de contingencia para hacer frente a imprevistos. Estas reservas estarán disponibles solo para situaciones excepcionales y bajo aprobación del Director de Proyecto.</w:t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UMBRALES DE DESVIACIÓN PERMITIDOS</w:t>
      </w:r>
    </w:p>
    <w:tbl>
      <w:tblPr>
        <w:tblStyle w:val="Table1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umbral máximo de desviación permitido será del 5% del presupuesto total, lo cual implica que cualquier coste que exceda esta desviación requerirá una revisión inmediata y, de ser necesario, la implementación de medidas correctivas.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LOS COSTES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FC109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itBes8fhKp03tZ8dVw3FJWAEFw==">CgMxLjAaHwoBMBIaChgICVIUChJ0YWJsZS5rZjFjeGRndG10bXM4AHIhMUNIalNfTUt3c2xJZkw4UlluWVliWkQ4cFZZOGVEbnBj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