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estudio — Primer día en Pillado</w:t>
      </w:r>
    </w:p>
    <w:p>
      <w:pPr>
        <w:jc w:val="center"/>
      </w:pPr>
      <w:r>
        <w:rPr>
          <w:i/>
          <w:sz w:val="24"/>
        </w:rPr>
        <w:t>Sistema SICOM-ICEO · Flota industrial · Normativa chilena</w:t>
      </w:r>
    </w:p>
    <w:p/>
    <w:p>
      <w:r>
        <w:rPr>
          <w:b w:val="0"/>
        </w:rPr>
        <w:t>Preparado para: Manuel Olivares (admin@pillado.cl)</w:t>
      </w:r>
    </w:p>
    <w:p>
      <w:r>
        <w:rPr>
          <w:b w:val="0"/>
        </w:rPr>
        <w:t>Alcance: onboarding operacional + técnico en Pillado</w:t>
      </w:r>
    </w:p>
    <w:p>
      <w:r>
        <w:rPr>
          <w:b w:val="0"/>
        </w:rPr>
        <w:t>Estado datos: sistema en producción con 55 vehículos, 11 contratos reales, abril 2026</w:t>
      </w:r>
    </w:p>
    <w:p>
      <w:r>
        <w:br w:type="page"/>
      </w:r>
    </w:p>
    <w:p>
      <w:pPr>
        <w:pStyle w:val="Heading1"/>
        <w:jc w:val="left"/>
      </w:pPr>
      <w:r>
        <w:t>1. El negocio en 30 segundos</w:t>
      </w:r>
    </w:p>
    <w:p>
      <w:r>
        <w:rPr>
          <w:b w:val="0"/>
        </w:rPr>
        <w:t>Pillado arrienda aproximadamente 55 vehículos industriales (camiones cisterna de combustible, aljibes de agua, pluma, carrocerías planas, lubrimóviles, camionetas) a operaciones mineras en Coquimbo y Atacama.</w:t>
      </w:r>
    </w:p>
    <w:p>
      <w:r>
        <w:rPr>
          <w:b/>
        </w:rPr>
        <w:t>Clientes reales actualmente cargados en el sistema:</w:t>
      </w:r>
    </w:p>
    <w:p>
      <w:pPr>
        <w:pStyle w:val="ListBullet"/>
      </w:pPr>
      <w:r>
        <w:t>CMP Romeral</w:t>
      </w:r>
    </w:p>
    <w:p>
      <w:pPr>
        <w:pStyle w:val="ListBullet"/>
      </w:pPr>
      <w:r>
        <w:t>CM Cenizas Francke</w:t>
      </w:r>
    </w:p>
    <w:p>
      <w:pPr>
        <w:pStyle w:val="ListBullet"/>
      </w:pPr>
      <w:r>
        <w:t>Boart Longyear Spence</w:t>
      </w:r>
    </w:p>
    <w:p>
      <w:pPr>
        <w:pStyle w:val="ListBullet"/>
      </w:pPr>
      <w:r>
        <w:t>Drilling</w:t>
      </w:r>
    </w:p>
    <w:p>
      <w:pPr>
        <w:pStyle w:val="ListBullet"/>
      </w:pPr>
      <w:r>
        <w:t>Rentamaq</w:t>
      </w:r>
    </w:p>
    <w:p>
      <w:pPr>
        <w:pStyle w:val="ListBullet"/>
      </w:pPr>
      <w:r>
        <w:t>Major</w:t>
      </w:r>
    </w:p>
    <w:p>
      <w:pPr>
        <w:pStyle w:val="ListBullet"/>
      </w:pPr>
      <w:r>
        <w:t>ESMAX</w:t>
      </w:r>
    </w:p>
    <w:p>
      <w:pPr>
        <w:pStyle w:val="ListBullet"/>
      </w:pPr>
      <w:r>
        <w:t>Orbit</w:t>
      </w:r>
    </w:p>
    <w:p>
      <w:pPr>
        <w:pStyle w:val="ListBullet"/>
      </w:pPr>
      <w:r>
        <w:t>TPM</w:t>
      </w:r>
    </w:p>
    <w:p>
      <w:pPr>
        <w:pStyle w:val="ListBullet"/>
      </w:pPr>
      <w:r>
        <w:t>San Gerónimo</w:t>
      </w:r>
    </w:p>
    <w:p>
      <w:pPr>
        <w:pStyle w:val="ListBullet"/>
      </w:pPr>
      <w:r>
        <w:t>ESM</w:t>
      </w:r>
    </w:p>
    <w:p>
      <w:r>
        <w:rPr>
          <w:b w:val="0"/>
        </w:rPr>
        <w:t>Base operativa central: Taller Pillado — Coquimbo (código FAE-TALLER-CQB).</w:t>
      </w:r>
    </w:p>
    <w:p>
      <w:r>
        <w:rPr>
          <w:b/>
        </w:rPr>
        <w:t>El ingreso viene del arriendo. Por lo tanto, la métrica que manda es: cuántos días del mes cada equipo está generando facturación versus detenido por mantención, falla o falta de demanda.</w:t>
      </w:r>
    </w:p>
    <w:p>
      <w:pPr>
        <w:pStyle w:val="Heading1"/>
        <w:jc w:val="left"/>
      </w:pPr>
      <w:r>
        <w:t>2. SICOM-ICEO: qué es y qué módulos hay</w:t>
      </w:r>
    </w:p>
    <w:p>
      <w:r>
        <w:rPr>
          <w:b w:val="0"/>
        </w:rPr>
        <w:t>Sistema web (Next.js 15 + Supabase PostgreSQL) que reemplaza la planilla Excel "Panel de Control Flota V30". Tiene 22 páginas. Módulos clave para el día a día: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873"/>
          </w:tcPr>
          <w:p>
            <w:r>
              <w:t>Dashboard</w:t>
            </w:r>
          </w:p>
        </w:tc>
        <w:tc>
          <w:tcPr>
            <w:tcW w:type="dxa" w:w="4873"/>
          </w:tcPr>
          <w:p>
            <w:r>
              <w:t>Vista ejecutiva: ICEO, KPIs, alertas, OTs activas</w:t>
            </w:r>
          </w:p>
        </w:tc>
      </w:tr>
      <w:tr>
        <w:tc>
          <w:tcPr>
            <w:tcW w:type="dxa" w:w="4873"/>
          </w:tcPr>
          <w:p>
            <w:r>
              <w:t>Flota</w:t>
            </w:r>
          </w:p>
        </w:tc>
        <w:tc>
          <w:tcPr>
            <w:tcW w:type="dxa" w:w="4873"/>
          </w:tcPr>
          <w:p>
            <w:r>
              <w:t>Estado diario de los 55 vehículos (dimensión técnica + comercial)</w:t>
            </w:r>
          </w:p>
        </w:tc>
      </w:tr>
      <w:tr>
        <w:tc>
          <w:tcPr>
            <w:tcW w:type="dxa" w:w="4873"/>
          </w:tcPr>
          <w:p>
            <w:r>
              <w:t>Reporte Diario</w:t>
            </w:r>
          </w:p>
        </w:tc>
        <w:tc>
          <w:tcPr>
            <w:tcW w:type="dxa" w:w="4873"/>
          </w:tcPr>
          <w:p>
            <w:r>
              <w:t>Snapshot automático por contrato — lo que se envía al cliente</w:t>
            </w:r>
          </w:p>
        </w:tc>
      </w:tr>
      <w:tr>
        <w:tc>
          <w:tcPr>
            <w:tcW w:type="dxa" w:w="4873"/>
          </w:tcPr>
          <w:p>
            <w:r>
              <w:t>Comercial</w:t>
            </w:r>
          </w:p>
        </w:tc>
        <w:tc>
          <w:tcPr>
            <w:tcW w:type="dxa" w:w="4873"/>
          </w:tcPr>
          <w:p>
            <w:r>
              <w:t>Contratos, tarifas, facturación por equipo</w:t>
            </w:r>
          </w:p>
        </w:tc>
      </w:tr>
      <w:tr>
        <w:tc>
          <w:tcPr>
            <w:tcW w:type="dxa" w:w="4873"/>
          </w:tcPr>
          <w:p>
            <w:r>
              <w:t>Órdenes de Trabajo</w:t>
            </w:r>
          </w:p>
        </w:tc>
        <w:tc>
          <w:tcPr>
            <w:tcW w:type="dxa" w:w="4873"/>
          </w:tcPr>
          <w:p>
            <w:r>
              <w:t>Todo trabajo se canaliza con folio OT-YYYYMM-XXXXX</w:t>
            </w:r>
          </w:p>
        </w:tc>
      </w:tr>
      <w:tr>
        <w:tc>
          <w:tcPr>
            <w:tcW w:type="dxa" w:w="4873"/>
          </w:tcPr>
          <w:p>
            <w:r>
              <w:t>Mantenimiento</w:t>
            </w:r>
          </w:p>
        </w:tc>
        <w:tc>
          <w:tcPr>
            <w:tcW w:type="dxa" w:w="4873"/>
          </w:tcPr>
          <w:p>
            <w:r>
              <w:t>Planes PM, calendario preventivo, pautas fabricante</w:t>
            </w:r>
          </w:p>
        </w:tc>
      </w:tr>
      <w:tr>
        <w:tc>
          <w:tcPr>
            <w:tcW w:type="dxa" w:w="4873"/>
          </w:tcPr>
          <w:p>
            <w:r>
              <w:t>Prevención</w:t>
            </w:r>
          </w:p>
        </w:tc>
        <w:tc>
          <w:tcPr>
            <w:tcW w:type="dxa" w:w="4873"/>
          </w:tcPr>
          <w:p>
            <w:r>
              <w:t>SUSPEL/RESPEL, certificaciones, alertas bloqueantes</w:t>
            </w:r>
          </w:p>
        </w:tc>
      </w:tr>
      <w:tr>
        <w:tc>
          <w:tcPr>
            <w:tcW w:type="dxa" w:w="4873"/>
          </w:tcPr>
          <w:p>
            <w:r>
              <w:t>Cumplimiento</w:t>
            </w:r>
          </w:p>
        </w:tc>
        <w:tc>
          <w:tcPr>
            <w:tcW w:type="dxa" w:w="4873"/>
          </w:tcPr>
          <w:p>
            <w:r>
              <w:t>Vencimientos de documentos que bloquean disponibilidad</w:t>
            </w:r>
          </w:p>
        </w:tc>
      </w:tr>
      <w:tr>
        <w:tc>
          <w:tcPr>
            <w:tcW w:type="dxa" w:w="4873"/>
          </w:tcPr>
          <w:p>
            <w:r>
              <w:t>KPI / ICEO</w:t>
            </w:r>
          </w:p>
        </w:tc>
        <w:tc>
          <w:tcPr>
            <w:tcW w:type="dxa" w:w="4873"/>
          </w:tcPr>
          <w:p>
            <w:r>
              <w:t>21 indicadores en 3 áreas + score consolidado 0-100</w:t>
            </w:r>
          </w:p>
        </w:tc>
      </w:tr>
      <w:tr>
        <w:tc>
          <w:tcPr>
            <w:tcW w:type="dxa" w:w="4873"/>
          </w:tcPr>
          <w:p>
            <w:r>
              <w:t>Abastecimiento</w:t>
            </w:r>
          </w:p>
        </w:tc>
        <w:tc>
          <w:tcPr>
            <w:tcW w:type="dxa" w:w="4873"/>
          </w:tcPr>
          <w:p>
            <w:r>
              <w:t>Rutas de despacho de combustible</w:t>
            </w:r>
          </w:p>
        </w:tc>
      </w:tr>
      <w:tr>
        <w:tc>
          <w:tcPr>
            <w:tcW w:type="dxa" w:w="4873"/>
          </w:tcPr>
          <w:p>
            <w:r>
              <w:t>Auditoría</w:t>
            </w:r>
          </w:p>
        </w:tc>
        <w:tc>
          <w:tcPr>
            <w:tcW w:type="dxa" w:w="4873"/>
          </w:tcPr>
          <w:p>
            <w:r>
              <w:t>Log de cada cambio del sistema</w:t>
            </w:r>
          </w:p>
        </w:tc>
      </w:tr>
    </w:tbl>
    <w:p/>
    <w:p>
      <w:pPr>
        <w:pStyle w:val="Heading2"/>
      </w:pPr>
      <w:r>
        <w:t>Concepto clave: estado dual del activo</w:t>
      </w:r>
    </w:p>
    <w:p>
      <w:r>
        <w:rPr>
          <w:b w:val="0"/>
        </w:rPr>
        <w:t>Cada equipo tiene DOS dimensiones de estado simultáneas:</w:t>
      </w:r>
    </w:p>
    <w:p>
      <w:r>
        <w:rPr>
          <w:b/>
        </w:rPr>
        <w:t>Estado técnico/operativo (un solo carácter):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873"/>
          </w:tcPr>
          <w:p>
            <w:r>
              <w:t>A</w:t>
            </w:r>
          </w:p>
        </w:tc>
        <w:tc>
          <w:tcPr>
            <w:tcW w:type="dxa" w:w="4873"/>
          </w:tcPr>
          <w:p>
            <w:r>
              <w:t>Arrendado</w:t>
            </w:r>
          </w:p>
        </w:tc>
      </w:tr>
      <w:tr>
        <w:tc>
          <w:tcPr>
            <w:tcW w:type="dxa" w:w="4873"/>
          </w:tcPr>
          <w:p>
            <w:r>
              <w:t>D</w:t>
            </w:r>
          </w:p>
        </w:tc>
        <w:tc>
          <w:tcPr>
            <w:tcW w:type="dxa" w:w="4873"/>
          </w:tcPr>
          <w:p>
            <w:r>
              <w:t>Disponible</w:t>
            </w:r>
          </w:p>
        </w:tc>
      </w:tr>
      <w:tr>
        <w:tc>
          <w:tcPr>
            <w:tcW w:type="dxa" w:w="4873"/>
          </w:tcPr>
          <w:p>
            <w:r>
              <w:t>H</w:t>
            </w:r>
          </w:p>
        </w:tc>
        <w:tc>
          <w:tcPr>
            <w:tcW w:type="dxa" w:w="4873"/>
          </w:tcPr>
          <w:p>
            <w:r>
              <w:t>En entrega</w:t>
            </w:r>
          </w:p>
        </w:tc>
      </w:tr>
      <w:tr>
        <w:tc>
          <w:tcPr>
            <w:tcW w:type="dxa" w:w="4873"/>
          </w:tcPr>
          <w:p>
            <w:r>
              <w:t>R</w:t>
            </w:r>
          </w:p>
        </w:tc>
        <w:tc>
          <w:tcPr>
            <w:tcW w:type="dxa" w:w="4873"/>
          </w:tcPr>
          <w:p>
            <w:r>
              <w:t>En recepción</w:t>
            </w:r>
          </w:p>
        </w:tc>
      </w:tr>
      <w:tr>
        <w:tc>
          <w:tcPr>
            <w:tcW w:type="dxa" w:w="4873"/>
          </w:tcPr>
          <w:p>
            <w:r>
              <w:t>M</w:t>
            </w:r>
          </w:p>
        </w:tc>
        <w:tc>
          <w:tcPr>
            <w:tcW w:type="dxa" w:w="4873"/>
          </w:tcPr>
          <w:p>
            <w:r>
              <w:t>Mantención (preventivo)</w:t>
            </w:r>
          </w:p>
        </w:tc>
      </w:tr>
      <w:tr>
        <w:tc>
          <w:tcPr>
            <w:tcW w:type="dxa" w:w="4873"/>
          </w:tcPr>
          <w:p>
            <w:r>
              <w:t>T</w:t>
            </w:r>
          </w:p>
        </w:tc>
        <w:tc>
          <w:tcPr>
            <w:tcW w:type="dxa" w:w="4873"/>
          </w:tcPr>
          <w:p>
            <w:r>
              <w:t>Taller / correctivo</w:t>
            </w:r>
          </w:p>
        </w:tc>
      </w:tr>
      <w:tr>
        <w:tc>
          <w:tcPr>
            <w:tcW w:type="dxa" w:w="4873"/>
          </w:tcPr>
          <w:p>
            <w:r>
              <w:t>F</w:t>
            </w:r>
          </w:p>
        </w:tc>
        <w:tc>
          <w:tcPr>
            <w:tcW w:type="dxa" w:w="4873"/>
          </w:tcPr>
          <w:p>
            <w:r>
              <w:t>Fuera de servicio</w:t>
            </w:r>
          </w:p>
        </w:tc>
      </w:tr>
      <w:tr>
        <w:tc>
          <w:tcPr>
            <w:tcW w:type="dxa" w:w="4873"/>
          </w:tcPr>
          <w:p>
            <w:r>
              <w:t>V</w:t>
            </w:r>
          </w:p>
        </w:tc>
        <w:tc>
          <w:tcPr>
            <w:tcW w:type="dxa" w:w="4873"/>
          </w:tcPr>
          <w:p>
            <w:r>
              <w:t>En venta</w:t>
            </w:r>
          </w:p>
        </w:tc>
      </w:tr>
      <w:tr>
        <w:tc>
          <w:tcPr>
            <w:tcW w:type="dxa" w:w="4873"/>
          </w:tcPr>
          <w:p>
            <w:r>
              <w:t>U</w:t>
            </w:r>
          </w:p>
        </w:tc>
        <w:tc>
          <w:tcPr>
            <w:tcW w:type="dxa" w:w="4873"/>
          </w:tcPr>
          <w:p>
            <w:r>
              <w:t>Uso interno</w:t>
            </w:r>
          </w:p>
        </w:tc>
      </w:tr>
      <w:tr>
        <w:tc>
          <w:tcPr>
            <w:tcW w:type="dxa" w:w="4873"/>
          </w:tcPr>
          <w:p>
            <w:r>
              <w:t>L</w:t>
            </w:r>
          </w:p>
        </w:tc>
        <w:tc>
          <w:tcPr>
            <w:tcW w:type="dxa" w:w="4873"/>
          </w:tcPr>
          <w:p>
            <w:r>
              <w:t>Leasing</w:t>
            </w:r>
          </w:p>
        </w:tc>
      </w:tr>
    </w:tbl>
    <w:p/>
    <w:p>
      <w:r>
        <w:rPr>
          <w:b/>
        </w:rPr>
        <w:t>Estado comercial:</w:t>
      </w:r>
    </w:p>
    <w:p>
      <w:pPr>
        <w:pStyle w:val="ListBullet"/>
      </w:pPr>
      <w:r>
        <w:t>arrendado · disponible · uso_interno · leasing · en_recepcion · en_venta · comprometido</w:t>
      </w:r>
    </w:p>
    <w:p>
      <w:r>
        <w:rPr>
          <w:b/>
        </w:rPr>
        <w:t>Por qué importa: en el Excel un equipo podía estar marcado "disponible" sin tener realmente la Revisión Técnica al día o sin checklist aprobado. En SICOM un trigger de base de datos BLOQUEA el paso a disponible si no tiene un checklist de 55 ítems aprobado y vigente.</w:t>
      </w:r>
    </w:p>
    <w:p>
      <w:r>
        <w:br w:type="page"/>
      </w:r>
    </w:p>
    <w:p>
      <w:pPr>
        <w:pStyle w:val="Heading1"/>
        <w:jc w:val="left"/>
      </w:pPr>
      <w:r>
        <w:t>3. Cómo calcula el OEE el sistema</w:t>
      </w:r>
    </w:p>
    <w:p>
      <w:r>
        <w:rPr>
          <w:b w:val="0"/>
        </w:rPr>
        <w:t>OEE = Overall Equipment Effectiveness. El sistema lo calcula por activo y por flota mediante la función SQL calcular_oee_activo (definida en la migración 25, archivo 25_flota_oee_normativa.sql línea 354).</w:t>
      </w:r>
    </w:p>
    <w:p>
      <w:pPr>
        <w:pStyle w:val="Heading2"/>
      </w:pPr>
      <w:r>
        <w:t>3.1 Fórmula maestra</w:t>
      </w:r>
    </w:p>
    <w:p>
      <w:r>
        <w:rPr>
          <w:rFonts w:ascii="Consolas" w:hAnsi="Consolas"/>
          <w:color w:val="2E2E2E"/>
          <w:sz w:val="20"/>
        </w:rPr>
        <w:t>OEE = Disponibilidad Mecánica  x  Utilización Operativa  x  Calidad de Servicio</w:t>
      </w:r>
    </w:p>
    <w:p>
      <w:r>
        <w:rPr>
          <w:b w:val="0"/>
        </w:rPr>
        <w:t>Cada componente se expresa en porcentaje (0 a 100). El OEE final también se expresa como porcentaje.</w:t>
      </w:r>
    </w:p>
    <w:p>
      <w:pPr>
        <w:pStyle w:val="Heading2"/>
      </w:pPr>
      <w:r>
        <w:t>3.2 Disponibilidad Mecánica</w:t>
      </w:r>
    </w:p>
    <w:p>
      <w:r>
        <w:rPr>
          <w:rFonts w:ascii="Consolas" w:hAnsi="Consolas"/>
          <w:color w:val="2E2E2E"/>
          <w:sz w:val="20"/>
        </w:rPr>
        <w:t>Disponibilidad = (Días período  −  Días NO disponibles) / Días período  x  100</w:t>
      </w:r>
    </w:p>
    <w:p>
      <w:r>
        <w:rPr>
          <w:b w:val="0"/>
        </w:rPr>
        <w:t>Días NO disponibles = días con estado M + T + F.</w:t>
      </w:r>
    </w:p>
    <w:p>
      <w:r>
        <w:rPr>
          <w:b w:val="0"/>
        </w:rPr>
        <w:t>Nota importante: los días en estado H (en entrega) NO descuentan disponibilidad, para no castigar logística normal entre arriendos.</w:t>
      </w:r>
    </w:p>
    <w:p>
      <w:r>
        <w:rPr>
          <w:b w:val="0"/>
        </w:rPr>
        <w:t>Fuente de datos: tabla estado_diario_flota (una fila por equipo por día).</w:t>
      </w:r>
    </w:p>
    <w:p>
      <w:pPr>
        <w:pStyle w:val="Heading2"/>
      </w:pPr>
      <w:r>
        <w:t>3.3 Utilización Operativa</w:t>
      </w:r>
    </w:p>
    <w:p>
      <w:r>
        <w:rPr>
          <w:rFonts w:ascii="Consolas" w:hAnsi="Consolas"/>
          <w:color w:val="2E2E2E"/>
          <w:sz w:val="20"/>
        </w:rPr>
        <w:t>Utilización = Horas productivas / Horas disponibles  x  100</w:t>
      </w:r>
    </w:p>
    <w:p>
      <w:r>
        <w:rPr>
          <w:b w:val="0"/>
        </w:rPr>
        <w:t>Si no hay datos de horas (columnas horas_operativas y horas_disponibles en 0), el sistema aplica un fallback por días:</w:t>
      </w:r>
    </w:p>
    <w:p>
      <w:r>
        <w:rPr>
          <w:rFonts w:ascii="Consolas" w:hAnsi="Consolas"/>
          <w:color w:val="2E2E2E"/>
          <w:sz w:val="20"/>
        </w:rPr>
        <w:t>Utilización (fallback) = Días en (A + U + L) / (Días período − Días no disponibles) x 100</w:t>
      </w:r>
    </w:p>
    <w:p>
      <w:r>
        <w:rPr>
          <w:b w:val="0"/>
        </w:rPr>
        <w:t>Mide si los equipos disponibles realmente se están arrendando.</w:t>
      </w:r>
    </w:p>
    <w:p>
      <w:pPr>
        <w:pStyle w:val="Heading2"/>
      </w:pPr>
      <w:r>
        <w:t>3.4 Calidad de Servicio</w:t>
      </w:r>
    </w:p>
    <w:p>
      <w:r>
        <w:rPr>
          <w:rFonts w:ascii="Consolas" w:hAnsi="Consolas"/>
          <w:color w:val="2E2E2E"/>
          <w:sz w:val="20"/>
        </w:rPr>
        <w:t>Calidad = (Servicios totales − No conformidades) / Servicios totales  x  100</w:t>
      </w:r>
    </w:p>
    <w:p>
      <w:r>
        <w:rPr>
          <w:b w:val="0"/>
        </w:rPr>
        <w:t>Servicios totales = días con estado A, U o L (equipo en operación comercial).</w:t>
      </w:r>
    </w:p>
    <w:p>
      <w:r>
        <w:rPr>
          <w:b w:val="0"/>
        </w:rPr>
        <w:t>No conformidades = filas en la tabla no_conformidades. Categorías consideradas: entrega fuera de tiempo, entrega incompleta, incumplimiento norma, incidente de seguridad, contaminación, documentación incompleta, no conformidad ambiental, repetición de servicio, falla en terreno.</w:t>
      </w:r>
    </w:p>
    <w:p>
      <w:r>
        <w:rPr>
          <w:b w:val="0"/>
        </w:rPr>
        <w:t>Si no hubo servicios en el período, la calidad se reporta como 100 por ciento.</w:t>
      </w:r>
    </w:p>
    <w:p>
      <w:pPr>
        <w:pStyle w:val="Heading2"/>
      </w:pPr>
      <w:r>
        <w:t>3.5 Clasificación del OEE de flota</w:t>
      </w:r>
    </w:p>
    <w:p>
      <w:r>
        <w:rPr>
          <w:b w:val="0"/>
        </w:rPr>
        <w:t>La función calcular_oee_flota (agrega todos los activos de un contrato u operación) entrega esta clasificación final: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OEE promedio flota</w:t>
            </w:r>
          </w:p>
        </w:tc>
        <w:tc>
          <w:tcPr>
            <w:tcW w:type="dxa" w:w="4873"/>
          </w:tcPr>
          <w:p>
            <w:r>
              <w:rPr>
                <w:b/>
              </w:rPr>
              <w:t>Clasificación</w:t>
            </w:r>
          </w:p>
        </w:tc>
      </w:tr>
      <w:tr>
        <w:tc>
          <w:tcPr>
            <w:tcW w:type="dxa" w:w="4873"/>
          </w:tcPr>
          <w:p>
            <w:r>
              <w:t>≥ 80%</w:t>
            </w:r>
          </w:p>
        </w:tc>
        <w:tc>
          <w:tcPr>
            <w:tcW w:type="dxa" w:w="4873"/>
          </w:tcPr>
          <w:p>
            <w:r>
              <w:t>Clase Mundial</w:t>
            </w:r>
          </w:p>
        </w:tc>
      </w:tr>
      <w:tr>
        <w:tc>
          <w:tcPr>
            <w:tcW w:type="dxa" w:w="4873"/>
          </w:tcPr>
          <w:p>
            <w:r>
              <w:t>64% — 79%</w:t>
            </w:r>
          </w:p>
        </w:tc>
        <w:tc>
          <w:tcPr>
            <w:tcW w:type="dxa" w:w="4873"/>
          </w:tcPr>
          <w:p>
            <w:r>
              <w:t>Bueno</w:t>
            </w:r>
          </w:p>
        </w:tc>
      </w:tr>
      <w:tr>
        <w:tc>
          <w:tcPr>
            <w:tcW w:type="dxa" w:w="4873"/>
          </w:tcPr>
          <w:p>
            <w:r>
              <w:t>50% — 63%</w:t>
            </w:r>
          </w:p>
        </w:tc>
        <w:tc>
          <w:tcPr>
            <w:tcW w:type="dxa" w:w="4873"/>
          </w:tcPr>
          <w:p>
            <w:r>
              <w:t>Aceptable</w:t>
            </w:r>
          </w:p>
        </w:tc>
      </w:tr>
      <w:tr>
        <w:tc>
          <w:tcPr>
            <w:tcW w:type="dxa" w:w="4873"/>
          </w:tcPr>
          <w:p>
            <w:r>
              <w:t>&lt; 50%</w:t>
            </w:r>
          </w:p>
        </w:tc>
        <w:tc>
          <w:tcPr>
            <w:tcW w:type="dxa" w:w="4873"/>
          </w:tcPr>
          <w:p>
            <w:r>
              <w:t>Deficiente</w:t>
            </w:r>
          </w:p>
        </w:tc>
      </w:tr>
    </w:tbl>
    <w:p/>
    <w:p>
      <w:pPr>
        <w:pStyle w:val="Heading2"/>
      </w:pPr>
      <w:r>
        <w:t>3.6 Ejemplo numérico</w:t>
      </w:r>
    </w:p>
    <w:p>
      <w:r>
        <w:rPr>
          <w:b w:val="0"/>
        </w:rPr>
        <w:t>Equipo en período de 30 días con el siguiente registro:</w:t>
      </w:r>
    </w:p>
    <w:p>
      <w:pPr>
        <w:pStyle w:val="ListBullet"/>
      </w:pPr>
      <w:r>
        <w:t>24 días arrendado (estado A)</w:t>
      </w:r>
    </w:p>
    <w:p>
      <w:pPr>
        <w:pStyle w:val="ListBullet"/>
      </w:pPr>
      <w:r>
        <w:t>3 días en mantención preventiva (estado M)</w:t>
      </w:r>
    </w:p>
    <w:p>
      <w:pPr>
        <w:pStyle w:val="ListBullet"/>
      </w:pPr>
      <w:r>
        <w:t>3 días disponible sin arrendar (estado D)</w:t>
      </w:r>
    </w:p>
    <w:p>
      <w:pPr>
        <w:pStyle w:val="ListBullet"/>
      </w:pPr>
      <w:r>
        <w:t>1 no conformidad registrada (entrega fuera de tiempo)</w:t>
      </w:r>
    </w:p>
    <w:p>
      <w:r>
        <w:rPr>
          <w:b w:val="0"/>
        </w:rPr>
        <w:t>Cálculo:</w:t>
      </w:r>
    </w:p>
    <w:p>
      <w:r>
        <w:rPr>
          <w:rFonts w:ascii="Consolas" w:hAnsi="Consolas"/>
          <w:color w:val="2E2E2E"/>
          <w:sz w:val="20"/>
        </w:rPr>
        <w:t>Disponibilidad  = (30 − 3) / 30                         = 90,00 %</w:t>
        <w:br/>
        <w:t>Utilización     = 24 / (30 − 3)                         = 88,89 %</w:t>
        <w:br/>
        <w:t>Calidad         = (24 − 1) / 24                         = 95,83 %</w:t>
        <w:br/>
        <w:br/>
        <w:t>OEE             = 0,90 x 0,8889 x 0,9583 x 100          = 76,63 %  (Bueno)</w:t>
      </w:r>
    </w:p>
    <w:p>
      <w:r>
        <w:br w:type="page"/>
      </w:r>
    </w:p>
    <w:p>
      <w:pPr>
        <w:pStyle w:val="Heading1"/>
        <w:jc w:val="left"/>
      </w:pPr>
      <w:r>
        <w:t>4. Normativa chilena aplicable</w:t>
      </w:r>
    </w:p>
    <w:p>
      <w:r>
        <w:rPr>
          <w:b w:val="0"/>
        </w:rPr>
        <w:t>El sistema genera alertas automáticas bloqueantes a partir de estas normas, mediante la función SQL fn_ejecutar_verificaciones_normativas: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Norma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Qué regula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Alerta que dispara</w:t>
            </w:r>
          </w:p>
        </w:tc>
      </w:tr>
      <w:tr>
        <w:tc>
          <w:tcPr>
            <w:tcW w:type="dxa" w:w="3249"/>
          </w:tcPr>
          <w:p>
            <w:r>
              <w:t>DS 298</w:t>
            </w:r>
          </w:p>
        </w:tc>
        <w:tc>
          <w:tcPr>
            <w:tcW w:type="dxa" w:w="3249"/>
          </w:tcPr>
          <w:p>
            <w:r>
              <w:t>Transporte sustancias peligrosas: antigüedad máx 15 años; SEMEP conductor</w:t>
            </w:r>
          </w:p>
        </w:tc>
        <w:tc>
          <w:tcPr>
            <w:tcW w:type="dxa" w:w="3249"/>
          </w:tcPr>
          <w:p>
            <w:r>
              <w:t>antiguedad_vehiculo, semep_vencido</w:t>
            </w:r>
          </w:p>
        </w:tc>
      </w:tr>
      <w:tr>
        <w:tc>
          <w:tcPr>
            <w:tcW w:type="dxa" w:w="3249"/>
          </w:tcPr>
          <w:p>
            <w:r>
              <w:t>DS 160</w:t>
            </w:r>
          </w:p>
        </w:tc>
        <w:tc>
          <w:tcPr>
            <w:tcW w:type="dxa" w:w="3249"/>
          </w:tcPr>
          <w:p>
            <w:r>
              <w:t>Hermeticidad estanques, inscripción SEC, sensor de fuga</w:t>
            </w:r>
          </w:p>
        </w:tc>
        <w:tc>
          <w:tcPr>
            <w:tcW w:type="dxa" w:w="3249"/>
          </w:tcPr>
          <w:p>
            <w:r>
              <w:t>hermeticidad_vencida, sec_no_vigente, sensor_fuga</w:t>
            </w:r>
          </w:p>
        </w:tc>
      </w:tr>
      <w:tr>
        <w:tc>
          <w:tcPr>
            <w:tcW w:type="dxa" w:w="3249"/>
          </w:tcPr>
          <w:p>
            <w:r>
              <w:t>DS 132</w:t>
            </w:r>
          </w:p>
        </w:tc>
        <w:tc>
          <w:tcPr>
            <w:tcW w:type="dxa" w:w="3249"/>
          </w:tcPr>
          <w:p>
            <w:r>
              <w:t>Seguridad minera: PTS, inducción de faena</w:t>
            </w:r>
          </w:p>
        </w:tc>
        <w:tc>
          <w:tcPr>
            <w:tcW w:type="dxa" w:w="3249"/>
          </w:tcPr>
          <w:p>
            <w:r>
              <w:t>pts_faltante</w:t>
            </w:r>
          </w:p>
        </w:tc>
      </w:tr>
      <w:tr>
        <w:tc>
          <w:tcPr>
            <w:tcW w:type="dxa" w:w="3249"/>
          </w:tcPr>
          <w:p>
            <w:r>
              <w:t>Ley 16.744</w:t>
            </w:r>
          </w:p>
        </w:tc>
        <w:tc>
          <w:tcPr>
            <w:tcW w:type="dxa" w:w="3249"/>
          </w:tcPr>
          <w:p>
            <w:r>
              <w:t>Accidentes del trabajo: reporte dentro de 24 horas</w:t>
            </w:r>
          </w:p>
        </w:tc>
        <w:tc>
          <w:tcPr>
            <w:tcW w:type="dxa" w:w="3249"/>
          </w:tcPr>
          <w:p>
            <w:r>
              <w:t>accidente_no_reportado</w:t>
            </w:r>
          </w:p>
        </w:tc>
      </w:tr>
      <w:tr>
        <w:tc>
          <w:tcPr>
            <w:tcW w:type="dxa" w:w="3249"/>
          </w:tcPr>
          <w:p>
            <w:r>
              <w:t>Ley 21.561</w:t>
            </w:r>
          </w:p>
        </w:tc>
        <w:tc>
          <w:tcPr>
            <w:tcW w:type="dxa" w:w="3249"/>
          </w:tcPr>
          <w:p>
            <w:r>
              <w:t>Jornada conductor: máx 88 hrs espera/mes, conducción continua</w:t>
            </w:r>
          </w:p>
        </w:tc>
        <w:tc>
          <w:tcPr>
            <w:tcW w:type="dxa" w:w="3249"/>
          </w:tcPr>
          <w:p>
            <w:r>
              <w:t>fatiga_conductor</w:t>
            </w:r>
          </w:p>
        </w:tc>
      </w:tr>
      <w:tr>
        <w:tc>
          <w:tcPr>
            <w:tcW w:type="dxa" w:w="3249"/>
          </w:tcPr>
          <w:p>
            <w:r>
              <w:t>Código del Trabajo</w:t>
            </w:r>
          </w:p>
        </w:tc>
        <w:tc>
          <w:tcPr>
            <w:tcW w:type="dxa" w:w="3249"/>
          </w:tcPr>
          <w:p>
            <w:r>
              <w:t>Feriados y descansos</w:t>
            </w:r>
          </w:p>
        </w:tc>
        <w:tc>
          <w:tcPr>
            <w:tcW w:type="dxa" w:w="3249"/>
          </w:tcPr>
          <w:p>
            <w:r>
              <w:t>Validaciones de jornada</w:t>
            </w:r>
          </w:p>
        </w:tc>
      </w:tr>
    </w:tbl>
    <w:p/>
    <w:p>
      <w:pPr>
        <w:pStyle w:val="Heading2"/>
      </w:pPr>
      <w:r>
        <w:t>Certificaciones que caducan y deben renovarse</w:t>
      </w:r>
    </w:p>
    <w:p>
      <w:pPr>
        <w:pStyle w:val="ListBullet"/>
      </w:pPr>
      <w:r>
        <w:t>RT — Revisión Técnica</w:t>
      </w:r>
    </w:p>
    <w:p>
      <w:pPr>
        <w:pStyle w:val="ListBullet"/>
      </w:pPr>
      <w:r>
        <w:t>Hermeticidad — tanques de combustible</w:t>
      </w:r>
    </w:p>
    <w:p>
      <w:pPr>
        <w:pStyle w:val="ListBullet"/>
      </w:pPr>
      <w:r>
        <w:t>TC8 / SEC — inscripción SEC</w:t>
      </w:r>
    </w:p>
    <w:p>
      <w:pPr>
        <w:pStyle w:val="ListBullet"/>
      </w:pPr>
      <w:r>
        <w:t>Certificación de gancho — equipos pluma</w:t>
      </w:r>
    </w:p>
    <w:p>
      <w:pPr>
        <w:pStyle w:val="ListBullet"/>
      </w:pPr>
      <w:r>
        <w:t>SEMEP — certificado psicosensométrico del conductor</w:t>
      </w:r>
    </w:p>
    <w:p>
      <w:pPr>
        <w:pStyle w:val="ListBullet"/>
      </w:pPr>
      <w:r>
        <w:t>Inducción de faena minera</w:t>
      </w:r>
    </w:p>
    <w:p>
      <w:pPr>
        <w:pStyle w:val="ListBullet"/>
      </w:pPr>
      <w:r>
        <w:t>Curso sustancias peligrosas</w:t>
      </w:r>
    </w:p>
    <w:p>
      <w:pPr>
        <w:pStyle w:val="Heading2"/>
      </w:pPr>
      <w:r>
        <w:t>Regla de oro</w:t>
      </w:r>
    </w:p>
    <w:p>
      <w:r>
        <w:rPr>
          <w:b/>
        </w:rPr>
        <w:t>Si un equipo o conductor tiene una alerta de severidad critical (prefijo "BLOQUEO" en el título), NO puede operar. El frontend lo marca visualmente y el trigger de disponibilidad lo impide a nivel de base de datos.</w:t>
      </w:r>
    </w:p>
    <w:p>
      <w:pPr>
        <w:pStyle w:val="Heading1"/>
        <w:jc w:val="left"/>
      </w:pPr>
      <w:r>
        <w:t>5. Estado inicial de alertas (abril 2026)</w:t>
      </w:r>
    </w:p>
    <w:p>
      <w:r>
        <w:rPr>
          <w:b w:val="0"/>
        </w:rPr>
        <w:t>Tras cargar los datos reales de Pillado, el sistema arranca con las siguientes alertas abiertas que deberás revisar en tus primeros días: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Cantidad</w:t>
            </w:r>
          </w:p>
        </w:tc>
        <w:tc>
          <w:tcPr>
            <w:tcW w:type="dxa" w:w="3249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3249"/>
          </w:tcPr>
          <w:p>
            <w:r>
              <w:t>Certificaciones flota</w:t>
            </w:r>
          </w:p>
        </w:tc>
        <w:tc>
          <w:tcPr>
            <w:tcW w:type="dxa" w:w="3249"/>
          </w:tcPr>
          <w:p>
            <w:r>
              <w:t>10</w:t>
            </w:r>
          </w:p>
        </w:tc>
        <w:tc>
          <w:tcPr>
            <w:tcW w:type="dxa" w:w="3249"/>
          </w:tcPr>
          <w:p>
            <w:r>
              <w:t>RT vencidas o por vencer, hermeticidades, cert. gancho</w:t>
            </w:r>
          </w:p>
        </w:tc>
      </w:tr>
      <w:tr>
        <w:tc>
          <w:tcPr>
            <w:tcW w:type="dxa" w:w="3249"/>
          </w:tcPr>
          <w:p>
            <w:r>
              <w:t>SEMEP conductores</w:t>
            </w:r>
          </w:p>
        </w:tc>
        <w:tc>
          <w:tcPr>
            <w:tcW w:type="dxa" w:w="3249"/>
          </w:tcPr>
          <w:p>
            <w:r>
              <w:t>8</w:t>
            </w:r>
          </w:p>
        </w:tc>
        <w:tc>
          <w:tcPr>
            <w:tcW w:type="dxa" w:w="3249"/>
          </w:tcPr>
          <w:p>
            <w:r>
              <w:t>Los 8 técnicos seed aún sin fecha SEMEP real cargada</w:t>
            </w:r>
          </w:p>
        </w:tc>
      </w:tr>
      <w:tr>
        <w:tc>
          <w:tcPr>
            <w:tcW w:type="dxa" w:w="3249"/>
          </w:tcPr>
          <w:p>
            <w:r>
              <w:t>Disponibilidad</w:t>
            </w:r>
          </w:p>
        </w:tc>
        <w:tc>
          <w:tcPr>
            <w:tcW w:type="dxa" w:w="3249"/>
          </w:tcPr>
          <w:p>
            <w:r>
              <w:t>7</w:t>
            </w:r>
          </w:p>
        </w:tc>
        <w:tc>
          <w:tcPr>
            <w:tcW w:type="dxa" w:w="3249"/>
          </w:tcPr>
          <w:p>
            <w:r>
              <w:t>Equipos sin checklist de verificación vigente</w:t>
            </w:r>
          </w:p>
        </w:tc>
      </w:tr>
      <w:tr>
        <w:tc>
          <w:tcPr>
            <w:tcW w:type="dxa" w:w="3249"/>
          </w:tcPr>
          <w:p>
            <w:r>
              <w:t>Antigüedad flota</w:t>
            </w:r>
          </w:p>
        </w:tc>
        <w:tc>
          <w:tcPr>
            <w:tcW w:type="dxa" w:w="3249"/>
          </w:tcPr>
          <w:p>
            <w:r>
              <w:t>0</w:t>
            </w:r>
          </w:p>
        </w:tc>
        <w:tc>
          <w:tcPr>
            <w:tcW w:type="dxa" w:w="3249"/>
          </w:tcPr>
          <w:p>
            <w:r>
              <w:t>Ningún equipo supera los 15 años por ahora</w:t>
            </w:r>
          </w:p>
        </w:tc>
      </w:tr>
      <w:tr>
        <w:tc>
          <w:tcPr>
            <w:tcW w:type="dxa" w:w="3249"/>
          </w:tcPr>
          <w:p>
            <w:r>
              <w:t>Fatiga conductor</w:t>
            </w:r>
          </w:p>
        </w:tc>
        <w:tc>
          <w:tcPr>
            <w:tcW w:type="dxa" w:w="3249"/>
          </w:tcPr>
          <w:p>
            <w:r>
              <w:t>0</w:t>
            </w:r>
          </w:p>
        </w:tc>
        <w:tc>
          <w:tcPr>
            <w:tcW w:type="dxa" w:w="3249"/>
          </w:tcPr>
          <w:p>
            <w:r>
              <w:t>Sin excesos de horas de espera detectados</w:t>
            </w:r>
          </w:p>
        </w:tc>
      </w:tr>
    </w:tbl>
    <w:p/>
    <w:p>
      <w:pPr>
        <w:pStyle w:val="Heading1"/>
        <w:jc w:val="left"/>
      </w:pPr>
      <w:r>
        <w:t>6. Tu perfil y permisos</w:t>
      </w:r>
    </w:p>
    <w:p>
      <w:r>
        <w:rPr>
          <w:b w:val="0"/>
        </w:rPr>
        <w:t>Ingresas como admin@pillado.cl con rol administrador. Esto te da acceso total: ves y editas los 16 módulos del sistema. Los primeros días conviene mantener este rol para explorar libremente.</w:t>
      </w:r>
    </w:p>
    <w:p>
      <w:r>
        <w:rPr>
          <w:b w:val="0"/>
        </w:rPr>
        <w:t>Cuando se creen los 14 usuarios demo (migración 35), podrás loguear como cada rol (jefe_operaciones, comercial, prevencionista, etc.) para probar cómo ve el sistema cada perfil sin tocar tu cuenta real.</w:t>
      </w:r>
    </w:p>
    <w:p>
      <w:pPr>
        <w:pStyle w:val="Heading1"/>
        <w:jc w:val="left"/>
      </w:pPr>
      <w:r>
        <w:t>7. Glosario mínimo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87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4873"/>
          </w:tcPr>
          <w:p>
            <w:r>
              <w:t>ICEO</w:t>
            </w:r>
          </w:p>
        </w:tc>
        <w:tc>
          <w:tcPr>
            <w:tcW w:type="dxa" w:w="4873"/>
          </w:tcPr>
          <w:p>
            <w:r>
              <w:t>Índice de Cumplimiento y Excelencia Operacional. Score 0-100 que mezcla Área A (Combustibles), Área B (Mantención fijos) y Área C (Mantención móviles)</w:t>
            </w:r>
          </w:p>
        </w:tc>
      </w:tr>
      <w:tr>
        <w:tc>
          <w:tcPr>
            <w:tcW w:type="dxa" w:w="4873"/>
          </w:tcPr>
          <w:p>
            <w:r>
              <w:t>OT</w:t>
            </w:r>
          </w:p>
        </w:tc>
        <w:tc>
          <w:tcPr>
            <w:tcW w:type="dxa" w:w="4873"/>
          </w:tcPr>
          <w:p>
            <w:r>
              <w:t>Orden de Trabajo. Folio único OT-YYYYMM-XXXXX. Todo trabajo se canaliza por acá</w:t>
            </w:r>
          </w:p>
        </w:tc>
      </w:tr>
      <w:tr>
        <w:tc>
          <w:tcPr>
            <w:tcW w:type="dxa" w:w="4873"/>
          </w:tcPr>
          <w:p>
            <w:r>
              <w:t>PM</w:t>
            </w:r>
          </w:p>
        </w:tc>
        <w:tc>
          <w:tcPr>
            <w:tcW w:type="dxa" w:w="4873"/>
          </w:tcPr>
          <w:p>
            <w:r>
              <w:t>Plan de Mantenimiento preventivo. Puede gatillarse por kilometraje o por horómetro</w:t>
            </w:r>
          </w:p>
        </w:tc>
      </w:tr>
      <w:tr>
        <w:tc>
          <w:tcPr>
            <w:tcW w:type="dxa" w:w="4873"/>
          </w:tcPr>
          <w:p>
            <w:r>
              <w:t>SUSPEL</w:t>
            </w:r>
          </w:p>
        </w:tc>
        <w:tc>
          <w:tcPr>
            <w:tcW w:type="dxa" w:w="4873"/>
          </w:tcPr>
          <w:p>
            <w:r>
              <w:t>Sustancias peligrosas</w:t>
            </w:r>
          </w:p>
        </w:tc>
      </w:tr>
      <w:tr>
        <w:tc>
          <w:tcPr>
            <w:tcW w:type="dxa" w:w="4873"/>
          </w:tcPr>
          <w:p>
            <w:r>
              <w:t>RESPEL</w:t>
            </w:r>
          </w:p>
        </w:tc>
        <w:tc>
          <w:tcPr>
            <w:tcW w:type="dxa" w:w="4873"/>
          </w:tcPr>
          <w:p>
            <w:r>
              <w:t>Residuos peligrosos</w:t>
            </w:r>
          </w:p>
        </w:tc>
      </w:tr>
      <w:tr>
        <w:tc>
          <w:tcPr>
            <w:tcW w:type="dxa" w:w="4873"/>
          </w:tcPr>
          <w:p>
            <w:r>
              <w:t>SEMEP</w:t>
            </w:r>
          </w:p>
        </w:tc>
        <w:tc>
          <w:tcPr>
            <w:tcW w:type="dxa" w:w="4873"/>
          </w:tcPr>
          <w:p>
            <w:r>
              <w:t>Certificado psicosensométrico del conductor (DS 298)</w:t>
            </w:r>
          </w:p>
        </w:tc>
      </w:tr>
      <w:tr>
        <w:tc>
          <w:tcPr>
            <w:tcW w:type="dxa" w:w="4873"/>
          </w:tcPr>
          <w:p>
            <w:r>
              <w:t>Faena</w:t>
            </w:r>
          </w:p>
        </w:tc>
        <w:tc>
          <w:tcPr>
            <w:tcW w:type="dxa" w:w="4873"/>
          </w:tcPr>
          <w:p>
            <w:r>
              <w:t>Ubicación física donde opera un contrato (ej. CMP Romeral, CM Francke)</w:t>
            </w:r>
          </w:p>
        </w:tc>
      </w:tr>
      <w:tr>
        <w:tc>
          <w:tcPr>
            <w:tcW w:type="dxa" w:w="4873"/>
          </w:tcPr>
          <w:p>
            <w:r>
              <w:t>Contrato</w:t>
            </w:r>
          </w:p>
        </w:tc>
        <w:tc>
          <w:tcPr>
            <w:tcW w:type="dxa" w:w="4873"/>
          </w:tcPr>
          <w:p>
            <w:r>
              <w:t>Acuerdo comercial con cliente. Cada contrato tiene N faenas y N activos</w:t>
            </w:r>
          </w:p>
        </w:tc>
      </w:tr>
      <w:tr>
        <w:tc>
          <w:tcPr>
            <w:tcW w:type="dxa" w:w="4873"/>
          </w:tcPr>
          <w:p>
            <w:r>
              <w:t>PPU</w:t>
            </w:r>
          </w:p>
        </w:tc>
        <w:tc>
          <w:tcPr>
            <w:tcW w:type="dxa" w:w="4873"/>
          </w:tcPr>
          <w:p>
            <w:r>
              <w:t>Placa Patente Única</w:t>
            </w:r>
          </w:p>
        </w:tc>
      </w:tr>
      <w:tr>
        <w:tc>
          <w:tcPr>
            <w:tcW w:type="dxa" w:w="4873"/>
          </w:tcPr>
          <w:p>
            <w:r>
              <w:t>Sensor ARM / OHP</w:t>
            </w:r>
          </w:p>
        </w:tc>
        <w:tc>
          <w:tcPr>
            <w:tcW w:type="dxa" w:w="4873"/>
          </w:tcPr>
          <w:p>
            <w:r>
              <w:t>Telemetría GPS (requerida por Ley 21.561)</w:t>
            </w:r>
          </w:p>
        </w:tc>
      </w:tr>
      <w:tr>
        <w:tc>
          <w:tcPr>
            <w:tcW w:type="dxa" w:w="4873"/>
          </w:tcPr>
          <w:p>
            <w:r>
              <w:t>RT</w:t>
            </w:r>
          </w:p>
        </w:tc>
        <w:tc>
          <w:tcPr>
            <w:tcW w:type="dxa" w:w="4873"/>
          </w:tcPr>
          <w:p>
            <w:r>
              <w:t>Revisión Técnica vehicular</w:t>
            </w:r>
          </w:p>
        </w:tc>
      </w:tr>
      <w:tr>
        <w:tc>
          <w:tcPr>
            <w:tcW w:type="dxa" w:w="4873"/>
          </w:tcPr>
          <w:p>
            <w:r>
              <w:t>TC8 / SEC</w:t>
            </w:r>
          </w:p>
        </w:tc>
        <w:tc>
          <w:tcPr>
            <w:tcW w:type="dxa" w:w="4873"/>
          </w:tcPr>
          <w:p>
            <w:r>
              <w:t>Superintendencia de Electricidad y Combustibles — inscripción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8. Checklist primera semana</w:t>
      </w:r>
    </w:p>
    <w:p>
      <w:pPr>
        <w:pStyle w:val="ListBullet"/>
      </w:pPr>
      <w:r>
        <w:t>Navegar los 22 módulos del sistema con datos reales</w:t>
      </w:r>
    </w:p>
    <w:p>
      <w:pPr>
        <w:pStyle w:val="ListBullet"/>
      </w:pPr>
      <w:r>
        <w:t>Entender el flujo de una OT extremo a extremo (crear, ejecutar, cerrar)</w:t>
      </w:r>
    </w:p>
    <w:p>
      <w:pPr>
        <w:pStyle w:val="ListBullet"/>
      </w:pPr>
      <w:r>
        <w:t>Leer la matriz de permisos por rol (tabla _roles_matriz_permisos)</w:t>
      </w:r>
    </w:p>
    <w:p>
      <w:pPr>
        <w:pStyle w:val="ListBullet"/>
      </w:pPr>
      <w:r>
        <w:t>Visitar el Taller Pillado Coquimbo y conocer a los 8 técnicos del seed</w:t>
      </w:r>
    </w:p>
    <w:p>
      <w:pPr>
        <w:pStyle w:val="ListBullet"/>
      </w:pPr>
      <w:r>
        <w:t>Revisar las 25 alertas abiertas y categorizarlas por urgencia</w:t>
      </w:r>
    </w:p>
    <w:p>
      <w:pPr>
        <w:pStyle w:val="ListBullet"/>
      </w:pPr>
      <w:r>
        <w:t>Crear los 14 usuarios demo en Supabase y ejecutar migración 35</w:t>
      </w:r>
    </w:p>
    <w:p>
      <w:pPr>
        <w:pStyle w:val="ListBullet"/>
      </w:pPr>
      <w:r>
        <w:t>Leer documentos docs/ARQUITECTURA-OBJETIVO.md y docs/MANUAL-KPI-COMPLETO.md</w:t>
      </w:r>
    </w:p>
    <w:p>
      <w:pPr>
        <w:pStyle w:val="ListBullet"/>
      </w:pPr>
      <w:r>
        <w:t>Proponer 2 mejoras al gerente general basándose en lo observado</w:t>
      </w:r>
    </w:p>
    <w:p/>
    <w:p>
      <w:r>
        <w:rPr>
          <w:i/>
          <w:sz w:val="18"/>
        </w:rPr>
        <w:t>Documento de estudio — uso interno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